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A14E" w14:textId="77777777" w:rsidR="00724443" w:rsidRDefault="00724443" w:rsidP="001D7051">
      <w:pPr>
        <w:spacing w:line="360" w:lineRule="auto"/>
        <w:rPr>
          <w:color w:val="000000"/>
        </w:rPr>
      </w:pPr>
      <w:r>
        <w:rPr>
          <w:color w:val="000000"/>
        </w:rPr>
        <w:t xml:space="preserve">This is the peer reviewed version of the following article: Cytotoxic activity and cell specificity of a novel LHRH peptide drug conjugate, </w:t>
      </w:r>
      <w:r>
        <w:rPr>
          <w:i/>
          <w:iCs/>
          <w:color w:val="000000"/>
        </w:rPr>
        <w:t>D</w:t>
      </w:r>
      <w:r>
        <w:rPr>
          <w:color w:val="000000"/>
        </w:rPr>
        <w:t>-Cys6-LHRH vedotin, against ovarian cancer cell lines., which has been published in final form at DOI:10.1111/cbdd.14516. This article may be used for non-commercial purposes in accordance with Wiley Terms and Conditions for Use of Self-Archived Versions.</w:t>
      </w:r>
      <w:r w:rsidR="001D7051">
        <w:rPr>
          <w:color w:val="000000"/>
        </w:rPr>
        <w:t xml:space="preserve"> This article was downloaded from the A*STAR Open Access Repository: https://oar.a-star.edu.sg/</w:t>
      </w:r>
    </w:p>
    <w:p w14:paraId="375703F4" w14:textId="77777777" w:rsidR="00797CBB" w:rsidRDefault="000B3029" w:rsidP="00724443">
      <w:pPr>
        <w:pStyle w:val="Heading1"/>
      </w:pPr>
      <w:r>
        <w:t>C</w:t>
      </w:r>
      <w:r w:rsidR="00BD63C9">
        <w:t>ytotoxic activity and cell s</w:t>
      </w:r>
      <w:r w:rsidR="009570D8">
        <w:t xml:space="preserve">pecificity </w:t>
      </w:r>
      <w:r w:rsidR="00497DE6">
        <w:t xml:space="preserve">of a </w:t>
      </w:r>
      <w:r w:rsidR="00801A42">
        <w:t xml:space="preserve">novel </w:t>
      </w:r>
      <w:r w:rsidR="00497DE6">
        <w:t>LHRH peptide drug conjugate</w:t>
      </w:r>
      <w:r w:rsidR="00801A42">
        <w:t xml:space="preserve">, </w:t>
      </w:r>
      <w:r w:rsidR="00801A42" w:rsidRPr="008875EE">
        <w:rPr>
          <w:i/>
          <w:iCs/>
        </w:rPr>
        <w:t>D</w:t>
      </w:r>
      <w:r w:rsidR="00801A42">
        <w:t>-Cys6-LHRH vedotin, against ovarian cancer cell lines</w:t>
      </w:r>
      <w:r w:rsidR="00797CBB">
        <w:t>.</w:t>
      </w:r>
    </w:p>
    <w:p w14:paraId="203F8095" w14:textId="77777777" w:rsidR="00A03543" w:rsidRDefault="00A03543" w:rsidP="00A03543">
      <w:r>
        <w:t>Subramanyam Vankadara</w:t>
      </w:r>
      <w:r>
        <w:rPr>
          <w:vertAlign w:val="superscript"/>
        </w:rPr>
        <w:t>1</w:t>
      </w:r>
      <w:r>
        <w:t>, Zhiyuan Ke</w:t>
      </w:r>
      <w:r>
        <w:rPr>
          <w:vertAlign w:val="superscript"/>
        </w:rPr>
        <w:t>1</w:t>
      </w:r>
      <w:r>
        <w:t>, Sifang Wang</w:t>
      </w:r>
      <w:r>
        <w:rPr>
          <w:vertAlign w:val="superscript"/>
        </w:rPr>
        <w:t>1</w:t>
      </w:r>
      <w:r>
        <w:t>, Sin Yun Foo</w:t>
      </w:r>
      <w:r>
        <w:rPr>
          <w:vertAlign w:val="superscript"/>
        </w:rPr>
        <w:t>2</w:t>
      </w:r>
      <w:r>
        <w:t>, Jayantha Gunaratne</w:t>
      </w:r>
      <w:r>
        <w:rPr>
          <w:vertAlign w:val="superscript"/>
        </w:rPr>
        <w:t>2</w:t>
      </w:r>
      <w:r w:rsidR="00EC7748">
        <w:rPr>
          <w:vertAlign w:val="superscript"/>
        </w:rPr>
        <w:t>,3</w:t>
      </w:r>
      <w:r>
        <w:t>, May Ann Lee</w:t>
      </w:r>
      <w:r>
        <w:rPr>
          <w:vertAlign w:val="superscript"/>
        </w:rPr>
        <w:t>1</w:t>
      </w:r>
      <w:r>
        <w:t>, Xiaoying Koh</w:t>
      </w:r>
      <w:r>
        <w:rPr>
          <w:vertAlign w:val="superscript"/>
        </w:rPr>
        <w:t>1</w:t>
      </w:r>
      <w:r>
        <w:t xml:space="preserve"> and C. S. Brian Chia</w:t>
      </w:r>
      <w:r>
        <w:rPr>
          <w:vertAlign w:val="superscript"/>
        </w:rPr>
        <w:t>1</w:t>
      </w:r>
      <w:r>
        <w:t>*</w:t>
      </w:r>
    </w:p>
    <w:p w14:paraId="3F349EE8" w14:textId="77777777" w:rsidR="00A03543" w:rsidRDefault="00A03543" w:rsidP="00A03543"/>
    <w:p w14:paraId="60C10EC2" w14:textId="77777777" w:rsidR="00797CBB" w:rsidRPr="00EC7748" w:rsidRDefault="00A03543" w:rsidP="00A03543">
      <w:pPr>
        <w:rPr>
          <w:position w:val="0"/>
          <w:sz w:val="22"/>
          <w:szCs w:val="22"/>
          <w:lang w:val="en-SG" w:eastAsia="en-US"/>
        </w:rPr>
      </w:pPr>
      <w:r>
        <w:rPr>
          <w:vertAlign w:val="superscript"/>
        </w:rPr>
        <w:t>1</w:t>
      </w:r>
      <w:r>
        <w:t>Experimental Drug Development Centre</w:t>
      </w:r>
      <w:r w:rsidR="00C86B22">
        <w:t xml:space="preserve"> (EDDC)</w:t>
      </w:r>
      <w:r>
        <w:t xml:space="preserve">, </w:t>
      </w:r>
      <w:r w:rsidR="00C86B22" w:rsidRPr="00C86B22">
        <w:t>Agency for Science, Technology and Research (A*STAR)</w:t>
      </w:r>
      <w:r w:rsidR="00C86B22">
        <w:t xml:space="preserve">, </w:t>
      </w:r>
      <w:r>
        <w:t>10 Biopolis Road, Chromos #08-01, Singapore 138670</w:t>
      </w:r>
      <w:r w:rsidR="00727053" w:rsidRPr="00727053">
        <w:t>, Republic of Singapore</w:t>
      </w:r>
      <w:r>
        <w:br/>
      </w:r>
      <w:r>
        <w:rPr>
          <w:vertAlign w:val="superscript"/>
        </w:rPr>
        <w:t>2</w:t>
      </w:r>
      <w:r>
        <w:t>Institute of Molecular and Cell Biology</w:t>
      </w:r>
      <w:r w:rsidR="00C86B22">
        <w:t xml:space="preserve"> (IMCB)</w:t>
      </w:r>
      <w:r>
        <w:t xml:space="preserve">, </w:t>
      </w:r>
      <w:r w:rsidR="00C86B22" w:rsidRPr="00C86B22">
        <w:t>Agency for Science, Technology and Research (A*STAR)</w:t>
      </w:r>
      <w:r w:rsidR="00C86B22">
        <w:t xml:space="preserve">, </w:t>
      </w:r>
      <w:r>
        <w:t>61 Biopolis Drive, Proteos #07-12, Singapore 138673</w:t>
      </w:r>
      <w:r w:rsidR="00727053" w:rsidRPr="00727053">
        <w:t>, Republic of Singapore</w:t>
      </w:r>
      <w:r w:rsidR="00797CBB">
        <w:br/>
      </w:r>
      <w:r w:rsidR="00EC7748">
        <w:rPr>
          <w:vertAlign w:val="superscript"/>
        </w:rPr>
        <w:t>3</w:t>
      </w:r>
      <w:r w:rsidR="00EC7748">
        <w:t xml:space="preserve">Department of Anatomy, Yong Loo Lin School of Medicine, 4 Medical Drive, MD10, National University of Singapore, </w:t>
      </w:r>
      <w:r w:rsidR="00727053">
        <w:t xml:space="preserve">Singapore </w:t>
      </w:r>
      <w:r w:rsidR="00EC7748">
        <w:t>117594</w:t>
      </w:r>
      <w:r w:rsidR="00727053" w:rsidRPr="00727053">
        <w:t>, Republic of Singapore</w:t>
      </w:r>
    </w:p>
    <w:p w14:paraId="69601891" w14:textId="77777777" w:rsidR="00BC7583" w:rsidRDefault="00BC7583"/>
    <w:p w14:paraId="269B68B1" w14:textId="77777777" w:rsidR="002C28CF" w:rsidRDefault="00797CBB">
      <w:r>
        <w:t>*Corresponding author</w:t>
      </w:r>
    </w:p>
    <w:p w14:paraId="330C0500" w14:textId="77777777" w:rsidR="00797CBB" w:rsidRDefault="00797CBB">
      <w:r>
        <w:t xml:space="preserve">E-mail: </w:t>
      </w:r>
      <w:hyperlink r:id="rId8" w:history="1">
        <w:r w:rsidR="00BA28F3" w:rsidRPr="005629B6">
          <w:rPr>
            <w:rStyle w:val="Hyperlink"/>
          </w:rPr>
          <w:t>cschia@eddc.a-star.edu.sg</w:t>
        </w:r>
      </w:hyperlink>
      <w:r>
        <w:t xml:space="preserve"> </w:t>
      </w:r>
    </w:p>
    <w:p w14:paraId="6F289B67" w14:textId="77777777" w:rsidR="00797CBB" w:rsidRPr="00724443" w:rsidRDefault="00D50075" w:rsidP="00724443">
      <w:pPr>
        <w:rPr>
          <w:b/>
          <w:bCs/>
        </w:rPr>
      </w:pPr>
      <w:r>
        <w:t>ORCID ID: 0000-0002-1567-3983</w:t>
      </w:r>
      <w:r w:rsidR="00797CBB">
        <w:br w:type="page"/>
      </w:r>
      <w:r w:rsidR="00797CBB" w:rsidRPr="00724443">
        <w:rPr>
          <w:b/>
          <w:bCs/>
        </w:rPr>
        <w:lastRenderedPageBreak/>
        <w:t>Abstract</w:t>
      </w:r>
    </w:p>
    <w:p w14:paraId="03DEA66C" w14:textId="77777777" w:rsidR="00315668" w:rsidRDefault="00D13343">
      <w:r w:rsidRPr="00CF77AA">
        <w:t xml:space="preserve">Ovarian cancer is the most </w:t>
      </w:r>
      <w:r>
        <w:t xml:space="preserve">deadly </w:t>
      </w:r>
      <w:r w:rsidR="00391916">
        <w:t xml:space="preserve">female </w:t>
      </w:r>
      <w:r>
        <w:t>g</w:t>
      </w:r>
      <w:r w:rsidRPr="004620F5">
        <w:t>yn</w:t>
      </w:r>
      <w:r>
        <w:t>a</w:t>
      </w:r>
      <w:r w:rsidRPr="004620F5">
        <w:t>ecological</w:t>
      </w:r>
      <w:r w:rsidRPr="00CF77AA">
        <w:t xml:space="preserve"> malignancy in </w:t>
      </w:r>
      <w:r w:rsidR="009767F1">
        <w:t>develop</w:t>
      </w:r>
      <w:r w:rsidRPr="00CF77AA">
        <w:t>ed countries</w:t>
      </w:r>
      <w:r w:rsidR="0020634E">
        <w:t xml:space="preserve"> and new treatments</w:t>
      </w:r>
      <w:r>
        <w:t xml:space="preserve"> </w:t>
      </w:r>
      <w:r w:rsidR="0020634E">
        <w:t xml:space="preserve">are </w:t>
      </w:r>
      <w:r>
        <w:t>urgent</w:t>
      </w:r>
      <w:r w:rsidR="0020634E">
        <w:t>ly</w:t>
      </w:r>
      <w:r>
        <w:t xml:space="preserve"> need</w:t>
      </w:r>
      <w:r w:rsidR="0020634E">
        <w:t>ed</w:t>
      </w:r>
      <w:r>
        <w:t xml:space="preserve">. </w:t>
      </w:r>
      <w:r w:rsidR="00315668">
        <w:t>The l</w:t>
      </w:r>
      <w:r>
        <w:t xml:space="preserve">uteinising hormone releasing hormone (LHRH) peptide drug </w:t>
      </w:r>
      <w:r w:rsidR="009767F1">
        <w:t>conjugate</w:t>
      </w:r>
      <w:r w:rsidR="00315668">
        <w:t xml:space="preserve"> </w:t>
      </w:r>
      <w:r w:rsidR="00315668" w:rsidRPr="00844F5C">
        <w:t>Zoptarelin doxorubicin</w:t>
      </w:r>
      <w:r w:rsidR="00315668">
        <w:t xml:space="preserve"> is one</w:t>
      </w:r>
      <w:r w:rsidR="00710426">
        <w:t xml:space="preserve"> such</w:t>
      </w:r>
      <w:r w:rsidR="00315668">
        <w:t xml:space="preserve"> potential</w:t>
      </w:r>
      <w:r w:rsidR="009C5807">
        <w:t xml:space="preserve"> new</w:t>
      </w:r>
      <w:r w:rsidR="00315668">
        <w:t xml:space="preserve"> </w:t>
      </w:r>
      <w:r w:rsidR="009C5807">
        <w:t>drug</w:t>
      </w:r>
      <w:r w:rsidR="00315668">
        <w:t xml:space="preserve"> modality</w:t>
      </w:r>
      <w:r w:rsidR="008B0BC3">
        <w:t xml:space="preserve"> that </w:t>
      </w:r>
      <w:r w:rsidR="008A6553">
        <w:t>entered clinical trials</w:t>
      </w:r>
      <w:r w:rsidR="00710426">
        <w:t xml:space="preserve"> for treating LHRH</w:t>
      </w:r>
      <w:r w:rsidR="00391916">
        <w:t xml:space="preserve"> </w:t>
      </w:r>
      <w:r w:rsidR="00710426">
        <w:t>receptor</w:t>
      </w:r>
      <w:r w:rsidR="00391916">
        <w:t>-</w:t>
      </w:r>
      <w:r w:rsidR="00710426">
        <w:t xml:space="preserve">positive </w:t>
      </w:r>
      <w:r w:rsidR="008A6553">
        <w:t>gynaecological</w:t>
      </w:r>
      <w:r w:rsidR="00710426">
        <w:t xml:space="preserve"> cancer</w:t>
      </w:r>
      <w:r w:rsidR="008A6553">
        <w:t>s</w:t>
      </w:r>
      <w:r w:rsidR="00315668">
        <w:t>.</w:t>
      </w:r>
      <w:r w:rsidR="00710426">
        <w:t xml:space="preserve"> </w:t>
      </w:r>
      <w:r w:rsidR="00315668">
        <w:t xml:space="preserve">However, development </w:t>
      </w:r>
      <w:r w:rsidR="00710426">
        <w:t xml:space="preserve">stopped </w:t>
      </w:r>
      <w:r w:rsidR="00315668">
        <w:t>after disappointing phase 3 results in 2017.</w:t>
      </w:r>
      <w:r w:rsidR="00710426">
        <w:t xml:space="preserve"> We believe the lack of efficacy was due to </w:t>
      </w:r>
      <w:r w:rsidR="0020634E">
        <w:t xml:space="preserve">linker instability and </w:t>
      </w:r>
      <w:r w:rsidR="0050185B">
        <w:t>payload potency</w:t>
      </w:r>
      <w:r w:rsidR="00710426">
        <w:t xml:space="preserve">. In this work, we replaced </w:t>
      </w:r>
      <w:r w:rsidR="00391916">
        <w:t>its linker</w:t>
      </w:r>
      <w:r w:rsidR="008A6553">
        <w:t>-</w:t>
      </w:r>
      <w:r w:rsidR="00391916">
        <w:t>toxin</w:t>
      </w:r>
      <w:r w:rsidR="00710426">
        <w:t xml:space="preserve"> </w:t>
      </w:r>
      <w:r w:rsidR="00391916">
        <w:t>with vedotin (MC-VC-PABC-MMAE)</w:t>
      </w:r>
      <w:r w:rsidR="009C5807">
        <w:t xml:space="preserve">, yielding </w:t>
      </w:r>
      <w:r w:rsidR="00391916">
        <w:t>the</w:t>
      </w:r>
      <w:r w:rsidR="00801A42">
        <w:t xml:space="preserve"> novel </w:t>
      </w:r>
      <w:r w:rsidR="009C5807">
        <w:t xml:space="preserve">peptide drug conjugate </w:t>
      </w:r>
      <w:r w:rsidR="00801A42" w:rsidRPr="00D878AD">
        <w:rPr>
          <w:i/>
          <w:iCs/>
        </w:rPr>
        <w:t>D</w:t>
      </w:r>
      <w:r w:rsidR="00801A42">
        <w:t>-Cys6-LHRH vedotin</w:t>
      </w:r>
      <w:r w:rsidR="009C5807">
        <w:t>.</w:t>
      </w:r>
      <w:r w:rsidR="00710426">
        <w:t xml:space="preserve"> </w:t>
      </w:r>
      <w:r w:rsidR="009C5807">
        <w:t>A</w:t>
      </w:r>
      <w:r w:rsidR="00710426">
        <w:t xml:space="preserve"> </w:t>
      </w:r>
      <w:r w:rsidR="00C376D4">
        <w:t>GI</w:t>
      </w:r>
      <w:r w:rsidR="00C376D4" w:rsidRPr="00C376D4">
        <w:rPr>
          <w:vertAlign w:val="subscript"/>
        </w:rPr>
        <w:t>50</w:t>
      </w:r>
      <w:r w:rsidR="00C376D4">
        <w:t xml:space="preserve"> and cell specificity </w:t>
      </w:r>
      <w:r w:rsidR="00710426">
        <w:t xml:space="preserve">comparison against cancerous and non-cancerous ovarian </w:t>
      </w:r>
      <w:r w:rsidR="00C376D4">
        <w:t>cell lines</w:t>
      </w:r>
      <w:r w:rsidR="009C5807">
        <w:t xml:space="preserve"> showed </w:t>
      </w:r>
      <w:r w:rsidR="008C1B4C">
        <w:t>significantly superior bioactivity</w:t>
      </w:r>
      <w:r w:rsidR="008A6553">
        <w:t xml:space="preserve"> </w:t>
      </w:r>
      <w:r w:rsidR="008C1B4C">
        <w:t>and selectivity</w:t>
      </w:r>
      <w:r w:rsidR="00835AD2">
        <w:t xml:space="preserve"> </w:t>
      </w:r>
      <w:r w:rsidR="008C1B4C">
        <w:t xml:space="preserve">over </w:t>
      </w:r>
      <w:r w:rsidR="008C1B4C" w:rsidRPr="00844F5C">
        <w:t>Zoptarelin doxorubicin</w:t>
      </w:r>
      <w:r w:rsidR="008C1B4C">
        <w:t xml:space="preserve"> </w:t>
      </w:r>
      <w:r w:rsidR="008A6553">
        <w:t>(GI</w:t>
      </w:r>
      <w:r w:rsidR="008A6553" w:rsidRPr="003B5349">
        <w:rPr>
          <w:vertAlign w:val="subscript"/>
        </w:rPr>
        <w:t>50</w:t>
      </w:r>
      <w:r w:rsidR="008A6553">
        <w:t xml:space="preserve"> 4 vs 453 nM) </w:t>
      </w:r>
      <w:r w:rsidR="008C1B4C">
        <w:t>and</w:t>
      </w:r>
      <w:r w:rsidR="00C376D4">
        <w:t xml:space="preserve"> </w:t>
      </w:r>
      <w:r w:rsidR="00A305F5">
        <w:t xml:space="preserve">other </w:t>
      </w:r>
      <w:r w:rsidR="008C1B4C">
        <w:t>c</w:t>
      </w:r>
      <w:r w:rsidR="00C376D4">
        <w:t>hemotherapeutic drugs</w:t>
      </w:r>
      <w:r w:rsidR="00A305F5">
        <w:t xml:space="preserve"> used for treating ovarian cancer</w:t>
      </w:r>
      <w:r w:rsidR="00B13AC5">
        <w:t>s</w:t>
      </w:r>
      <w:r w:rsidR="00C376D4">
        <w:t>.</w:t>
      </w:r>
      <w:r w:rsidR="000600EB">
        <w:t xml:space="preserve"> Our results suggest </w:t>
      </w:r>
      <w:r w:rsidR="008A6553" w:rsidRPr="00D878AD">
        <w:rPr>
          <w:i/>
          <w:iCs/>
        </w:rPr>
        <w:t>D</w:t>
      </w:r>
      <w:r w:rsidR="008A6553">
        <w:t xml:space="preserve">-Cys6-LHRH vedotin </w:t>
      </w:r>
      <w:r w:rsidR="000600EB">
        <w:t xml:space="preserve">can potentially be used </w:t>
      </w:r>
      <w:r w:rsidR="002546F6">
        <w:t>as a</w:t>
      </w:r>
      <w:r w:rsidR="000600EB">
        <w:t xml:space="preserve"> treat</w:t>
      </w:r>
      <w:r w:rsidR="002546F6">
        <w:t>ment</w:t>
      </w:r>
      <w:r w:rsidR="000600EB">
        <w:t xml:space="preserve"> </w:t>
      </w:r>
      <w:r w:rsidR="002546F6">
        <w:t xml:space="preserve">for </w:t>
      </w:r>
      <w:r w:rsidR="000600EB">
        <w:t>ovarian cancer.</w:t>
      </w:r>
      <w:r w:rsidR="00C376D4">
        <w:t xml:space="preserve"> </w:t>
      </w:r>
    </w:p>
    <w:p w14:paraId="0FA33536" w14:textId="77777777" w:rsidR="00797CBB" w:rsidRDefault="009767F1">
      <w:r>
        <w:t xml:space="preserve"> </w:t>
      </w:r>
      <w:r w:rsidR="00D13343">
        <w:t xml:space="preserve">  </w:t>
      </w:r>
    </w:p>
    <w:p w14:paraId="033D0009" w14:textId="77777777" w:rsidR="00797CBB" w:rsidRDefault="00797CBB">
      <w:pPr>
        <w:pStyle w:val="Heading2"/>
      </w:pPr>
      <w:r>
        <w:t>Key words</w:t>
      </w:r>
    </w:p>
    <w:p w14:paraId="5636FB36" w14:textId="77777777" w:rsidR="00797CBB" w:rsidRDefault="00D56AAF" w:rsidP="00215132">
      <w:r>
        <w:t>Luteinising hormone releasing hormone</w:t>
      </w:r>
      <w:r w:rsidRPr="002C017B">
        <w:rPr>
          <w:color w:val="000000"/>
        </w:rPr>
        <w:t>;</w:t>
      </w:r>
      <w:r>
        <w:rPr>
          <w:color w:val="000000"/>
        </w:rPr>
        <w:t xml:space="preserve"> </w:t>
      </w:r>
      <w:r w:rsidR="0038676A">
        <w:t>g</w:t>
      </w:r>
      <w:r w:rsidR="004D5309" w:rsidRPr="004D5309">
        <w:t>onadotropin-releasing hormone</w:t>
      </w:r>
      <w:r w:rsidR="004D5309">
        <w:t>; peptide drug conjugate</w:t>
      </w:r>
      <w:r w:rsidR="00797CBB">
        <w:t xml:space="preserve">; </w:t>
      </w:r>
      <w:r w:rsidR="00844F5C">
        <w:t xml:space="preserve">ovarian cancer; </w:t>
      </w:r>
      <w:r w:rsidR="00844F5C" w:rsidRPr="00844F5C">
        <w:t>Zoptarelin doxorubicin</w:t>
      </w:r>
    </w:p>
    <w:p w14:paraId="16502B53" w14:textId="77777777" w:rsidR="00115BA4" w:rsidRDefault="006A3B5B" w:rsidP="004729A7">
      <w:pPr>
        <w:pStyle w:val="Heading2"/>
      </w:pPr>
      <w:r>
        <w:br w:type="page"/>
      </w:r>
      <w:r w:rsidR="004729A7">
        <w:lastRenderedPageBreak/>
        <w:t>Introduction</w:t>
      </w:r>
    </w:p>
    <w:p w14:paraId="1C9ADE6E" w14:textId="77777777" w:rsidR="006F636A" w:rsidRDefault="00CF77AA" w:rsidP="005A17A5">
      <w:pPr>
        <w:ind w:firstLine="720"/>
      </w:pPr>
      <w:r w:rsidRPr="00CF77AA">
        <w:t xml:space="preserve">Ovarian cancer is the most </w:t>
      </w:r>
      <w:r w:rsidR="00932933">
        <w:t>deadly</w:t>
      </w:r>
      <w:r>
        <w:t xml:space="preserve"> g</w:t>
      </w:r>
      <w:r w:rsidRPr="004620F5">
        <w:t>yn</w:t>
      </w:r>
      <w:r>
        <w:t>a</w:t>
      </w:r>
      <w:r w:rsidRPr="004620F5">
        <w:t>ecological</w:t>
      </w:r>
      <w:r w:rsidRPr="00CF77AA">
        <w:t xml:space="preserve"> malignancy in women living in </w:t>
      </w:r>
      <w:r w:rsidR="00CA7B9F">
        <w:t>develop</w:t>
      </w:r>
      <w:r w:rsidRPr="00CF77AA">
        <w:t>ed countries</w:t>
      </w:r>
      <w:r w:rsidR="0084093F">
        <w:t xml:space="preserve"> (</w:t>
      </w:r>
      <w:r w:rsidR="002E2886">
        <w:t xml:space="preserve">Emons et al., </w:t>
      </w:r>
      <w:r w:rsidR="002E2886" w:rsidRPr="002E2886">
        <w:rPr>
          <w:color w:val="0070C0"/>
        </w:rPr>
        <w:t>2014</w:t>
      </w:r>
      <w:r w:rsidR="0084093F">
        <w:t>)</w:t>
      </w:r>
      <w:r w:rsidRPr="00CF77AA">
        <w:t xml:space="preserve">. In the United States, </w:t>
      </w:r>
      <w:r>
        <w:t xml:space="preserve">approximately </w:t>
      </w:r>
      <w:r w:rsidRPr="00CF77AA">
        <w:t>2</w:t>
      </w:r>
      <w:r>
        <w:t>0</w:t>
      </w:r>
      <w:r w:rsidRPr="00CF77AA">
        <w:t>,</w:t>
      </w:r>
      <w:r>
        <w:t>00</w:t>
      </w:r>
      <w:r w:rsidRPr="00CF77AA">
        <w:t xml:space="preserve">0 women </w:t>
      </w:r>
      <w:r w:rsidR="00E312A3">
        <w:t>we</w:t>
      </w:r>
      <w:r w:rsidRPr="00CF77AA">
        <w:t>re diagnosed</w:t>
      </w:r>
      <w:r w:rsidR="004B77FD">
        <w:t xml:space="preserve"> in 2022 with</w:t>
      </w:r>
      <w:r w:rsidRPr="00CF77AA">
        <w:t xml:space="preserve"> </w:t>
      </w:r>
      <w:r w:rsidR="00EA012A">
        <w:t xml:space="preserve">an estimated </w:t>
      </w:r>
      <w:r w:rsidRPr="00CF77AA">
        <w:t>1</w:t>
      </w:r>
      <w:r w:rsidR="00EA012A">
        <w:t>3</w:t>
      </w:r>
      <w:r w:rsidRPr="00CF77AA">
        <w:t>,0</w:t>
      </w:r>
      <w:r w:rsidR="00EA012A">
        <w:t>0</w:t>
      </w:r>
      <w:r w:rsidRPr="00CF77AA">
        <w:t>0 d</w:t>
      </w:r>
      <w:r w:rsidR="00EA012A">
        <w:t>ying from the disease</w:t>
      </w:r>
      <w:r w:rsidR="002E2886">
        <w:t xml:space="preserve"> (Siegel et al., </w:t>
      </w:r>
      <w:r w:rsidR="002E2886" w:rsidRPr="002E2886">
        <w:rPr>
          <w:color w:val="0070C0"/>
        </w:rPr>
        <w:t>2022</w:t>
      </w:r>
      <w:r w:rsidR="002E2886">
        <w:t>)</w:t>
      </w:r>
      <w:r w:rsidRPr="00CF77AA">
        <w:t xml:space="preserve">. </w:t>
      </w:r>
      <w:r w:rsidR="00144A89" w:rsidRPr="00144A89">
        <w:t>First</w:t>
      </w:r>
      <w:r w:rsidR="00144A89">
        <w:t>-</w:t>
      </w:r>
      <w:r w:rsidR="00144A89" w:rsidRPr="00144A89">
        <w:t>line treatment i</w:t>
      </w:r>
      <w:r w:rsidR="001969EE">
        <w:t>nvolve</w:t>
      </w:r>
      <w:r w:rsidR="00485B90">
        <w:t xml:space="preserve"> debulking</w:t>
      </w:r>
      <w:r w:rsidR="00144A89" w:rsidRPr="00144A89">
        <w:t xml:space="preserve"> surgery followed by combination chemotherapy</w:t>
      </w:r>
      <w:r w:rsidR="00144A89">
        <w:t xml:space="preserve"> using </w:t>
      </w:r>
      <w:r w:rsidR="00392012" w:rsidRPr="00144A89">
        <w:t>paclitaxel</w:t>
      </w:r>
      <w:r w:rsidR="00392012">
        <w:t xml:space="preserve"> </w:t>
      </w:r>
      <w:r w:rsidR="004B77FD">
        <w:t>and</w:t>
      </w:r>
      <w:r w:rsidR="00392012">
        <w:t xml:space="preserve"> a</w:t>
      </w:r>
      <w:r w:rsidR="00144A89" w:rsidRPr="00144A89">
        <w:t xml:space="preserve"> platinum </w:t>
      </w:r>
      <w:r w:rsidR="00144A89">
        <w:t>drug</w:t>
      </w:r>
      <w:r w:rsidR="00951165">
        <w:t xml:space="preserve"> (</w:t>
      </w:r>
      <w:r w:rsidR="00CA7336">
        <w:t xml:space="preserve">Emons et al., </w:t>
      </w:r>
      <w:r w:rsidR="00CA7336" w:rsidRPr="002E2886">
        <w:rPr>
          <w:color w:val="0070C0"/>
        </w:rPr>
        <w:t>2014</w:t>
      </w:r>
      <w:r w:rsidR="00951165">
        <w:t>)</w:t>
      </w:r>
      <w:r w:rsidR="00144A89" w:rsidRPr="00144A89">
        <w:t xml:space="preserve">. </w:t>
      </w:r>
      <w:r w:rsidR="001A254E">
        <w:t>However, approximately 80%</w:t>
      </w:r>
      <w:r w:rsidR="00144A89" w:rsidRPr="00144A89">
        <w:t xml:space="preserve"> </w:t>
      </w:r>
      <w:r w:rsidR="001A254E">
        <w:t>of</w:t>
      </w:r>
      <w:r w:rsidR="00144A89" w:rsidRPr="00144A89">
        <w:t xml:space="preserve"> </w:t>
      </w:r>
      <w:r w:rsidR="00392012">
        <w:t>patient</w:t>
      </w:r>
      <w:r w:rsidR="00144A89" w:rsidRPr="00144A89">
        <w:t>s relapse</w:t>
      </w:r>
      <w:r w:rsidR="002D5762">
        <w:t xml:space="preserve"> </w:t>
      </w:r>
      <w:r w:rsidR="00932933" w:rsidRPr="00932933">
        <w:t xml:space="preserve">and face a poor prognosis </w:t>
      </w:r>
      <w:r w:rsidR="00CA7B9F">
        <w:t>using</w:t>
      </w:r>
      <w:r w:rsidR="00932933" w:rsidRPr="00932933">
        <w:t xml:space="preserve"> second-line chemotherapies with a progression free survival of 3 to 4 months and overall survival of approximately 1 year</w:t>
      </w:r>
      <w:r w:rsidR="00951165">
        <w:t xml:space="preserve"> (Emons et al., </w:t>
      </w:r>
      <w:r w:rsidR="00951165" w:rsidRPr="002E2886">
        <w:rPr>
          <w:color w:val="0070C0"/>
        </w:rPr>
        <w:t>2014</w:t>
      </w:r>
      <w:r w:rsidR="00951165">
        <w:t>)</w:t>
      </w:r>
      <w:r w:rsidR="00E312A3">
        <w:t>,</w:t>
      </w:r>
      <w:r w:rsidR="00951165">
        <w:t xml:space="preserve"> </w:t>
      </w:r>
      <w:r w:rsidR="009A00C0">
        <w:t>flagging the urgent need for new</w:t>
      </w:r>
      <w:r w:rsidR="00E312A3">
        <w:t xml:space="preserve"> drugs.</w:t>
      </w:r>
      <w:r w:rsidR="005A17A5">
        <w:t xml:space="preserve"> </w:t>
      </w:r>
    </w:p>
    <w:p w14:paraId="7C53DC2D" w14:textId="77777777" w:rsidR="0004778A" w:rsidRDefault="00191E2A" w:rsidP="005A17A5">
      <w:pPr>
        <w:ind w:firstLine="720"/>
      </w:pPr>
      <w:r w:rsidRPr="00191E2A">
        <w:t>A major limitation of chemotherap</w:t>
      </w:r>
      <w:r>
        <w:t>eutic</w:t>
      </w:r>
      <w:r w:rsidRPr="00191E2A">
        <w:t xml:space="preserve"> drugs is that they are non-selective, entering both cancerous and non-cancerous cells alike, resulting in off-target toxicity.</w:t>
      </w:r>
      <w:r w:rsidR="001B35C3">
        <w:t xml:space="preserve"> </w:t>
      </w:r>
      <w:r w:rsidR="001B35C3" w:rsidRPr="001B35C3">
        <w:t xml:space="preserve">Developing </w:t>
      </w:r>
      <w:r w:rsidR="001969EE" w:rsidRPr="001B35C3">
        <w:t xml:space="preserve">drugs </w:t>
      </w:r>
      <w:r w:rsidR="001969EE">
        <w:t xml:space="preserve">that </w:t>
      </w:r>
      <w:r w:rsidR="00192043">
        <w:t>are specific for</w:t>
      </w:r>
      <w:r w:rsidR="001969EE">
        <w:t xml:space="preserve"> </w:t>
      </w:r>
      <w:r w:rsidR="001B35C3" w:rsidRPr="001B35C3">
        <w:t>cancer</w:t>
      </w:r>
      <w:r w:rsidR="006F636A">
        <w:t xml:space="preserve"> cell</w:t>
      </w:r>
      <w:r w:rsidR="001969EE">
        <w:t>s</w:t>
      </w:r>
      <w:r w:rsidR="001B35C3" w:rsidRPr="001B35C3">
        <w:t xml:space="preserve"> can overcome this drawback</w:t>
      </w:r>
      <w:r w:rsidR="00382FB8">
        <w:t>. A possible solution</w:t>
      </w:r>
      <w:r w:rsidR="001B35C3">
        <w:t xml:space="preserve"> is to conjugate </w:t>
      </w:r>
      <w:r w:rsidR="00382FB8">
        <w:t>a</w:t>
      </w:r>
      <w:r w:rsidR="001B35C3">
        <w:t xml:space="preserve"> cytotoxic drug to a cancer</w:t>
      </w:r>
      <w:r w:rsidR="006F636A">
        <w:t xml:space="preserve"> cell</w:t>
      </w:r>
      <w:r w:rsidR="001B35C3">
        <w:t xml:space="preserve">-targeting biological molecule </w:t>
      </w:r>
      <w:r w:rsidR="00382FB8">
        <w:t>which</w:t>
      </w:r>
      <w:r w:rsidR="001B35C3">
        <w:t xml:space="preserve"> </w:t>
      </w:r>
      <w:r w:rsidR="006F5F03">
        <w:t>serve</w:t>
      </w:r>
      <w:r w:rsidR="006F636A">
        <w:t>s</w:t>
      </w:r>
      <w:r w:rsidR="006F5F03">
        <w:t xml:space="preserve"> as a </w:t>
      </w:r>
      <w:r w:rsidR="00043D57">
        <w:t>vector</w:t>
      </w:r>
      <w:r w:rsidR="00771B20">
        <w:t xml:space="preserve"> to</w:t>
      </w:r>
      <w:r w:rsidR="00382FB8">
        <w:t xml:space="preserve"> </w:t>
      </w:r>
      <w:r w:rsidR="001B35C3">
        <w:t>seek out cancer cells express</w:t>
      </w:r>
      <w:r w:rsidR="00382FB8">
        <w:t>ing</w:t>
      </w:r>
      <w:r w:rsidR="001B35C3">
        <w:t xml:space="preserve"> receptors specific for the biological molecule.</w:t>
      </w:r>
      <w:r w:rsidR="00523F1F">
        <w:t xml:space="preserve"> Upon receptor binding, </w:t>
      </w:r>
      <w:r w:rsidR="00307220">
        <w:t xml:space="preserve">the </w:t>
      </w:r>
      <w:r w:rsidR="00523F1F">
        <w:t>vector is internalised together with the drug.</w:t>
      </w:r>
      <w:r w:rsidR="001B35C3">
        <w:t xml:space="preserve"> </w:t>
      </w:r>
      <w:r w:rsidR="00043D57">
        <w:t>A potential vector</w:t>
      </w:r>
      <w:r w:rsidR="00C61F45">
        <w:t xml:space="preserve"> is the 9-residue peptide, l</w:t>
      </w:r>
      <w:r w:rsidR="00C61F45" w:rsidRPr="008E1127">
        <w:t>uteinizing hormone-releasing hormone</w:t>
      </w:r>
      <w:r w:rsidR="00C61F45">
        <w:t xml:space="preserve"> (LHRH; also known as g</w:t>
      </w:r>
      <w:r w:rsidR="00C61F45" w:rsidRPr="008E1127">
        <w:t>onadotropin-releasing</w:t>
      </w:r>
      <w:r w:rsidR="00C61F45">
        <w:t xml:space="preserve"> hormone</w:t>
      </w:r>
      <w:r w:rsidR="00011F26">
        <w:t>; Fig. 1</w:t>
      </w:r>
      <w:r w:rsidR="00C61F45">
        <w:t xml:space="preserve">), </w:t>
      </w:r>
      <w:r w:rsidR="006F636A">
        <w:t>involved</w:t>
      </w:r>
      <w:r w:rsidR="00C61F45">
        <w:t xml:space="preserve"> in sex</w:t>
      </w:r>
      <w:r w:rsidR="00B61FE3">
        <w:t xml:space="preserve"> organ development</w:t>
      </w:r>
      <w:r w:rsidR="00382FB8">
        <w:t>, function</w:t>
      </w:r>
      <w:r w:rsidR="009F06FE">
        <w:t>,</w:t>
      </w:r>
      <w:r w:rsidR="00B61FE3">
        <w:t xml:space="preserve"> </w:t>
      </w:r>
      <w:r w:rsidR="00874B79">
        <w:t>reproduction</w:t>
      </w:r>
      <w:r w:rsidR="009F06FE">
        <w:t xml:space="preserve"> and possibly cancer cell growth</w:t>
      </w:r>
      <w:r w:rsidR="00306166">
        <w:t xml:space="preserve"> (</w:t>
      </w:r>
      <w:r w:rsidR="004841F6">
        <w:t xml:space="preserve">Imai et al., </w:t>
      </w:r>
      <w:r w:rsidR="004841F6" w:rsidRPr="00370F28">
        <w:rPr>
          <w:color w:val="0070C0"/>
        </w:rPr>
        <w:t>1994</w:t>
      </w:r>
      <w:r w:rsidR="004841F6">
        <w:t xml:space="preserve">; </w:t>
      </w:r>
      <w:r w:rsidR="00306166">
        <w:t>Nagy</w:t>
      </w:r>
      <w:r w:rsidR="00306166" w:rsidRPr="00382E81">
        <w:t xml:space="preserve"> </w:t>
      </w:r>
      <w:r w:rsidR="00370F28">
        <w:t>&amp;</w:t>
      </w:r>
      <w:r w:rsidR="00306166" w:rsidRPr="00382E81">
        <w:t xml:space="preserve"> </w:t>
      </w:r>
      <w:r w:rsidR="00306166">
        <w:t xml:space="preserve">Schally, </w:t>
      </w:r>
      <w:r w:rsidR="00306166" w:rsidRPr="00306166">
        <w:rPr>
          <w:color w:val="0070C0"/>
        </w:rPr>
        <w:t>2005</w:t>
      </w:r>
      <w:r w:rsidR="00306166">
        <w:t>)</w:t>
      </w:r>
      <w:r w:rsidR="00C61F45">
        <w:t>.</w:t>
      </w:r>
      <w:r w:rsidR="00B61FE3">
        <w:t xml:space="preserve"> </w:t>
      </w:r>
      <w:r w:rsidR="004F42BE">
        <w:t xml:space="preserve">LHRH receptors are deemed good cancer drug targets as they are </w:t>
      </w:r>
      <w:r w:rsidR="00CD1341">
        <w:t xml:space="preserve">not expressed </w:t>
      </w:r>
      <w:r w:rsidR="00CA7B9F">
        <w:t>by</w:t>
      </w:r>
      <w:r w:rsidR="00D6570A">
        <w:t xml:space="preserve"> normal non-reproductive tissues</w:t>
      </w:r>
      <w:r w:rsidR="00F039BB">
        <w:t xml:space="preserve"> (</w:t>
      </w:r>
      <w:r w:rsidR="00F039BB" w:rsidRPr="00D33DAE">
        <w:t>Gründker</w:t>
      </w:r>
      <w:r w:rsidR="00F039BB">
        <w:t xml:space="preserve"> et al., </w:t>
      </w:r>
      <w:r w:rsidR="00F039BB" w:rsidRPr="00F039BB">
        <w:rPr>
          <w:color w:val="0070C0"/>
        </w:rPr>
        <w:t>2002</w:t>
      </w:r>
      <w:r w:rsidR="00F039BB">
        <w:t>)</w:t>
      </w:r>
      <w:r w:rsidR="00621981">
        <w:t>,</w:t>
      </w:r>
      <w:r w:rsidR="00D6570A">
        <w:t xml:space="preserve"> </w:t>
      </w:r>
      <w:r w:rsidR="00745479" w:rsidRPr="00745479">
        <w:t>while</w:t>
      </w:r>
      <w:r w:rsidR="00CD1341" w:rsidRPr="00745479">
        <w:t xml:space="preserve"> </w:t>
      </w:r>
      <w:r w:rsidR="004F42BE" w:rsidRPr="00745479">
        <w:t xml:space="preserve">expressed </w:t>
      </w:r>
      <w:r w:rsidR="008B0BC3">
        <w:t>on the cell surfaces of</w:t>
      </w:r>
      <w:r w:rsidR="004F42BE" w:rsidRPr="00745479">
        <w:t xml:space="preserve"> </w:t>
      </w:r>
      <w:r w:rsidR="00966468">
        <w:t>approximately 70–</w:t>
      </w:r>
      <w:r w:rsidR="008E1127" w:rsidRPr="00745479">
        <w:t xml:space="preserve">80% ovarian </w:t>
      </w:r>
      <w:r w:rsidR="00A736BF" w:rsidRPr="00745479">
        <w:t>carcinomas</w:t>
      </w:r>
      <w:r w:rsidR="00F039BB">
        <w:t xml:space="preserve"> (</w:t>
      </w:r>
      <w:r w:rsidR="00966468">
        <w:t>V</w:t>
      </w:r>
      <w:r w:rsidR="00966468">
        <w:rPr>
          <w:rFonts w:cs="Arial"/>
        </w:rPr>
        <w:t>ö</w:t>
      </w:r>
      <w:r w:rsidR="00966468">
        <w:t>lker</w:t>
      </w:r>
      <w:r w:rsidR="00966468" w:rsidRPr="00382E81">
        <w:t xml:space="preserve"> </w:t>
      </w:r>
      <w:r w:rsidR="00966468">
        <w:t xml:space="preserve">et al., </w:t>
      </w:r>
      <w:r w:rsidR="00966468" w:rsidRPr="00B04547">
        <w:rPr>
          <w:color w:val="0070C0"/>
        </w:rPr>
        <w:t>2002</w:t>
      </w:r>
      <w:r w:rsidR="00966468">
        <w:t xml:space="preserve">; </w:t>
      </w:r>
      <w:r w:rsidR="00F039BB">
        <w:t>Nagy</w:t>
      </w:r>
      <w:r w:rsidR="00F039BB" w:rsidRPr="00382E81">
        <w:t xml:space="preserve"> </w:t>
      </w:r>
      <w:r w:rsidR="00F039BB">
        <w:t>&amp;</w:t>
      </w:r>
      <w:r w:rsidR="00F039BB" w:rsidRPr="00382E81">
        <w:t xml:space="preserve"> </w:t>
      </w:r>
      <w:r w:rsidR="00F039BB">
        <w:t xml:space="preserve">Schally, </w:t>
      </w:r>
      <w:r w:rsidR="00F039BB" w:rsidRPr="00306166">
        <w:rPr>
          <w:color w:val="0070C0"/>
        </w:rPr>
        <w:t>2005</w:t>
      </w:r>
      <w:r w:rsidR="00F039BB">
        <w:t>)</w:t>
      </w:r>
      <w:r w:rsidR="004F42BE" w:rsidRPr="00745479">
        <w:t>.</w:t>
      </w:r>
      <w:r w:rsidR="008E1127">
        <w:rPr>
          <w:color w:val="0070C0"/>
          <w:vertAlign w:val="superscript"/>
        </w:rPr>
        <w:t xml:space="preserve"> </w:t>
      </w:r>
      <w:r w:rsidR="004F42BE">
        <w:t xml:space="preserve">Hence, </w:t>
      </w:r>
      <w:r w:rsidR="00192043">
        <w:t xml:space="preserve">Tulane University </w:t>
      </w:r>
      <w:r w:rsidR="004F42BE">
        <w:t>s</w:t>
      </w:r>
      <w:r w:rsidR="006061ED">
        <w:t>cientists</w:t>
      </w:r>
      <w:r w:rsidR="00192043">
        <w:t xml:space="preserve"> </w:t>
      </w:r>
      <w:r w:rsidR="00EE4D97">
        <w:t xml:space="preserve">designed a peptide drug conjugate by </w:t>
      </w:r>
      <w:r w:rsidR="006061ED">
        <w:t>conjugat</w:t>
      </w:r>
      <w:r w:rsidR="00EE4D97">
        <w:t>ing</w:t>
      </w:r>
      <w:r w:rsidR="006061ED">
        <w:t xml:space="preserve"> the cytotoxic drug, doxorubicin, to a</w:t>
      </w:r>
      <w:r w:rsidR="006F5F03">
        <w:t xml:space="preserve"> </w:t>
      </w:r>
      <w:r w:rsidR="00707263" w:rsidRPr="00707263">
        <w:rPr>
          <w:i/>
          <w:iCs/>
        </w:rPr>
        <w:t>D</w:t>
      </w:r>
      <w:r w:rsidR="00707263" w:rsidRPr="008E04C5">
        <w:t>-</w:t>
      </w:r>
      <w:r w:rsidR="00707263">
        <w:t>l</w:t>
      </w:r>
      <w:r w:rsidR="00707263" w:rsidRPr="008E04C5">
        <w:t>ys</w:t>
      </w:r>
      <w:r w:rsidR="00707263">
        <w:t>ine</w:t>
      </w:r>
      <w:r w:rsidR="00707263" w:rsidRPr="008E04C5">
        <w:t>6-</w:t>
      </w:r>
      <w:r w:rsidR="006F5F03">
        <w:t>modified</w:t>
      </w:r>
      <w:r w:rsidR="00CB0E48">
        <w:t xml:space="preserve"> analog of</w:t>
      </w:r>
      <w:r w:rsidR="006061ED">
        <w:t xml:space="preserve"> LHRH</w:t>
      </w:r>
      <w:r w:rsidR="00CB0E48">
        <w:t xml:space="preserve"> </w:t>
      </w:r>
      <w:r w:rsidR="006061ED" w:rsidRPr="004D5309">
        <w:rPr>
          <w:i/>
          <w:iCs/>
        </w:rPr>
        <w:t>via</w:t>
      </w:r>
      <w:r w:rsidR="006061ED">
        <w:t xml:space="preserve"> an esterase-cleavable </w:t>
      </w:r>
      <w:r w:rsidR="005A17A5">
        <w:t xml:space="preserve">hemiglutarate </w:t>
      </w:r>
      <w:r w:rsidR="006061ED">
        <w:t>linker (Fig. 1)</w:t>
      </w:r>
      <w:r w:rsidR="00966468">
        <w:t xml:space="preserve"> </w:t>
      </w:r>
      <w:r w:rsidR="00B04547">
        <w:t xml:space="preserve">(Nagy et al., </w:t>
      </w:r>
      <w:r w:rsidR="00B04547" w:rsidRPr="00B04547">
        <w:rPr>
          <w:color w:val="0070C0"/>
        </w:rPr>
        <w:t>1996</w:t>
      </w:r>
      <w:r w:rsidR="00B04547">
        <w:t xml:space="preserve">; Nagy et al., </w:t>
      </w:r>
      <w:r w:rsidR="00B04547">
        <w:rPr>
          <w:color w:val="0070C0"/>
        </w:rPr>
        <w:t>2000</w:t>
      </w:r>
      <w:r w:rsidR="00B04547">
        <w:t>)</w:t>
      </w:r>
      <w:r w:rsidR="006061ED">
        <w:t xml:space="preserve">. This peptide drug conjugate, </w:t>
      </w:r>
      <w:r w:rsidR="00174D82" w:rsidRPr="00554AD8">
        <w:t>AN-152</w:t>
      </w:r>
      <w:r w:rsidR="00174D82">
        <w:t>/</w:t>
      </w:r>
      <w:r w:rsidR="004D5309" w:rsidRPr="004D5309">
        <w:t>AEZS</w:t>
      </w:r>
      <w:r w:rsidR="004D5309">
        <w:t>-</w:t>
      </w:r>
      <w:r w:rsidR="004D5309" w:rsidRPr="004D5309">
        <w:t>108</w:t>
      </w:r>
      <w:r w:rsidR="009B53CA">
        <w:t>/</w:t>
      </w:r>
      <w:r w:rsidR="004D5309" w:rsidRPr="00554AD8">
        <w:rPr>
          <w:b/>
          <w:bCs/>
        </w:rPr>
        <w:t>Zoptarelin</w:t>
      </w:r>
      <w:r w:rsidR="006061ED" w:rsidRPr="00554AD8">
        <w:rPr>
          <w:b/>
          <w:bCs/>
        </w:rPr>
        <w:t xml:space="preserve"> </w:t>
      </w:r>
      <w:r w:rsidR="006061ED" w:rsidRPr="00554AD8">
        <w:rPr>
          <w:b/>
          <w:bCs/>
        </w:rPr>
        <w:lastRenderedPageBreak/>
        <w:t>doxorubicin</w:t>
      </w:r>
      <w:r w:rsidR="005A17A5">
        <w:t>/Zoptrex</w:t>
      </w:r>
      <w:r w:rsidR="006061ED">
        <w:t>,</w:t>
      </w:r>
      <w:r w:rsidR="004620F5">
        <w:t xml:space="preserve"> </w:t>
      </w:r>
      <w:r w:rsidR="000E4EBE">
        <w:t xml:space="preserve">was shown to enter LHRH receptor-positive </w:t>
      </w:r>
      <w:r w:rsidR="00900555">
        <w:t>endometrial and ovarian</w:t>
      </w:r>
      <w:r w:rsidR="00A078D3">
        <w:t xml:space="preserve"> </w:t>
      </w:r>
      <w:r w:rsidR="000E4EBE">
        <w:t xml:space="preserve">cancer cells </w:t>
      </w:r>
      <w:r w:rsidR="000E4EBE" w:rsidRPr="000E4EBE">
        <w:rPr>
          <w:i/>
          <w:iCs/>
        </w:rPr>
        <w:t>in vitro</w:t>
      </w:r>
      <w:r w:rsidR="00A16E41" w:rsidRPr="00A16E41">
        <w:t xml:space="preserve"> (</w:t>
      </w:r>
      <w:r w:rsidR="00A16E41" w:rsidRPr="00D33DAE">
        <w:t>Gün</w:t>
      </w:r>
      <w:r w:rsidR="00A16E41">
        <w:t xml:space="preserve">thert et al., </w:t>
      </w:r>
      <w:r w:rsidR="00A16E41" w:rsidRPr="00A16E41">
        <w:rPr>
          <w:color w:val="0070C0"/>
        </w:rPr>
        <w:t>2004</w:t>
      </w:r>
      <w:r w:rsidR="00A16E41" w:rsidRPr="00A16E41">
        <w:t>)</w:t>
      </w:r>
      <w:r w:rsidR="003D7E11" w:rsidRPr="00A16E41">
        <w:t>.</w:t>
      </w:r>
      <w:r w:rsidR="000E4EBE">
        <w:t xml:space="preserve"> </w:t>
      </w:r>
      <w:r w:rsidR="00A078D3">
        <w:t>After</w:t>
      </w:r>
      <w:r w:rsidR="00B26AFE">
        <w:t xml:space="preserve"> showing p</w:t>
      </w:r>
      <w:r w:rsidR="00A71CA2">
        <w:t>romising</w:t>
      </w:r>
      <w:r w:rsidR="00B26AFE">
        <w:t xml:space="preserve"> results in a mouse xenograft study</w:t>
      </w:r>
      <w:r w:rsidR="0062160F">
        <w:t xml:space="preserve"> (</w:t>
      </w:r>
      <w:r w:rsidR="0062160F" w:rsidRPr="00D33DAE">
        <w:t>Gründker</w:t>
      </w:r>
      <w:r w:rsidR="0062160F">
        <w:t xml:space="preserve"> et al., </w:t>
      </w:r>
      <w:r w:rsidR="0062160F" w:rsidRPr="00F039BB">
        <w:rPr>
          <w:color w:val="0070C0"/>
        </w:rPr>
        <w:t>2002</w:t>
      </w:r>
      <w:r w:rsidR="0062160F">
        <w:t>)</w:t>
      </w:r>
      <w:r w:rsidR="00B26AFE">
        <w:t xml:space="preserve">, </w:t>
      </w:r>
      <w:r w:rsidR="00B26AFE" w:rsidRPr="00B26AFE">
        <w:t xml:space="preserve">Zoptarelin doxorubicin </w:t>
      </w:r>
      <w:r w:rsidR="004620F5">
        <w:t>entered clinical trial</w:t>
      </w:r>
      <w:r w:rsidR="009E0647">
        <w:t>s</w:t>
      </w:r>
      <w:r w:rsidR="004620F5">
        <w:t xml:space="preserve"> </w:t>
      </w:r>
      <w:r w:rsidR="0097594C">
        <w:t>in 200</w:t>
      </w:r>
      <w:r w:rsidR="00FF40DA" w:rsidRPr="00FF40DA">
        <w:t>5</w:t>
      </w:r>
      <w:r w:rsidR="0097594C">
        <w:t xml:space="preserve"> </w:t>
      </w:r>
      <w:r w:rsidR="00A3519B">
        <w:t>to</w:t>
      </w:r>
      <w:r w:rsidR="004620F5">
        <w:t xml:space="preserve"> treat </w:t>
      </w:r>
      <w:r w:rsidR="000E4EBE">
        <w:t>patients</w:t>
      </w:r>
      <w:r w:rsidR="004620F5">
        <w:t xml:space="preserve"> w</w:t>
      </w:r>
      <w:r w:rsidR="004620F5" w:rsidRPr="004620F5">
        <w:t xml:space="preserve">ith LHRH </w:t>
      </w:r>
      <w:r w:rsidR="004620F5">
        <w:t>r</w:t>
      </w:r>
      <w:r w:rsidR="004620F5" w:rsidRPr="004620F5">
        <w:t>eceptor</w:t>
      </w:r>
      <w:r w:rsidR="004620F5">
        <w:t>-p</w:t>
      </w:r>
      <w:r w:rsidR="004620F5" w:rsidRPr="004620F5">
        <w:t xml:space="preserve">ositive </w:t>
      </w:r>
      <w:r w:rsidR="004620F5">
        <w:t>g</w:t>
      </w:r>
      <w:r w:rsidR="004620F5" w:rsidRPr="004620F5">
        <w:t>yn</w:t>
      </w:r>
      <w:r w:rsidR="004620F5">
        <w:t>a</w:t>
      </w:r>
      <w:r w:rsidR="004620F5" w:rsidRPr="004620F5">
        <w:t xml:space="preserve">ecological </w:t>
      </w:r>
      <w:r w:rsidR="001F7EAA">
        <w:t>tumour</w:t>
      </w:r>
      <w:r w:rsidR="004620F5" w:rsidRPr="004620F5">
        <w:t>s</w:t>
      </w:r>
      <w:r w:rsidR="0062160F">
        <w:t xml:space="preserve"> (</w:t>
      </w:r>
      <w:r w:rsidR="009402AF">
        <w:t>Nagy</w:t>
      </w:r>
      <w:r w:rsidR="009402AF" w:rsidRPr="00382E81">
        <w:t xml:space="preserve"> </w:t>
      </w:r>
      <w:r w:rsidR="009402AF">
        <w:t>&amp;</w:t>
      </w:r>
      <w:r w:rsidR="009402AF" w:rsidRPr="00382E81">
        <w:t xml:space="preserve"> </w:t>
      </w:r>
      <w:r w:rsidR="009402AF">
        <w:t xml:space="preserve">Schally, </w:t>
      </w:r>
      <w:r w:rsidR="009402AF" w:rsidRPr="00306166">
        <w:rPr>
          <w:color w:val="0070C0"/>
        </w:rPr>
        <w:t>2005</w:t>
      </w:r>
      <w:r w:rsidR="009402AF">
        <w:t xml:space="preserve">; </w:t>
      </w:r>
      <w:r w:rsidR="0062160F">
        <w:t xml:space="preserve">Emons et al., </w:t>
      </w:r>
      <w:r w:rsidR="0062160F" w:rsidRPr="002E2886">
        <w:rPr>
          <w:color w:val="0070C0"/>
        </w:rPr>
        <w:t>201</w:t>
      </w:r>
      <w:r w:rsidR="009402AF">
        <w:rPr>
          <w:color w:val="0070C0"/>
        </w:rPr>
        <w:t>0</w:t>
      </w:r>
      <w:r w:rsidR="0062160F" w:rsidRPr="00732038">
        <w:rPr>
          <w:color w:val="000000"/>
        </w:rPr>
        <w:t xml:space="preserve">; </w:t>
      </w:r>
      <w:r w:rsidR="0062160F">
        <w:t xml:space="preserve">Emons et al., </w:t>
      </w:r>
      <w:r w:rsidR="0062160F" w:rsidRPr="0062160F">
        <w:rPr>
          <w:color w:val="0070C0"/>
        </w:rPr>
        <w:t>201</w:t>
      </w:r>
      <w:r w:rsidR="009402AF">
        <w:rPr>
          <w:color w:val="0070C0"/>
        </w:rPr>
        <w:t>4</w:t>
      </w:r>
      <w:r w:rsidR="0062160F">
        <w:t>)</w:t>
      </w:r>
      <w:r w:rsidR="000F2B0C">
        <w:t xml:space="preserve"> </w:t>
      </w:r>
      <w:r w:rsidR="00B107EA">
        <w:t>but</w:t>
      </w:r>
      <w:r w:rsidR="006061ED">
        <w:t xml:space="preserve"> i</w:t>
      </w:r>
      <w:r w:rsidR="003E4B9E">
        <w:t xml:space="preserve">ts </w:t>
      </w:r>
      <w:r w:rsidR="001F7EAA">
        <w:t>d</w:t>
      </w:r>
      <w:r w:rsidR="00271DD8">
        <w:t>evelopment was terminated in 2017 after fail</w:t>
      </w:r>
      <w:r w:rsidR="006061ED">
        <w:t>ing</w:t>
      </w:r>
      <w:r w:rsidR="00271DD8">
        <w:t xml:space="preserve"> to </w:t>
      </w:r>
      <w:r w:rsidR="009C532C">
        <w:t>outperform</w:t>
      </w:r>
      <w:r w:rsidR="00271DD8">
        <w:t xml:space="preserve"> doxorubicin in a phase 3 trial</w:t>
      </w:r>
      <w:r w:rsidR="00184EEB">
        <w:t xml:space="preserve"> (</w:t>
      </w:r>
      <w:r w:rsidR="00184EEB" w:rsidRPr="00AC059F">
        <w:t>H</w:t>
      </w:r>
      <w:r w:rsidR="00184EEB">
        <w:t xml:space="preserve">oppenz et al., </w:t>
      </w:r>
      <w:r w:rsidR="00184EEB" w:rsidRPr="00184EEB">
        <w:rPr>
          <w:color w:val="0070C0"/>
        </w:rPr>
        <w:t>2020</w:t>
      </w:r>
      <w:r w:rsidR="004841F6">
        <w:t>;</w:t>
      </w:r>
      <w:r w:rsidR="004841F6">
        <w:rPr>
          <w:color w:val="0070C0"/>
        </w:rPr>
        <w:t xml:space="preserve"> </w:t>
      </w:r>
      <w:r w:rsidR="004841F6">
        <w:t xml:space="preserve">Wu et al., </w:t>
      </w:r>
      <w:r w:rsidR="004841F6" w:rsidRPr="001977A4">
        <w:rPr>
          <w:color w:val="0070C0"/>
        </w:rPr>
        <w:t>2023</w:t>
      </w:r>
      <w:r w:rsidR="00184EEB">
        <w:t>).</w:t>
      </w:r>
      <w:r w:rsidR="00271DD8">
        <w:t xml:space="preserve"> </w:t>
      </w:r>
      <w:r w:rsidR="00286785">
        <w:t xml:space="preserve">It has been suggested that the ester linker was too metabolically unstable, resulting in </w:t>
      </w:r>
      <w:r w:rsidR="00556949">
        <w:t>doxorubicin’s</w:t>
      </w:r>
      <w:r w:rsidR="00286785">
        <w:t xml:space="preserve"> premature release </w:t>
      </w:r>
      <w:r w:rsidR="00556949">
        <w:t>from the peptide carrier</w:t>
      </w:r>
      <w:r w:rsidR="00286785">
        <w:t xml:space="preserve"> before cell entry</w:t>
      </w:r>
      <w:r w:rsidR="00184EEB">
        <w:t xml:space="preserve"> (</w:t>
      </w:r>
      <w:r w:rsidR="001977A4">
        <w:t xml:space="preserve">Wu et al., </w:t>
      </w:r>
      <w:r w:rsidR="001977A4" w:rsidRPr="001977A4">
        <w:rPr>
          <w:color w:val="0070C0"/>
        </w:rPr>
        <w:t>2023</w:t>
      </w:r>
      <w:r w:rsidR="00184EEB">
        <w:t>)</w:t>
      </w:r>
      <w:r w:rsidR="00556949">
        <w:t>.</w:t>
      </w:r>
      <w:r w:rsidR="00556949">
        <w:rPr>
          <w:color w:val="0070C0"/>
          <w:vertAlign w:val="superscript"/>
        </w:rPr>
        <w:t xml:space="preserve"> </w:t>
      </w:r>
      <w:r w:rsidR="00556949">
        <w:t>Another reason</w:t>
      </w:r>
      <w:r w:rsidR="00E15D11">
        <w:t xml:space="preserve"> could </w:t>
      </w:r>
      <w:r w:rsidR="00310829">
        <w:t xml:space="preserve">also </w:t>
      </w:r>
      <w:r w:rsidR="00E15D11">
        <w:t xml:space="preserve">be due to </w:t>
      </w:r>
      <w:r w:rsidR="00050BF8">
        <w:t xml:space="preserve">doxorubicin’s relatively </w:t>
      </w:r>
      <w:r w:rsidR="00E15D11">
        <w:t xml:space="preserve">poor cytotoxic activity </w:t>
      </w:r>
      <w:r w:rsidR="00050BF8">
        <w:t>when used as</w:t>
      </w:r>
      <w:r w:rsidR="00E15D11">
        <w:t xml:space="preserve"> </w:t>
      </w:r>
      <w:r w:rsidR="00050BF8">
        <w:t>a</w:t>
      </w:r>
      <w:r w:rsidR="00E15D11">
        <w:t xml:space="preserve"> drug payload.</w:t>
      </w:r>
      <w:r w:rsidR="00E8527B">
        <w:t xml:space="preserve"> Indeed, </w:t>
      </w:r>
      <w:r w:rsidR="00150740" w:rsidRPr="00E8527B">
        <w:t>Bristol Myers Squibb</w:t>
      </w:r>
      <w:r w:rsidR="00150740">
        <w:t>’s</w:t>
      </w:r>
      <w:r w:rsidR="00E8527B">
        <w:t xml:space="preserve"> antibody drug conjugate</w:t>
      </w:r>
      <w:r w:rsidR="00981FB6">
        <w:t xml:space="preserve"> (ADC)</w:t>
      </w:r>
      <w:r w:rsidR="00E8527B">
        <w:t xml:space="preserve">, </w:t>
      </w:r>
      <w:r w:rsidR="00E8527B" w:rsidRPr="00E8527B">
        <w:t>BMS-182248</w:t>
      </w:r>
      <w:r w:rsidR="00150740">
        <w:t>/</w:t>
      </w:r>
      <w:r w:rsidR="00150740" w:rsidRPr="00150740">
        <w:t>BR96-doxorubicin</w:t>
      </w:r>
      <w:r w:rsidR="00E8527B">
        <w:t xml:space="preserve">, </w:t>
      </w:r>
      <w:r w:rsidR="00600EBC">
        <w:t xml:space="preserve">which </w:t>
      </w:r>
      <w:r w:rsidR="002227D5">
        <w:t>also</w:t>
      </w:r>
      <w:r w:rsidR="00E8527B">
        <w:t xml:space="preserve"> u</w:t>
      </w:r>
      <w:r w:rsidR="00150740">
        <w:t>tili</w:t>
      </w:r>
      <w:r w:rsidR="002227D5">
        <w:t>s</w:t>
      </w:r>
      <w:r w:rsidR="00600EBC">
        <w:t>ed</w:t>
      </w:r>
      <w:r w:rsidR="00E8527B">
        <w:t xml:space="preserve"> doxorubicin</w:t>
      </w:r>
      <w:r w:rsidR="00150740">
        <w:t xml:space="preserve"> as </w:t>
      </w:r>
      <w:r w:rsidR="00EC4524">
        <w:t xml:space="preserve">a </w:t>
      </w:r>
      <w:r w:rsidR="00150740">
        <w:t>payload,</w:t>
      </w:r>
      <w:r w:rsidR="00E8527B">
        <w:t xml:space="preserve"> </w:t>
      </w:r>
      <w:r w:rsidR="00150740">
        <w:t xml:space="preserve">failed to show efficacy </w:t>
      </w:r>
      <w:r w:rsidR="00250054">
        <w:t>against</w:t>
      </w:r>
      <w:r w:rsidR="00150740">
        <w:t xml:space="preserve"> breast and gastric cancer</w:t>
      </w:r>
      <w:r w:rsidR="008B0BC3">
        <w:t xml:space="preserve"> patients</w:t>
      </w:r>
      <w:r w:rsidR="00150740">
        <w:t xml:space="preserve"> in </w:t>
      </w:r>
      <w:r w:rsidR="00A80BB8">
        <w:t xml:space="preserve">two </w:t>
      </w:r>
      <w:r w:rsidR="00150740">
        <w:t>clinical trials</w:t>
      </w:r>
      <w:r w:rsidR="00562E19">
        <w:t xml:space="preserve"> (Tolcher et al., </w:t>
      </w:r>
      <w:r w:rsidR="00562E19" w:rsidRPr="00562E19">
        <w:rPr>
          <w:color w:val="0070C0"/>
        </w:rPr>
        <w:t>1999</w:t>
      </w:r>
      <w:r w:rsidR="00562E19">
        <w:t xml:space="preserve">; Ajani et al., </w:t>
      </w:r>
      <w:r w:rsidR="00562E19" w:rsidRPr="00562E19">
        <w:rPr>
          <w:color w:val="0070C0"/>
        </w:rPr>
        <w:t>2000</w:t>
      </w:r>
      <w:r w:rsidR="00562E19">
        <w:t>)</w:t>
      </w:r>
      <w:r w:rsidR="00150740">
        <w:t>.</w:t>
      </w:r>
      <w:r w:rsidR="00CF0C70">
        <w:t xml:space="preserve"> </w:t>
      </w:r>
      <w:r w:rsidR="00692422">
        <w:t>D</w:t>
      </w:r>
      <w:r w:rsidR="009F6E1C">
        <w:t>oxorubicin</w:t>
      </w:r>
      <w:r w:rsidR="00692422">
        <w:t>’s</w:t>
      </w:r>
      <w:r w:rsidR="009F6E1C">
        <w:t xml:space="preserve"> </w:t>
      </w:r>
      <w:r w:rsidR="00692422">
        <w:t>average GI</w:t>
      </w:r>
      <w:r w:rsidR="00692422" w:rsidRPr="00692422">
        <w:rPr>
          <w:vertAlign w:val="subscript"/>
        </w:rPr>
        <w:t>50</w:t>
      </w:r>
      <w:r w:rsidR="00957CEB">
        <w:t xml:space="preserve"> against</w:t>
      </w:r>
      <w:r w:rsidR="00D6568A">
        <w:t xml:space="preserve"> </w:t>
      </w:r>
      <w:r w:rsidR="00692422">
        <w:t xml:space="preserve">39 </w:t>
      </w:r>
      <w:r w:rsidR="00D6568A">
        <w:t xml:space="preserve">cancer cell lines </w:t>
      </w:r>
      <w:r w:rsidR="00692422">
        <w:t xml:space="preserve">was reported to be </w:t>
      </w:r>
      <w:r w:rsidR="008064CA">
        <w:t>63</w:t>
      </w:r>
      <w:r w:rsidR="00692422">
        <w:t>1 nM</w:t>
      </w:r>
      <w:r w:rsidR="008B697E">
        <w:t xml:space="preserve"> (Doronina et al., </w:t>
      </w:r>
      <w:r w:rsidR="008B697E" w:rsidRPr="008B697E">
        <w:rPr>
          <w:color w:val="0070C0"/>
        </w:rPr>
        <w:t>2003</w:t>
      </w:r>
      <w:r w:rsidR="008B697E">
        <w:t>)</w:t>
      </w:r>
      <w:r w:rsidR="00D6568A">
        <w:t xml:space="preserve"> </w:t>
      </w:r>
      <w:r w:rsidR="00AA0783">
        <w:t xml:space="preserve">and </w:t>
      </w:r>
      <w:r w:rsidR="00692422">
        <w:t>this was</w:t>
      </w:r>
      <w:r w:rsidR="00B17F8F">
        <w:t xml:space="preserve"> </w:t>
      </w:r>
      <w:r w:rsidR="00600EBC">
        <w:t>postulated</w:t>
      </w:r>
      <w:r w:rsidR="00B17F8F">
        <w:t xml:space="preserve"> t</w:t>
      </w:r>
      <w:r w:rsidR="00EC4524">
        <w:t>o</w:t>
      </w:r>
      <w:r w:rsidR="00B17F8F">
        <w:t xml:space="preserve"> </w:t>
      </w:r>
      <w:r w:rsidR="00692422">
        <w:t xml:space="preserve">lack </w:t>
      </w:r>
      <w:r w:rsidR="008B0BC3">
        <w:t>t</w:t>
      </w:r>
      <w:r w:rsidR="00900555">
        <w:t>he</w:t>
      </w:r>
      <w:r w:rsidR="00692422">
        <w:t xml:space="preserve"> potency </w:t>
      </w:r>
      <w:r w:rsidR="00D8636A">
        <w:t xml:space="preserve">required </w:t>
      </w:r>
      <w:r w:rsidR="00692422">
        <w:t xml:space="preserve">as </w:t>
      </w:r>
      <w:r w:rsidR="00E8047E">
        <w:t xml:space="preserve">an </w:t>
      </w:r>
      <w:r w:rsidR="00B17F8F">
        <w:t>effective payload</w:t>
      </w:r>
      <w:r w:rsidR="00D6568A">
        <w:t xml:space="preserve"> </w:t>
      </w:r>
      <w:r w:rsidR="00AA0783">
        <w:t xml:space="preserve">as </w:t>
      </w:r>
      <w:r w:rsidR="00981FB6">
        <w:t>less than 0.</w:t>
      </w:r>
      <w:r w:rsidR="00C46657">
        <w:t>0</w:t>
      </w:r>
      <w:r w:rsidR="00981FB6">
        <w:t xml:space="preserve">1% of </w:t>
      </w:r>
      <w:r w:rsidR="00C46657">
        <w:t>injected</w:t>
      </w:r>
      <w:r w:rsidR="00981FB6">
        <w:t xml:space="preserve"> ADC</w:t>
      </w:r>
      <w:r w:rsidR="008B0BC3">
        <w:t>s</w:t>
      </w:r>
      <w:r w:rsidR="00981FB6">
        <w:t xml:space="preserve"> </w:t>
      </w:r>
      <w:r w:rsidR="008B0BC3">
        <w:t>are</w:t>
      </w:r>
      <w:r w:rsidR="00981FB6">
        <w:t xml:space="preserve"> </w:t>
      </w:r>
      <w:r w:rsidR="00AA0783">
        <w:t>estimated</w:t>
      </w:r>
      <w:r w:rsidR="00981FB6">
        <w:t xml:space="preserve"> to enter targeted </w:t>
      </w:r>
      <w:r w:rsidR="00C46657">
        <w:t>tumour</w:t>
      </w:r>
      <w:r w:rsidR="00981FB6">
        <w:t xml:space="preserve"> cells</w:t>
      </w:r>
      <w:r w:rsidR="003D0C82">
        <w:t xml:space="preserve"> (Beck et al., </w:t>
      </w:r>
      <w:r w:rsidR="003D0C82" w:rsidRPr="003D0C82">
        <w:rPr>
          <w:color w:val="0070C0"/>
        </w:rPr>
        <w:t>2017</w:t>
      </w:r>
      <w:r w:rsidR="003D0C82">
        <w:t>).</w:t>
      </w:r>
      <w:r w:rsidR="00C46657">
        <w:t xml:space="preserve"> </w:t>
      </w:r>
      <w:r w:rsidR="00F4104D">
        <w:t xml:space="preserve">Hence, </w:t>
      </w:r>
      <w:r w:rsidR="008B5FFC">
        <w:t xml:space="preserve">ADCs </w:t>
      </w:r>
      <w:r w:rsidR="00F4104D">
        <w:t xml:space="preserve">designed </w:t>
      </w:r>
      <w:r w:rsidR="008B5FFC">
        <w:t xml:space="preserve">for cancer treatment utilise more potent </w:t>
      </w:r>
      <w:r w:rsidR="00900555">
        <w:t>payload</w:t>
      </w:r>
      <w:r w:rsidR="008B5FFC">
        <w:t>s</w:t>
      </w:r>
      <w:r w:rsidR="009F5579">
        <w:t>;</w:t>
      </w:r>
      <w:r w:rsidR="008B5FFC">
        <w:t xml:space="preserve"> the most popular being monomethyl auristatin E (MMAE)</w:t>
      </w:r>
      <w:r w:rsidR="00F4104D">
        <w:t>,</w:t>
      </w:r>
      <w:r w:rsidR="006D3B84">
        <w:t xml:space="preserve"> </w:t>
      </w:r>
      <w:r w:rsidR="00AD0120">
        <w:t>first reported by Seattle Genetics in 2003</w:t>
      </w:r>
      <w:r w:rsidR="008B697E">
        <w:t xml:space="preserve"> (Doronina et al., </w:t>
      </w:r>
      <w:r w:rsidR="008B697E" w:rsidRPr="008B697E">
        <w:rPr>
          <w:color w:val="0070C0"/>
        </w:rPr>
        <w:t>2003</w:t>
      </w:r>
      <w:r w:rsidR="008B697E">
        <w:t>)</w:t>
      </w:r>
      <w:r w:rsidR="00AD0120">
        <w:t xml:space="preserve">. </w:t>
      </w:r>
      <w:r w:rsidR="00063A7E">
        <w:t xml:space="preserve">MMAE is an ultra-potent tubulin binder </w:t>
      </w:r>
      <w:r w:rsidR="00F66755">
        <w:t>that</w:t>
      </w:r>
      <w:r w:rsidR="00063A7E">
        <w:t xml:space="preserve"> </w:t>
      </w:r>
      <w:r w:rsidR="00F66755">
        <w:t>prevents</w:t>
      </w:r>
      <w:r w:rsidR="00063A7E">
        <w:t xml:space="preserve"> tubulin polymeri</w:t>
      </w:r>
      <w:r w:rsidR="00D8636A">
        <w:t>s</w:t>
      </w:r>
      <w:r w:rsidR="00063A7E">
        <w:t>ation, resulting in cell death</w:t>
      </w:r>
      <w:r w:rsidR="00F66755">
        <w:t xml:space="preserve"> with an average </w:t>
      </w:r>
      <w:r w:rsidR="007A1231">
        <w:t xml:space="preserve">3 nM </w:t>
      </w:r>
      <w:r w:rsidR="00F66755">
        <w:t>GI</w:t>
      </w:r>
      <w:r w:rsidR="00F66755" w:rsidRPr="00F66755">
        <w:rPr>
          <w:vertAlign w:val="subscript"/>
        </w:rPr>
        <w:t>50</w:t>
      </w:r>
      <w:r w:rsidR="00F66755">
        <w:t xml:space="preserve"> </w:t>
      </w:r>
      <w:r w:rsidR="007A1231">
        <w:t>a</w:t>
      </w:r>
      <w:r w:rsidR="00F66755">
        <w:t xml:space="preserve">gainst 39 cancer cell lines, compared to doxorubicin’s </w:t>
      </w:r>
      <w:r w:rsidR="008064CA">
        <w:t>63</w:t>
      </w:r>
      <w:r w:rsidR="00F66755">
        <w:t>1 nM</w:t>
      </w:r>
      <w:r w:rsidR="008B697E">
        <w:t xml:space="preserve"> (Doronina et al., </w:t>
      </w:r>
      <w:r w:rsidR="008B697E" w:rsidRPr="008B697E">
        <w:rPr>
          <w:color w:val="0070C0"/>
        </w:rPr>
        <w:t>2003</w:t>
      </w:r>
      <w:r w:rsidR="008B697E">
        <w:t>)</w:t>
      </w:r>
      <w:r w:rsidR="00063A7E">
        <w:t xml:space="preserve">. </w:t>
      </w:r>
      <w:r w:rsidR="00AD0120">
        <w:t xml:space="preserve">When conjugated </w:t>
      </w:r>
      <w:r w:rsidR="00F4104D" w:rsidRPr="009168A5">
        <w:rPr>
          <w:i/>
          <w:iCs/>
        </w:rPr>
        <w:t>via</w:t>
      </w:r>
      <w:r w:rsidR="00F4104D">
        <w:t xml:space="preserve"> a para-</w:t>
      </w:r>
      <w:r w:rsidR="00F4104D" w:rsidRPr="009168A5">
        <w:t>aminobenzyloxycarbamoyl</w:t>
      </w:r>
      <w:r w:rsidR="00F4104D">
        <w:t xml:space="preserve"> </w:t>
      </w:r>
      <w:r w:rsidR="00861351">
        <w:t xml:space="preserve">(PABC) </w:t>
      </w:r>
      <w:r w:rsidR="00F4104D">
        <w:t xml:space="preserve">spacer </w:t>
      </w:r>
      <w:r w:rsidR="00AD0120">
        <w:t xml:space="preserve">to a cathepsin-cleavable </w:t>
      </w:r>
      <w:r w:rsidR="00861351">
        <w:t xml:space="preserve">valine-citrulline (VC) </w:t>
      </w:r>
      <w:r w:rsidR="00AD0120">
        <w:t>dipeptide</w:t>
      </w:r>
      <w:r w:rsidR="00861351">
        <w:t xml:space="preserve"> </w:t>
      </w:r>
      <w:r w:rsidR="00AD0120">
        <w:t>linke</w:t>
      </w:r>
      <w:r w:rsidR="00E307A9">
        <w:t>d to</w:t>
      </w:r>
      <w:r w:rsidR="00310829">
        <w:t xml:space="preserve"> a</w:t>
      </w:r>
      <w:r w:rsidR="00E307A9">
        <w:t xml:space="preserve"> </w:t>
      </w:r>
      <w:r w:rsidR="00117734" w:rsidRPr="00117734">
        <w:t>maleimidocaproyl</w:t>
      </w:r>
      <w:r w:rsidR="00117734">
        <w:t xml:space="preserve"> (MC) moiety</w:t>
      </w:r>
      <w:r w:rsidR="00AD0120">
        <w:t xml:space="preserve">, this </w:t>
      </w:r>
      <w:r w:rsidR="00C435CE">
        <w:t xml:space="preserve">clinically-proven </w:t>
      </w:r>
      <w:r w:rsidR="00AD0120">
        <w:t xml:space="preserve">linker-toxin </w:t>
      </w:r>
      <w:r w:rsidR="009168A5">
        <w:t>is named</w:t>
      </w:r>
      <w:r w:rsidR="00AD0120">
        <w:t xml:space="preserve"> </w:t>
      </w:r>
      <w:r w:rsidR="00FD0FCA">
        <w:t>‘</w:t>
      </w:r>
      <w:r w:rsidR="00AD0120">
        <w:t>vedotin</w:t>
      </w:r>
      <w:r w:rsidR="00FD0FCA">
        <w:t>’</w:t>
      </w:r>
      <w:r w:rsidR="000E2553" w:rsidRPr="000E2553">
        <w:rPr>
          <w:color w:val="0070C0"/>
          <w:vertAlign w:val="superscript"/>
        </w:rPr>
        <w:t xml:space="preserve"> </w:t>
      </w:r>
      <w:r w:rsidR="000E2553">
        <w:t>(Fig. 1)</w:t>
      </w:r>
      <w:r w:rsidR="00AD0120" w:rsidRPr="00AD0120">
        <w:t xml:space="preserve"> </w:t>
      </w:r>
      <w:r w:rsidR="009168A5">
        <w:t>and is currently</w:t>
      </w:r>
      <w:r w:rsidR="00AD0120">
        <w:t xml:space="preserve"> </w:t>
      </w:r>
      <w:r w:rsidR="009168A5">
        <w:t>utili</w:t>
      </w:r>
      <w:r w:rsidR="00D8636A">
        <w:t>s</w:t>
      </w:r>
      <w:r w:rsidR="009168A5">
        <w:t>ed</w:t>
      </w:r>
      <w:r w:rsidR="00AD0120">
        <w:t xml:space="preserve"> </w:t>
      </w:r>
      <w:r w:rsidR="009168A5">
        <w:t>by</w:t>
      </w:r>
      <w:r w:rsidR="00AD0120">
        <w:t xml:space="preserve"> four FDA-approved ADCs</w:t>
      </w:r>
      <w:r w:rsidR="00FD143D">
        <w:t xml:space="preserve"> for treating various cancers</w:t>
      </w:r>
      <w:r w:rsidR="00161D87">
        <w:t xml:space="preserve"> (Dumontet et al., </w:t>
      </w:r>
      <w:r w:rsidR="00161D87" w:rsidRPr="00161D87">
        <w:rPr>
          <w:color w:val="0070C0"/>
        </w:rPr>
        <w:t>2023</w:t>
      </w:r>
      <w:r w:rsidR="00161D87">
        <w:t>).</w:t>
      </w:r>
      <w:r w:rsidR="000D0020">
        <w:t xml:space="preserve"> </w:t>
      </w:r>
      <w:r w:rsidR="007E7937">
        <w:lastRenderedPageBreak/>
        <w:t xml:space="preserve">Based on </w:t>
      </w:r>
      <w:r w:rsidR="009A3076">
        <w:t>its popularity and commercial availability</w:t>
      </w:r>
      <w:r w:rsidR="007E7937">
        <w:t>, we conjugate</w:t>
      </w:r>
      <w:r w:rsidR="00F21CEA">
        <w:t>d</w:t>
      </w:r>
      <w:r w:rsidR="007E7937">
        <w:t xml:space="preserve"> </w:t>
      </w:r>
      <w:r w:rsidR="00C435CE">
        <w:t>MC-VC-PABC-MMAE</w:t>
      </w:r>
      <w:r w:rsidR="00773957">
        <w:t xml:space="preserve"> to </w:t>
      </w:r>
      <w:r w:rsidR="008E04C5">
        <w:t>the</w:t>
      </w:r>
      <w:r w:rsidR="00773957">
        <w:t xml:space="preserve"> LHRH peptide </w:t>
      </w:r>
      <w:r w:rsidR="00FD143D">
        <w:t>analog</w:t>
      </w:r>
      <w:r w:rsidR="008E04C5">
        <w:t xml:space="preserve"> </w:t>
      </w:r>
      <w:r w:rsidR="008E04C5" w:rsidRPr="000E2553">
        <w:rPr>
          <w:i/>
          <w:iCs/>
        </w:rPr>
        <w:t>D</w:t>
      </w:r>
      <w:r w:rsidR="008E04C5" w:rsidRPr="008E04C5">
        <w:t>-</w:t>
      </w:r>
      <w:r w:rsidR="008E04C5">
        <w:t>C</w:t>
      </w:r>
      <w:r w:rsidR="008E04C5" w:rsidRPr="008E04C5">
        <w:t>ys6-LHRH</w:t>
      </w:r>
      <w:r w:rsidR="008E04C5">
        <w:t xml:space="preserve"> to yield peptide drug conjugate</w:t>
      </w:r>
      <w:r w:rsidR="00773957">
        <w:t xml:space="preserve"> </w:t>
      </w:r>
      <w:r w:rsidR="00D878AD" w:rsidRPr="00D878AD">
        <w:rPr>
          <w:b/>
          <w:bCs/>
          <w:i/>
          <w:iCs/>
        </w:rPr>
        <w:t>D</w:t>
      </w:r>
      <w:r w:rsidR="00D878AD" w:rsidRPr="00D878AD">
        <w:rPr>
          <w:b/>
          <w:bCs/>
        </w:rPr>
        <w:t>-Cys6-LHRH vedotin</w:t>
      </w:r>
      <w:r w:rsidR="008E04C5">
        <w:rPr>
          <w:b/>
          <w:bCs/>
        </w:rPr>
        <w:t xml:space="preserve"> </w:t>
      </w:r>
      <w:r w:rsidR="008E04C5">
        <w:t>(Fig. 1</w:t>
      </w:r>
      <w:r w:rsidR="00C435CE">
        <w:t xml:space="preserve"> and Scheme 1</w:t>
      </w:r>
      <w:r w:rsidR="008E04C5">
        <w:t>)</w:t>
      </w:r>
      <w:r w:rsidR="00B53A6C">
        <w:t>. I</w:t>
      </w:r>
      <w:r w:rsidR="00773957">
        <w:t>ts</w:t>
      </w:r>
      <w:r w:rsidR="00EC4524">
        <w:t xml:space="preserve"> </w:t>
      </w:r>
      <w:r w:rsidR="00FD143D">
        <w:t>GI</w:t>
      </w:r>
      <w:r w:rsidR="00FD143D" w:rsidRPr="00FD143D">
        <w:rPr>
          <w:vertAlign w:val="subscript"/>
        </w:rPr>
        <w:t>50</w:t>
      </w:r>
      <w:r w:rsidR="007E7937">
        <w:t xml:space="preserve"> </w:t>
      </w:r>
      <w:r w:rsidR="00EC4524">
        <w:t xml:space="preserve">and </w:t>
      </w:r>
      <w:r w:rsidR="00B53A6C">
        <w:t xml:space="preserve">cell </w:t>
      </w:r>
      <w:r w:rsidR="00EC4524">
        <w:t>selectivity</w:t>
      </w:r>
      <w:r w:rsidR="007A1231">
        <w:t xml:space="preserve"> </w:t>
      </w:r>
      <w:r w:rsidR="000E2553">
        <w:t xml:space="preserve">against various cancer and non-cancer human cell lines </w:t>
      </w:r>
      <w:r w:rsidR="00B53A6C">
        <w:t>w</w:t>
      </w:r>
      <w:r w:rsidR="00652DEA">
        <w:t>ere</w:t>
      </w:r>
      <w:r w:rsidR="00B53A6C">
        <w:t xml:space="preserve"> compared to </w:t>
      </w:r>
      <w:r w:rsidR="00554AD8" w:rsidRPr="00385307">
        <w:t>Zoptarelin doxorubicin</w:t>
      </w:r>
      <w:r w:rsidR="0097594C">
        <w:t xml:space="preserve"> </w:t>
      </w:r>
      <w:r w:rsidR="00385307">
        <w:t xml:space="preserve">and </w:t>
      </w:r>
      <w:r w:rsidR="00877EFA">
        <w:t xml:space="preserve">ovarian cancer </w:t>
      </w:r>
      <w:r w:rsidR="00385307">
        <w:t>chemotherapeutic drugs</w:t>
      </w:r>
      <w:r w:rsidR="00877EFA">
        <w:t xml:space="preserve"> </w:t>
      </w:r>
      <w:r w:rsidR="00385307">
        <w:t>paclitaxel and doxorubicin</w:t>
      </w:r>
      <w:r w:rsidR="00AF4900">
        <w:t xml:space="preserve"> </w:t>
      </w:r>
      <w:r w:rsidR="00652DEA">
        <w:t xml:space="preserve">to gauge its potential </w:t>
      </w:r>
      <w:r w:rsidR="000616A5">
        <w:t xml:space="preserve">for use </w:t>
      </w:r>
      <w:r w:rsidR="00CB6D04">
        <w:t>as a cancer drug candidate</w:t>
      </w:r>
      <w:r w:rsidR="007A1231">
        <w:t>.</w:t>
      </w:r>
      <w:r w:rsidR="00EC4524">
        <w:t xml:space="preserve"> </w:t>
      </w:r>
      <w:r w:rsidR="000D0020">
        <w:t xml:space="preserve"> </w:t>
      </w:r>
      <w:r w:rsidR="008B5FFC">
        <w:t xml:space="preserve"> </w:t>
      </w:r>
      <w:r w:rsidR="00AA0783">
        <w:t xml:space="preserve"> </w:t>
      </w:r>
      <w:r w:rsidR="00D6568A">
        <w:t xml:space="preserve">  </w:t>
      </w:r>
      <w:r w:rsidR="00150740">
        <w:t xml:space="preserve">  </w:t>
      </w:r>
      <w:r w:rsidR="00E8527B">
        <w:t xml:space="preserve"> </w:t>
      </w:r>
      <w:r w:rsidR="00E15D11">
        <w:t xml:space="preserve">  </w:t>
      </w:r>
      <w:r w:rsidR="00271DD8">
        <w:t xml:space="preserve"> </w:t>
      </w:r>
    </w:p>
    <w:p w14:paraId="3832AFB9" w14:textId="77777777" w:rsidR="00B07DEE" w:rsidRPr="008D2BA2" w:rsidRDefault="00B07DEE" w:rsidP="00B07DEE">
      <w:pPr>
        <w:pStyle w:val="Heading2"/>
        <w:rPr>
          <w:color w:val="FFFFFF"/>
        </w:rPr>
      </w:pPr>
      <w:r w:rsidRPr="008D2BA2">
        <w:rPr>
          <w:color w:val="FFFFFF"/>
        </w:rPr>
        <w:t>Fig. 1</w:t>
      </w:r>
    </w:p>
    <w:p w14:paraId="0B8C0BF9" w14:textId="77777777" w:rsidR="00A47360" w:rsidRPr="005C6C01" w:rsidRDefault="00D2522C" w:rsidP="00A47360">
      <w:r>
        <w:object w:dxaOrig="22883" w:dyaOrig="10438" w14:anchorId="2B869E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5pt;height:3in" o:ole="">
            <v:imagedata r:id="rId9" o:title=""/>
          </v:shape>
          <o:OLEObject Type="Embed" ProgID="ChemDraw.Document.6.0" ShapeID="_x0000_i1025" DrawAspect="Content" ObjectID="_1774718787" r:id="rId10"/>
        </w:object>
      </w:r>
    </w:p>
    <w:p w14:paraId="16B4190A" w14:textId="77777777" w:rsidR="00A47360" w:rsidRDefault="00A47360" w:rsidP="00A47360">
      <w:r>
        <w:rPr>
          <w:b/>
        </w:rPr>
        <w:t>Fig.</w:t>
      </w:r>
      <w:r w:rsidRPr="00730550">
        <w:rPr>
          <w:b/>
        </w:rPr>
        <w:t xml:space="preserve"> 1</w:t>
      </w:r>
      <w:r>
        <w:t xml:space="preserve">. </w:t>
      </w:r>
      <w:r w:rsidR="00BB7519">
        <w:t xml:space="preserve">Structures of </w:t>
      </w:r>
      <w:r w:rsidR="00126AF9">
        <w:t xml:space="preserve">LHRH, </w:t>
      </w:r>
      <w:r w:rsidR="00BB7519">
        <w:t>p</w:t>
      </w:r>
      <w:r w:rsidR="005F3EC3">
        <w:t xml:space="preserve">eptide drug conjugates </w:t>
      </w:r>
      <w:r w:rsidR="00C359B7" w:rsidRPr="00174D82">
        <w:t>AN-152</w:t>
      </w:r>
      <w:r w:rsidR="00C359B7">
        <w:t>/</w:t>
      </w:r>
      <w:r w:rsidR="00C359B7" w:rsidRPr="004D5309">
        <w:t>AEZS</w:t>
      </w:r>
      <w:r w:rsidR="00C359B7">
        <w:t>-</w:t>
      </w:r>
      <w:r w:rsidR="00C359B7" w:rsidRPr="004D5309">
        <w:t>108</w:t>
      </w:r>
      <w:r w:rsidR="00C359B7">
        <w:t>/</w:t>
      </w:r>
      <w:r w:rsidR="00C359B7" w:rsidRPr="004D5309">
        <w:t>Zoptarelin</w:t>
      </w:r>
      <w:r w:rsidR="00C359B7">
        <w:t xml:space="preserve"> doxorubicin/Zoptrex</w:t>
      </w:r>
      <w:r w:rsidR="005F3EC3">
        <w:t xml:space="preserve"> and </w:t>
      </w:r>
      <w:r w:rsidR="00D878AD" w:rsidRPr="00D878AD">
        <w:rPr>
          <w:i/>
          <w:iCs/>
        </w:rPr>
        <w:t>D</w:t>
      </w:r>
      <w:r w:rsidR="00D878AD" w:rsidRPr="00D878AD">
        <w:t>-Cys6-LHRH vedotin</w:t>
      </w:r>
      <w:r w:rsidRPr="005B3830">
        <w:t>.</w:t>
      </w:r>
      <w:r w:rsidR="005F3EC3">
        <w:t xml:space="preserve"> Enzyme</w:t>
      </w:r>
      <w:r w:rsidR="008C0846">
        <w:t>-</w:t>
      </w:r>
      <w:r w:rsidR="005F3EC3">
        <w:t xml:space="preserve">cleavable linkers and cytotoxic payloads are </w:t>
      </w:r>
      <w:r w:rsidR="008C0846">
        <w:t>denoted</w:t>
      </w:r>
      <w:r w:rsidR="005F3EC3">
        <w:t xml:space="preserve"> </w:t>
      </w:r>
      <w:r w:rsidR="008C0846">
        <w:t xml:space="preserve">in </w:t>
      </w:r>
      <w:r w:rsidR="005F3EC3">
        <w:t>blue and red respectively.</w:t>
      </w:r>
      <w:r w:rsidR="003E147B">
        <w:t xml:space="preserve"> </w:t>
      </w:r>
      <w:r w:rsidR="00FE2E5C">
        <w:t xml:space="preserve">Enzyme-cleavable bonds are highlighted pink. </w:t>
      </w:r>
      <w:r w:rsidR="00011F26">
        <w:t xml:space="preserve">Asterisk represents residue 6. </w:t>
      </w:r>
    </w:p>
    <w:p w14:paraId="16315659" w14:textId="77777777" w:rsidR="00B82A90" w:rsidRDefault="004729A7" w:rsidP="004729A7">
      <w:pPr>
        <w:pStyle w:val="Heading2"/>
      </w:pPr>
      <w:r>
        <w:t>Method</w:t>
      </w:r>
    </w:p>
    <w:p w14:paraId="7DCA5345" w14:textId="77777777" w:rsidR="00AD61B6" w:rsidRDefault="00CB6D04" w:rsidP="00193E44">
      <w:pPr>
        <w:ind w:firstLine="720"/>
      </w:pPr>
      <w:r>
        <w:t>C</w:t>
      </w:r>
      <w:r w:rsidR="00F875A1">
        <w:t xml:space="preserve">linical candidate </w:t>
      </w:r>
      <w:r w:rsidR="00FB7714" w:rsidRPr="004D5309">
        <w:t>Zoptarelin</w:t>
      </w:r>
      <w:r w:rsidR="00FB7714">
        <w:t xml:space="preserve"> doxorubicin</w:t>
      </w:r>
      <w:r w:rsidR="00C359B7">
        <w:t xml:space="preserve"> was synthesised </w:t>
      </w:r>
      <w:r w:rsidR="00183359">
        <w:t>based on</w:t>
      </w:r>
      <w:r w:rsidR="00C359B7">
        <w:t xml:space="preserve"> a reported method</w:t>
      </w:r>
      <w:r w:rsidR="00161D87">
        <w:t xml:space="preserve"> in a patent (US5843903A)</w:t>
      </w:r>
      <w:r w:rsidR="00F21CEA">
        <w:t xml:space="preserve"> and details </w:t>
      </w:r>
      <w:r w:rsidR="00652DEA">
        <w:t>are recorded</w:t>
      </w:r>
      <w:r w:rsidR="00F21CEA">
        <w:t xml:space="preserve"> in the </w:t>
      </w:r>
      <w:r w:rsidR="004729A7">
        <w:t>s</w:t>
      </w:r>
      <w:r w:rsidR="00F21CEA">
        <w:t xml:space="preserve">upplementary </w:t>
      </w:r>
      <w:r w:rsidR="004729A7">
        <w:t>file</w:t>
      </w:r>
      <w:r w:rsidR="00C359B7">
        <w:t xml:space="preserve">. </w:t>
      </w:r>
      <w:r w:rsidR="00F21CEA">
        <w:t>Peptide drug conjugate</w:t>
      </w:r>
      <w:r w:rsidR="00877EFA">
        <w:t xml:space="preserve"> </w:t>
      </w:r>
      <w:r w:rsidR="00877EFA" w:rsidRPr="00877EFA">
        <w:rPr>
          <w:i/>
          <w:iCs/>
        </w:rPr>
        <w:t>D</w:t>
      </w:r>
      <w:r w:rsidR="00877EFA" w:rsidRPr="00877EFA">
        <w:t>-Cys6-LHRH vedotin</w:t>
      </w:r>
      <w:r w:rsidR="00F21CEA">
        <w:t xml:space="preserve"> was synthesised by coupling </w:t>
      </w:r>
      <w:r w:rsidR="00193E44">
        <w:t xml:space="preserve">peptide </w:t>
      </w:r>
      <w:r w:rsidR="00F21CEA" w:rsidRPr="00877EFA">
        <w:rPr>
          <w:i/>
          <w:iCs/>
        </w:rPr>
        <w:t>D</w:t>
      </w:r>
      <w:r w:rsidR="00F21CEA" w:rsidRPr="008E04C5">
        <w:t>-</w:t>
      </w:r>
      <w:r w:rsidR="00F21CEA">
        <w:t>C</w:t>
      </w:r>
      <w:r w:rsidR="00F21CEA" w:rsidRPr="008E04C5">
        <w:t>ys6-LHRH</w:t>
      </w:r>
      <w:r w:rsidR="00F21CEA">
        <w:t xml:space="preserve"> (GL Biochem</w:t>
      </w:r>
      <w:r w:rsidR="00811C55">
        <w:t xml:space="preserve">, </w:t>
      </w:r>
      <w:r w:rsidR="00EF0C58">
        <w:t>catalog</w:t>
      </w:r>
      <w:r w:rsidR="008A6DF8" w:rsidRPr="002E4359">
        <w:t>#</w:t>
      </w:r>
      <w:r w:rsidR="00EF0C58" w:rsidRPr="002E4359">
        <w:t xml:space="preserve"> </w:t>
      </w:r>
      <w:r w:rsidR="001711B3" w:rsidRPr="001711B3">
        <w:t>534114</w:t>
      </w:r>
      <w:r w:rsidR="00F21CEA">
        <w:t xml:space="preserve">) to </w:t>
      </w:r>
      <w:r w:rsidR="00CE26E5">
        <w:t>MC-VC-PABC-MMAE</w:t>
      </w:r>
      <w:r w:rsidR="00F21CEA">
        <w:t xml:space="preserve"> (ABCR</w:t>
      </w:r>
      <w:r w:rsidR="00193E44">
        <w:t xml:space="preserve"> GmbH</w:t>
      </w:r>
      <w:r w:rsidR="00F21CEA">
        <w:t xml:space="preserve">, </w:t>
      </w:r>
      <w:r w:rsidR="00EF0C58">
        <w:lastRenderedPageBreak/>
        <w:t>catalog</w:t>
      </w:r>
      <w:r w:rsidR="00EC6C0D" w:rsidRPr="002E4359">
        <w:t>#</w:t>
      </w:r>
      <w:r w:rsidR="00EF0C58" w:rsidRPr="002E4359">
        <w:t xml:space="preserve"> </w:t>
      </w:r>
      <w:r w:rsidR="00FA0B2A" w:rsidRPr="00FA0B2A">
        <w:t>AB456059</w:t>
      </w:r>
      <w:r w:rsidR="00F21CEA">
        <w:t>)</w:t>
      </w:r>
      <w:r w:rsidR="00193E44">
        <w:t xml:space="preserve"> (Scheme 1</w:t>
      </w:r>
      <w:r w:rsidR="00CE26E5">
        <w:t>;</w:t>
      </w:r>
      <w:r w:rsidR="00193E44">
        <w:t xml:space="preserve"> </w:t>
      </w:r>
      <w:r w:rsidR="00CE26E5">
        <w:t xml:space="preserve">synthetic </w:t>
      </w:r>
      <w:r w:rsidR="00193E44">
        <w:t xml:space="preserve">details </w:t>
      </w:r>
      <w:r w:rsidR="00652DEA">
        <w:t xml:space="preserve">recorded </w:t>
      </w:r>
      <w:r w:rsidR="00193E44">
        <w:t xml:space="preserve">in </w:t>
      </w:r>
      <w:r w:rsidR="004729A7">
        <w:t>s</w:t>
      </w:r>
      <w:r w:rsidR="00193E44">
        <w:t xml:space="preserve">upplementary </w:t>
      </w:r>
      <w:r w:rsidR="004729A7">
        <w:t>file</w:t>
      </w:r>
      <w:r w:rsidR="00CE26E5">
        <w:t>)</w:t>
      </w:r>
      <w:r w:rsidR="00193E44">
        <w:t xml:space="preserve">. </w:t>
      </w:r>
      <w:r w:rsidR="001711B3">
        <w:t>Doxorubicin and p</w:t>
      </w:r>
      <w:r w:rsidR="00193E44">
        <w:t>aclitaxel</w:t>
      </w:r>
      <w:r w:rsidR="00E16435">
        <w:t xml:space="preserve"> were purchased from </w:t>
      </w:r>
      <w:r w:rsidR="00BC0538">
        <w:t>Merck</w:t>
      </w:r>
      <w:r w:rsidR="00341A59">
        <w:t xml:space="preserve"> </w:t>
      </w:r>
      <w:r w:rsidR="001711B3">
        <w:t>(</w:t>
      </w:r>
      <w:r w:rsidR="00EF0C58">
        <w:t>catalog</w:t>
      </w:r>
      <w:r w:rsidR="00EC6C0D" w:rsidRPr="002E4359">
        <w:t>#</w:t>
      </w:r>
      <w:r w:rsidR="00EF0C58" w:rsidRPr="002E4359">
        <w:t xml:space="preserve"> </w:t>
      </w:r>
      <w:r w:rsidR="001711B3">
        <w:t xml:space="preserve">D1515 and T7191 respectively) </w:t>
      </w:r>
      <w:r w:rsidR="00341A59">
        <w:t>while</w:t>
      </w:r>
      <w:r w:rsidR="00E16435">
        <w:t xml:space="preserve"> </w:t>
      </w:r>
      <w:r w:rsidR="00193E44">
        <w:t>MMAE</w:t>
      </w:r>
      <w:r w:rsidR="00E16435">
        <w:t xml:space="preserve"> w</w:t>
      </w:r>
      <w:r w:rsidR="00193E44">
        <w:t>as</w:t>
      </w:r>
      <w:r w:rsidR="00E16435">
        <w:t xml:space="preserve"> purchased from </w:t>
      </w:r>
      <w:r w:rsidR="00193E44">
        <w:t>MedChemExpress</w:t>
      </w:r>
      <w:r w:rsidR="00E16435">
        <w:t xml:space="preserve"> (</w:t>
      </w:r>
      <w:r w:rsidR="00EF0C58">
        <w:t>catalog</w:t>
      </w:r>
      <w:r w:rsidR="00EC6C0D" w:rsidRPr="002E4359">
        <w:t>#</w:t>
      </w:r>
      <w:r w:rsidR="00EF0C58" w:rsidRPr="002E4359">
        <w:t xml:space="preserve"> </w:t>
      </w:r>
      <w:r w:rsidR="003E4627" w:rsidRPr="003E4627">
        <w:t>HY-15162</w:t>
      </w:r>
      <w:r w:rsidR="00E16435">
        <w:t>).</w:t>
      </w:r>
      <w:r w:rsidR="00C4365A">
        <w:t xml:space="preserve"> </w:t>
      </w:r>
      <w:r w:rsidR="000552E0">
        <w:t>LHRH receptor-positive (OVCAR-3)</w:t>
      </w:r>
      <w:r w:rsidR="003A750F">
        <w:t>,</w:t>
      </w:r>
      <w:r w:rsidR="000552E0">
        <w:t xml:space="preserve"> receptor-negative (SK-OV-3) ovarian cancer cell lines </w:t>
      </w:r>
      <w:r w:rsidR="003A750F">
        <w:t xml:space="preserve">and lung fibroblast (MRC-5) </w:t>
      </w:r>
      <w:r w:rsidR="000552E0">
        <w:t xml:space="preserve">were purchased from </w:t>
      </w:r>
      <w:r w:rsidR="003A750F">
        <w:t>ATCC</w:t>
      </w:r>
      <w:r w:rsidR="000552E0">
        <w:t xml:space="preserve">. </w:t>
      </w:r>
      <w:r w:rsidR="003A750F">
        <w:t>The n</w:t>
      </w:r>
      <w:r w:rsidR="000552E0">
        <w:t xml:space="preserve">on-cancerous human ovarian (H-6036) cell line </w:t>
      </w:r>
      <w:r w:rsidR="003A750F">
        <w:t xml:space="preserve">was purchased from </w:t>
      </w:r>
      <w:r w:rsidR="003A750F" w:rsidRPr="000F2BF1">
        <w:t>Cell Biologics</w:t>
      </w:r>
      <w:r w:rsidR="000552E0">
        <w:t xml:space="preserve">. </w:t>
      </w:r>
      <w:r w:rsidR="00AD50CB">
        <w:t>C</w:t>
      </w:r>
      <w:r w:rsidR="003E4627">
        <w:t>ell line</w:t>
      </w:r>
      <w:r w:rsidR="00A51F71">
        <w:t xml:space="preserve"> cultur</w:t>
      </w:r>
      <w:r w:rsidR="003A750F">
        <w:t>ing method</w:t>
      </w:r>
      <w:r w:rsidR="00A51F71">
        <w:t xml:space="preserve"> </w:t>
      </w:r>
      <w:r w:rsidR="008D0389">
        <w:t>and GI</w:t>
      </w:r>
      <w:r w:rsidR="008D0389" w:rsidRPr="008D0389">
        <w:rPr>
          <w:vertAlign w:val="subscript"/>
        </w:rPr>
        <w:t>50</w:t>
      </w:r>
      <w:r w:rsidR="008D0389">
        <w:t xml:space="preserve"> assay details </w:t>
      </w:r>
      <w:r w:rsidR="00652DEA">
        <w:t>can be found</w:t>
      </w:r>
      <w:r w:rsidR="00AD50CB">
        <w:t xml:space="preserve"> </w:t>
      </w:r>
      <w:r w:rsidR="008D0389">
        <w:t>in the</w:t>
      </w:r>
      <w:r w:rsidR="00AD50CB">
        <w:t xml:space="preserve"> </w:t>
      </w:r>
      <w:r w:rsidR="004729A7">
        <w:t>s</w:t>
      </w:r>
      <w:r w:rsidR="00AD50CB">
        <w:t xml:space="preserve">upplementary </w:t>
      </w:r>
      <w:r w:rsidR="004729A7">
        <w:t>file</w:t>
      </w:r>
      <w:r w:rsidR="00AD50CB">
        <w:t>.</w:t>
      </w:r>
      <w:r w:rsidR="00374B57">
        <w:t xml:space="preserve"> </w:t>
      </w:r>
      <w:bookmarkStart w:id="0" w:name="_Hlk144119485"/>
      <w:r w:rsidR="00BF15DD">
        <w:rPr>
          <w:lang w:eastAsia="zh-CN"/>
        </w:rPr>
        <w:t>Experiments were conducted in triplicates and GI</w:t>
      </w:r>
      <w:r w:rsidR="00BF15DD" w:rsidRPr="00BF15DD">
        <w:rPr>
          <w:vertAlign w:val="subscript"/>
          <w:lang w:eastAsia="zh-CN"/>
        </w:rPr>
        <w:t>50</w:t>
      </w:r>
      <w:r w:rsidR="00BF15DD">
        <w:rPr>
          <w:lang w:eastAsia="zh-CN"/>
        </w:rPr>
        <w:t>s determined using Prism software (GraphPad)</w:t>
      </w:r>
      <w:r w:rsidR="00374B57">
        <w:t>.</w:t>
      </w:r>
      <w:bookmarkEnd w:id="0"/>
    </w:p>
    <w:p w14:paraId="55E96E15" w14:textId="77777777" w:rsidR="003F69A8" w:rsidRPr="003F69A8" w:rsidRDefault="003F69A8" w:rsidP="003F69A8">
      <w:pPr>
        <w:pStyle w:val="Heading2"/>
        <w:rPr>
          <w:color w:val="FFFFFF"/>
        </w:rPr>
      </w:pPr>
      <w:r>
        <w:rPr>
          <w:color w:val="FFFFFF"/>
        </w:rPr>
        <w:t>Scheme 1</w:t>
      </w:r>
    </w:p>
    <w:p w14:paraId="77310ABF" w14:textId="77777777" w:rsidR="00FD3E6B" w:rsidRDefault="003675D9" w:rsidP="00DC29F8">
      <w:r>
        <w:object w:dxaOrig="15538" w:dyaOrig="8294" w14:anchorId="76AB6DA4">
          <v:shape id="_x0000_i1026" type="#_x0000_t75" style="width:474pt;height:253.5pt" o:ole="">
            <v:imagedata r:id="rId11" o:title=""/>
          </v:shape>
          <o:OLEObject Type="Embed" ProgID="ChemDraw.Document.6.0" ShapeID="_x0000_i1026" DrawAspect="Content" ObjectID="_1774718788" r:id="rId12"/>
        </w:object>
      </w:r>
    </w:p>
    <w:p w14:paraId="2F76298A" w14:textId="77777777" w:rsidR="00832D44" w:rsidRDefault="00FD3E6B" w:rsidP="00667AEA">
      <w:r>
        <w:rPr>
          <w:b/>
        </w:rPr>
        <w:t>Scheme</w:t>
      </w:r>
      <w:r w:rsidRPr="00730550">
        <w:rPr>
          <w:b/>
        </w:rPr>
        <w:t xml:space="preserve"> 1</w:t>
      </w:r>
      <w:r>
        <w:t xml:space="preserve">. </w:t>
      </w:r>
      <w:r w:rsidR="00A51F71" w:rsidRPr="00A51F71">
        <w:rPr>
          <w:i/>
          <w:iCs/>
        </w:rPr>
        <w:t>D</w:t>
      </w:r>
      <w:r w:rsidR="00A51F71" w:rsidRPr="00A51F71">
        <w:t>-Cys6-LHRH vedotin</w:t>
      </w:r>
      <w:r w:rsidR="00A51F71">
        <w:t xml:space="preserve"> synthesis route</w:t>
      </w:r>
      <w:r w:rsidRPr="005B3830">
        <w:t>.</w:t>
      </w:r>
      <w:r w:rsidR="00DC29F8">
        <w:t xml:space="preserve"> Enzyme-cleavable linker </w:t>
      </w:r>
      <w:r w:rsidR="00D25228">
        <w:t xml:space="preserve">MC-VC-PABC </w:t>
      </w:r>
      <w:r w:rsidR="00DC29F8">
        <w:t>and MMAE denoted in blue and red respectively.</w:t>
      </w:r>
      <w:r w:rsidR="00A51F71">
        <w:t xml:space="preserve"> Cathepsin-cleavable </w:t>
      </w:r>
      <w:r w:rsidR="00D97709">
        <w:t>bond highlighted pink.</w:t>
      </w:r>
    </w:p>
    <w:p w14:paraId="63245930" w14:textId="77777777" w:rsidR="00832D44" w:rsidRDefault="004729A7" w:rsidP="004729A7">
      <w:pPr>
        <w:pStyle w:val="Heading2"/>
      </w:pPr>
      <w:r>
        <w:lastRenderedPageBreak/>
        <w:t>Results</w:t>
      </w:r>
    </w:p>
    <w:p w14:paraId="047E8046" w14:textId="77777777" w:rsidR="0094159A" w:rsidRDefault="00832D44" w:rsidP="00ED3925">
      <w:pPr>
        <w:ind w:firstLine="720"/>
      </w:pPr>
      <w:r>
        <w:t>GI</w:t>
      </w:r>
      <w:r w:rsidRPr="00FD143D">
        <w:rPr>
          <w:vertAlign w:val="subscript"/>
        </w:rPr>
        <w:t>50</w:t>
      </w:r>
      <w:r w:rsidR="00CB6D04">
        <w:t>s</w:t>
      </w:r>
      <w:r>
        <w:t xml:space="preserve"> are summarised in Table 1. </w:t>
      </w:r>
      <w:r w:rsidR="000552E0">
        <w:t xml:space="preserve">Our cell panel consisted of LHRH receptor-positive (OVCAR-3) and receptor-negative (SK-OV-3) ovarian cancer cell lines used in </w:t>
      </w:r>
      <w:r w:rsidR="000552E0" w:rsidRPr="004D5309">
        <w:t>Zoptarelin</w:t>
      </w:r>
      <w:r w:rsidR="000552E0">
        <w:t xml:space="preserve"> doxorubicin’s preclinical development studies (</w:t>
      </w:r>
      <w:r w:rsidR="000552E0" w:rsidRPr="00D33DAE">
        <w:t>Gründker</w:t>
      </w:r>
      <w:r w:rsidR="000552E0">
        <w:t xml:space="preserve"> et al., </w:t>
      </w:r>
      <w:r w:rsidR="000552E0" w:rsidRPr="00F039BB">
        <w:rPr>
          <w:color w:val="0070C0"/>
        </w:rPr>
        <w:t>2002</w:t>
      </w:r>
      <w:r w:rsidR="000552E0">
        <w:rPr>
          <w:color w:val="0070C0"/>
        </w:rPr>
        <w:t xml:space="preserve">; </w:t>
      </w:r>
      <w:r w:rsidR="000552E0" w:rsidRPr="00D33DAE">
        <w:t>Gün</w:t>
      </w:r>
      <w:r w:rsidR="000552E0">
        <w:t xml:space="preserve">thert et al., </w:t>
      </w:r>
      <w:r w:rsidR="000552E0" w:rsidRPr="00A16E41">
        <w:rPr>
          <w:color w:val="0070C0"/>
        </w:rPr>
        <w:t>2004</w:t>
      </w:r>
      <w:r w:rsidR="000552E0">
        <w:t xml:space="preserve">). Non-cancerous human ovarian (H-6036) and lung fibroblast (MRC-5) cell lines were also included for selectivity comparison. </w:t>
      </w:r>
      <w:r>
        <w:t>Paclitaxel, a first</w:t>
      </w:r>
      <w:r w:rsidR="00B95160">
        <w:t>-</w:t>
      </w:r>
      <w:r>
        <w:t>line chemotherapeutic drug</w:t>
      </w:r>
      <w:r w:rsidR="0073631A">
        <w:t xml:space="preserve"> used</w:t>
      </w:r>
      <w:r>
        <w:t xml:space="preserve"> for ovarian cancer</w:t>
      </w:r>
      <w:r w:rsidR="0072245C">
        <w:t xml:space="preserve"> (</w:t>
      </w:r>
      <w:r w:rsidR="00CA7336">
        <w:t xml:space="preserve">Emons et al., </w:t>
      </w:r>
      <w:r w:rsidR="00CA7336" w:rsidRPr="002E2886">
        <w:rPr>
          <w:color w:val="0070C0"/>
        </w:rPr>
        <w:t>2014</w:t>
      </w:r>
      <w:r w:rsidR="0072245C">
        <w:t>)</w:t>
      </w:r>
      <w:r>
        <w:t xml:space="preserve">, </w:t>
      </w:r>
      <w:r w:rsidR="008E6607">
        <w:t>wa</w:t>
      </w:r>
      <w:r w:rsidR="00B95160">
        <w:t xml:space="preserve">s </w:t>
      </w:r>
      <w:r w:rsidR="008E6607">
        <w:t>observed</w:t>
      </w:r>
      <w:r w:rsidR="00B95160">
        <w:t xml:space="preserve"> to be highly cytotoxic </w:t>
      </w:r>
      <w:r w:rsidR="00883AE2">
        <w:t>against all cell lines</w:t>
      </w:r>
      <w:r w:rsidR="00B95160">
        <w:t>, including non-cancerous ovarian and human fibroblasts (</w:t>
      </w:r>
      <w:r w:rsidR="00883AE2">
        <w:t>GI</w:t>
      </w:r>
      <w:r w:rsidR="00883AE2" w:rsidRPr="00A93B03">
        <w:rPr>
          <w:vertAlign w:val="subscript"/>
        </w:rPr>
        <w:t>50</w:t>
      </w:r>
      <w:r w:rsidR="00883AE2">
        <w:t>s 1</w:t>
      </w:r>
      <w:r w:rsidR="00883AE2" w:rsidRPr="00382E81">
        <w:t>−</w:t>
      </w:r>
      <w:r w:rsidR="00883AE2">
        <w:t xml:space="preserve">5 nM; </w:t>
      </w:r>
      <w:r w:rsidR="00B95160">
        <w:t>Table 1).</w:t>
      </w:r>
      <w:r w:rsidR="00C01FD3">
        <w:t xml:space="preserve"> </w:t>
      </w:r>
      <w:r w:rsidR="009C3BB6">
        <w:t>Unsurprisingly, c</w:t>
      </w:r>
      <w:r w:rsidR="00C01FD3">
        <w:t>ommon</w:t>
      </w:r>
      <w:r w:rsidR="009C3BB6">
        <w:t xml:space="preserve"> and</w:t>
      </w:r>
      <w:r w:rsidR="00C01FD3">
        <w:t xml:space="preserve"> serious side-effects </w:t>
      </w:r>
      <w:r w:rsidR="00652DEA">
        <w:t>experienced</w:t>
      </w:r>
      <w:r w:rsidR="009C3BB6">
        <w:t xml:space="preserve"> by </w:t>
      </w:r>
      <w:r w:rsidR="00D06320">
        <w:t>more than</w:t>
      </w:r>
      <w:r w:rsidR="0073631A">
        <w:t xml:space="preserve"> 50% </w:t>
      </w:r>
      <w:r w:rsidR="009C3BB6">
        <w:t>patients</w:t>
      </w:r>
      <w:r w:rsidR="005C4C0C">
        <w:t xml:space="preserve"> dosed with this drug</w:t>
      </w:r>
      <w:r w:rsidR="009C3BB6">
        <w:t xml:space="preserve"> </w:t>
      </w:r>
      <w:r w:rsidR="00CE0DAC">
        <w:t>included</w:t>
      </w:r>
      <w:r w:rsidR="00C01FD3">
        <w:t xml:space="preserve"> anaemia, neutropenia, </w:t>
      </w:r>
      <w:r w:rsidR="00DE2A53">
        <w:t>peripheral neuropathy</w:t>
      </w:r>
      <w:r w:rsidR="00C01FD3">
        <w:t>, nausea, vomiting, myalgia, arthralgia and alopecia.</w:t>
      </w:r>
      <w:r>
        <w:t xml:space="preserve"> </w:t>
      </w:r>
      <w:r w:rsidR="009C3BB6">
        <w:t xml:space="preserve">Similarly, doxorubicin </w:t>
      </w:r>
      <w:r w:rsidR="003A0814">
        <w:t xml:space="preserve">was also </w:t>
      </w:r>
      <w:r w:rsidR="008E6607">
        <w:t xml:space="preserve">shown to be </w:t>
      </w:r>
      <w:r w:rsidR="00DE2A53">
        <w:t>non-specific</w:t>
      </w:r>
      <w:r w:rsidR="009C3BB6">
        <w:t xml:space="preserve"> </w:t>
      </w:r>
      <w:r w:rsidR="00DE2A53">
        <w:t>towards</w:t>
      </w:r>
      <w:r w:rsidR="009C3BB6">
        <w:t xml:space="preserve"> all</w:t>
      </w:r>
      <w:r w:rsidR="008E6607">
        <w:t xml:space="preserve"> the</w:t>
      </w:r>
      <w:r w:rsidR="009C3BB6">
        <w:t xml:space="preserve"> cell lines </w:t>
      </w:r>
      <w:r w:rsidR="008E6607">
        <w:t>(</w:t>
      </w:r>
      <w:r w:rsidR="009C3BB6">
        <w:t>GI</w:t>
      </w:r>
      <w:r w:rsidR="009C3BB6" w:rsidRPr="003E1812">
        <w:rPr>
          <w:vertAlign w:val="subscript"/>
        </w:rPr>
        <w:t>50</w:t>
      </w:r>
      <w:r w:rsidR="009C3BB6">
        <w:t>s 60</w:t>
      </w:r>
      <w:r w:rsidR="008E6607" w:rsidRPr="00382E81">
        <w:t>−</w:t>
      </w:r>
      <w:r w:rsidR="009C3BB6">
        <w:t>311 nM</w:t>
      </w:r>
      <w:r w:rsidR="008E6607">
        <w:t>; Table 1)</w:t>
      </w:r>
      <w:r w:rsidR="009C3BB6">
        <w:t xml:space="preserve">, </w:t>
      </w:r>
      <w:r w:rsidR="00282E72">
        <w:t>below</w:t>
      </w:r>
      <w:r w:rsidR="00C853EB">
        <w:t xml:space="preserve"> the </w:t>
      </w:r>
      <w:r w:rsidR="00942D4A">
        <w:t xml:space="preserve">reported </w:t>
      </w:r>
      <w:r w:rsidR="00C853EB">
        <w:t>average 631 nM GI</w:t>
      </w:r>
      <w:r w:rsidR="00C853EB" w:rsidRPr="00C853EB">
        <w:rPr>
          <w:vertAlign w:val="subscript"/>
        </w:rPr>
        <w:t>50</w:t>
      </w:r>
      <w:r w:rsidR="00C853EB">
        <w:t xml:space="preserve"> in</w:t>
      </w:r>
      <w:r w:rsidR="009C3BB6">
        <w:t xml:space="preserve"> a</w:t>
      </w:r>
      <w:r w:rsidR="00942D4A">
        <w:t xml:space="preserve"> study</w:t>
      </w:r>
      <w:r w:rsidR="009C3BB6">
        <w:t xml:space="preserve"> involving 39 cancer cell lines</w:t>
      </w:r>
      <w:r w:rsidR="0072245C">
        <w:t xml:space="preserve"> (Doronina et al., </w:t>
      </w:r>
      <w:r w:rsidR="0072245C" w:rsidRPr="008B697E">
        <w:rPr>
          <w:color w:val="0070C0"/>
        </w:rPr>
        <w:t>2003</w:t>
      </w:r>
      <w:r w:rsidR="0072245C">
        <w:t>)</w:t>
      </w:r>
      <w:r w:rsidR="003E1812">
        <w:t xml:space="preserve">. </w:t>
      </w:r>
      <w:r w:rsidR="002D4496">
        <w:t>It is noteworthy that</w:t>
      </w:r>
      <w:r w:rsidR="00942D4A">
        <w:t xml:space="preserve"> </w:t>
      </w:r>
      <w:r w:rsidR="00C853EB">
        <w:t>doxorubicin exhibited moderate GI</w:t>
      </w:r>
      <w:r w:rsidR="00C853EB" w:rsidRPr="00C853EB">
        <w:rPr>
          <w:vertAlign w:val="subscript"/>
        </w:rPr>
        <w:t>50</w:t>
      </w:r>
      <w:r w:rsidR="000958A4">
        <w:t xml:space="preserve">s </w:t>
      </w:r>
      <w:r w:rsidR="00C853EB">
        <w:t>of 311</w:t>
      </w:r>
      <w:r w:rsidR="000958A4">
        <w:t xml:space="preserve"> and 218</w:t>
      </w:r>
      <w:r w:rsidR="00C853EB">
        <w:t xml:space="preserve"> nM against OVCAR-3</w:t>
      </w:r>
      <w:r w:rsidR="000958A4">
        <w:t xml:space="preserve"> and </w:t>
      </w:r>
      <w:r w:rsidR="00C22917">
        <w:t>SK-OV</w:t>
      </w:r>
      <w:r w:rsidR="000958A4">
        <w:t>-3 respectively</w:t>
      </w:r>
      <w:r w:rsidR="00C853EB">
        <w:t xml:space="preserve">, </w:t>
      </w:r>
      <w:r w:rsidR="00F05BC6">
        <w:t xml:space="preserve">supporting </w:t>
      </w:r>
      <w:r w:rsidR="00006B1C">
        <w:t>earlier</w:t>
      </w:r>
      <w:r w:rsidR="00F05BC6">
        <w:t xml:space="preserve"> </w:t>
      </w:r>
      <w:r w:rsidR="002D4496" w:rsidRPr="002D4496">
        <w:rPr>
          <w:i/>
          <w:iCs/>
        </w:rPr>
        <w:t>in vitro</w:t>
      </w:r>
      <w:r w:rsidR="002D4496">
        <w:t xml:space="preserve"> </w:t>
      </w:r>
      <w:r w:rsidR="00376192">
        <w:t>data</w:t>
      </w:r>
      <w:r w:rsidR="0072245C">
        <w:t xml:space="preserve"> (Patankar et al., </w:t>
      </w:r>
      <w:r w:rsidR="0072245C" w:rsidRPr="0072245C">
        <w:rPr>
          <w:color w:val="0070C0"/>
        </w:rPr>
        <w:t>2013</w:t>
      </w:r>
      <w:r w:rsidR="0072245C">
        <w:t xml:space="preserve">; Pouyafar et al., </w:t>
      </w:r>
      <w:r w:rsidR="0072245C" w:rsidRPr="0072245C">
        <w:rPr>
          <w:color w:val="0070C0"/>
        </w:rPr>
        <w:t>2019</w:t>
      </w:r>
      <w:r w:rsidR="0072245C">
        <w:t>)</w:t>
      </w:r>
      <w:r w:rsidR="00C853EB">
        <w:t xml:space="preserve">. </w:t>
      </w:r>
      <w:r w:rsidR="00846105">
        <w:t>T</w:t>
      </w:r>
      <w:r w:rsidR="002D4496">
        <w:t xml:space="preserve">ubulin binder </w:t>
      </w:r>
      <w:r w:rsidR="008064CA">
        <w:t>MMAE was</w:t>
      </w:r>
      <w:r w:rsidR="00DE2A53">
        <w:t xml:space="preserve"> </w:t>
      </w:r>
      <w:r w:rsidR="00846105">
        <w:t>foun</w:t>
      </w:r>
      <w:r w:rsidR="00F76C46">
        <w:t>d</w:t>
      </w:r>
      <w:r w:rsidR="00DE2A53">
        <w:t xml:space="preserve"> to be</w:t>
      </w:r>
      <w:r w:rsidR="008064CA">
        <w:t xml:space="preserve"> ultra-toxic</w:t>
      </w:r>
      <w:r w:rsidR="00641B4C">
        <w:t xml:space="preserve"> </w:t>
      </w:r>
      <w:r w:rsidR="009C74DE">
        <w:t xml:space="preserve">against all cell lines </w:t>
      </w:r>
      <w:r w:rsidR="008064CA">
        <w:t>(</w:t>
      </w:r>
      <w:r w:rsidR="00641B4C">
        <w:t>GI</w:t>
      </w:r>
      <w:r w:rsidR="00641B4C" w:rsidRPr="008064CA">
        <w:rPr>
          <w:vertAlign w:val="subscript"/>
        </w:rPr>
        <w:t>50</w:t>
      </w:r>
      <w:r w:rsidR="00641B4C">
        <w:t>s 0.5</w:t>
      </w:r>
      <w:r w:rsidR="00641B4C" w:rsidRPr="00382E81">
        <w:t>−</w:t>
      </w:r>
      <w:r w:rsidR="00641B4C">
        <w:t>1</w:t>
      </w:r>
      <w:r w:rsidR="00A51362">
        <w:t>.1</w:t>
      </w:r>
      <w:r w:rsidR="00641B4C">
        <w:t xml:space="preserve"> nM; </w:t>
      </w:r>
      <w:r w:rsidR="008064CA">
        <w:t xml:space="preserve">Table 1), </w:t>
      </w:r>
      <w:r w:rsidR="00010938">
        <w:t>supporting</w:t>
      </w:r>
      <w:r w:rsidR="00846105">
        <w:t xml:space="preserve"> the</w:t>
      </w:r>
      <w:r w:rsidR="00010938">
        <w:t xml:space="preserve"> findings from</w:t>
      </w:r>
      <w:r w:rsidR="008064CA">
        <w:t xml:space="preserve"> a</w:t>
      </w:r>
      <w:r w:rsidR="003F69A8">
        <w:t>n earlier</w:t>
      </w:r>
      <w:r w:rsidR="008064CA">
        <w:t xml:space="preserve"> report</w:t>
      </w:r>
      <w:r w:rsidR="0072245C">
        <w:t xml:space="preserve"> (Doronina et al., </w:t>
      </w:r>
      <w:r w:rsidR="0072245C" w:rsidRPr="008B697E">
        <w:rPr>
          <w:color w:val="0070C0"/>
        </w:rPr>
        <w:t>2003</w:t>
      </w:r>
      <w:r w:rsidR="0072245C">
        <w:t>)</w:t>
      </w:r>
      <w:r w:rsidR="009C74DE">
        <w:t>.</w:t>
      </w:r>
      <w:r w:rsidR="008064CA">
        <w:t xml:space="preserve"> </w:t>
      </w:r>
      <w:r w:rsidR="009C74DE">
        <w:t xml:space="preserve">It is therefore unsurprising that MMAE has never been approved as </w:t>
      </w:r>
      <w:r w:rsidR="003A0814">
        <w:t>a drug</w:t>
      </w:r>
      <w:r w:rsidR="00CE0DAC">
        <w:t xml:space="preserve"> on its own</w:t>
      </w:r>
      <w:r w:rsidR="009C74DE">
        <w:t>.</w:t>
      </w:r>
      <w:r w:rsidR="00F92651">
        <w:t xml:space="preserve"> </w:t>
      </w:r>
      <w:r w:rsidR="00846105">
        <w:t xml:space="preserve">The </w:t>
      </w:r>
      <w:r w:rsidR="00F92651">
        <w:t xml:space="preserve">LHRH analog and carrier peptide, </w:t>
      </w:r>
      <w:r w:rsidR="00F92651" w:rsidRPr="002C6AF0">
        <w:rPr>
          <w:i/>
          <w:iCs/>
        </w:rPr>
        <w:t>D</w:t>
      </w:r>
      <w:r w:rsidR="00F92651">
        <w:t>-Cys6-LHRH</w:t>
      </w:r>
      <w:r w:rsidR="00F7683F">
        <w:t>, was inactive against all cell lines</w:t>
      </w:r>
      <w:r w:rsidR="002C6AF0">
        <w:t xml:space="preserve"> </w:t>
      </w:r>
      <w:r w:rsidR="00F7683F">
        <w:t>(GI</w:t>
      </w:r>
      <w:r w:rsidR="00F7683F" w:rsidRPr="00F7683F">
        <w:rPr>
          <w:vertAlign w:val="subscript"/>
        </w:rPr>
        <w:t>50</w:t>
      </w:r>
      <w:r w:rsidR="00A51362">
        <w:t xml:space="preserve">s </w:t>
      </w:r>
      <w:r w:rsidR="00F7683F">
        <w:t>&gt; 50,000 nM</w:t>
      </w:r>
      <w:r w:rsidR="002C6AF0">
        <w:t>; Table 1</w:t>
      </w:r>
      <w:r w:rsidR="00F7683F">
        <w:t>).</w:t>
      </w:r>
      <w:r w:rsidR="00F76C46">
        <w:t xml:space="preserve"> </w:t>
      </w:r>
    </w:p>
    <w:p w14:paraId="040BBE3F" w14:textId="77777777" w:rsidR="0094159A" w:rsidRDefault="00F76C46" w:rsidP="00ED3925">
      <w:pPr>
        <w:ind w:firstLine="720"/>
      </w:pPr>
      <w:r>
        <w:t>C</w:t>
      </w:r>
      <w:r w:rsidR="00441530">
        <w:t xml:space="preserve">linical candidate </w:t>
      </w:r>
      <w:r w:rsidR="00441530" w:rsidRPr="004D5309">
        <w:t>Zoptarelin</w:t>
      </w:r>
      <w:r w:rsidR="00441530">
        <w:t xml:space="preserve"> doxorubicin exhibited moderate GI</w:t>
      </w:r>
      <w:r w:rsidR="00441530" w:rsidRPr="00441530">
        <w:rPr>
          <w:vertAlign w:val="subscript"/>
        </w:rPr>
        <w:t>50</w:t>
      </w:r>
      <w:r w:rsidR="00441530">
        <w:t xml:space="preserve">s against </w:t>
      </w:r>
      <w:r w:rsidR="00586E47">
        <w:t>OVCAR-3 and SK-OV-3 (GI</w:t>
      </w:r>
      <w:r w:rsidR="00586E47" w:rsidRPr="00402A36">
        <w:rPr>
          <w:vertAlign w:val="subscript"/>
        </w:rPr>
        <w:t>50</w:t>
      </w:r>
      <w:r w:rsidR="00586E47">
        <w:t>s 453 and 358 nM respectively; Table 1), 1.5- to 3-fold less potent compared to doxorubicin.</w:t>
      </w:r>
      <w:r w:rsidR="00CE0DAC">
        <w:t xml:space="preserve"> </w:t>
      </w:r>
      <w:r w:rsidR="00586E47">
        <w:t>Surprisingly,</w:t>
      </w:r>
      <w:r w:rsidR="00ED3925">
        <w:t xml:space="preserve"> </w:t>
      </w:r>
      <w:r w:rsidR="00586E47">
        <w:t xml:space="preserve">it was found to be active </w:t>
      </w:r>
      <w:r w:rsidR="00F835C1">
        <w:t>against</w:t>
      </w:r>
      <w:r w:rsidR="00586E47">
        <w:t xml:space="preserve"> the</w:t>
      </w:r>
      <w:r w:rsidR="00ED3925">
        <w:t xml:space="preserve"> non-cancerous ovarian cell line, H-6036</w:t>
      </w:r>
      <w:r w:rsidR="00586E47">
        <w:t xml:space="preserve"> (</w:t>
      </w:r>
      <w:r w:rsidR="00ED3925">
        <w:t>GI</w:t>
      </w:r>
      <w:r w:rsidR="00ED3925" w:rsidRPr="00903AEC">
        <w:rPr>
          <w:vertAlign w:val="subscript"/>
        </w:rPr>
        <w:t>50</w:t>
      </w:r>
      <w:r w:rsidR="00ED3925">
        <w:t xml:space="preserve"> 180 nM</w:t>
      </w:r>
      <w:r w:rsidR="00586E47">
        <w:t xml:space="preserve">; </w:t>
      </w:r>
      <w:r w:rsidR="00ED3925">
        <w:t>Table 1)</w:t>
      </w:r>
      <w:r w:rsidR="00511554">
        <w:t xml:space="preserve">, suggesting </w:t>
      </w:r>
      <w:r w:rsidR="00586E47">
        <w:t>the cell line</w:t>
      </w:r>
      <w:r w:rsidR="00511554">
        <w:t xml:space="preserve"> </w:t>
      </w:r>
      <w:r w:rsidR="00511554">
        <w:lastRenderedPageBreak/>
        <w:t>express</w:t>
      </w:r>
      <w:r w:rsidR="002B2158">
        <w:t>es</w:t>
      </w:r>
      <w:r w:rsidR="00511554">
        <w:t xml:space="preserve"> LHRH receptors. Indeed, Gifu </w:t>
      </w:r>
      <w:r w:rsidR="00846105">
        <w:t>U</w:t>
      </w:r>
      <w:r w:rsidR="00511554">
        <w:t xml:space="preserve">niversity researchers </w:t>
      </w:r>
      <w:r w:rsidR="00F835C1">
        <w:t>report</w:t>
      </w:r>
      <w:r w:rsidR="00511554">
        <w:t>ed low levels of LHRH receptors</w:t>
      </w:r>
      <w:r w:rsidR="00441530">
        <w:t xml:space="preserve"> </w:t>
      </w:r>
      <w:r w:rsidR="009F06FE">
        <w:t>on the surfaces of</w:t>
      </w:r>
      <w:r w:rsidR="00511554">
        <w:t xml:space="preserve"> </w:t>
      </w:r>
      <w:r w:rsidR="00A23F69" w:rsidRPr="00A23F69">
        <w:t>non-malignant</w:t>
      </w:r>
      <w:r w:rsidR="00511554">
        <w:t xml:space="preserve"> ovarian cell</w:t>
      </w:r>
      <w:r w:rsidR="0094159A">
        <w:t xml:space="preserve"> line</w:t>
      </w:r>
      <w:r w:rsidR="005D4823">
        <w:t>s</w:t>
      </w:r>
      <w:r w:rsidR="00672942">
        <w:t xml:space="preserve"> (Imai et al., </w:t>
      </w:r>
      <w:r w:rsidR="00672942" w:rsidRPr="00370F28">
        <w:rPr>
          <w:color w:val="0070C0"/>
        </w:rPr>
        <w:t>1994</w:t>
      </w:r>
      <w:r w:rsidR="00672942">
        <w:t>)</w:t>
      </w:r>
      <w:r w:rsidR="00571562">
        <w:t xml:space="preserve">, suggesting </w:t>
      </w:r>
      <w:r w:rsidR="005F2699">
        <w:t>that</w:t>
      </w:r>
      <w:r w:rsidR="0097319B">
        <w:t xml:space="preserve"> determining LHRH receptor</w:t>
      </w:r>
      <w:r w:rsidR="00694EA8">
        <w:t xml:space="preserve"> expression</w:t>
      </w:r>
      <w:r w:rsidR="00F835C1">
        <w:t xml:space="preserve"> levels</w:t>
      </w:r>
      <w:r w:rsidR="0097319B">
        <w:t xml:space="preserve"> is imperative before </w:t>
      </w:r>
      <w:r w:rsidR="00ED3925">
        <w:t xml:space="preserve">drug </w:t>
      </w:r>
      <w:r w:rsidR="0097319B">
        <w:t xml:space="preserve">administration to </w:t>
      </w:r>
      <w:r w:rsidR="00694EA8">
        <w:t>prevent</w:t>
      </w:r>
      <w:r w:rsidR="0097319B">
        <w:t xml:space="preserve"> off-target toxicity</w:t>
      </w:r>
      <w:r w:rsidR="00846105">
        <w:t xml:space="preserve"> and adverse events</w:t>
      </w:r>
      <w:r w:rsidR="00511554">
        <w:t>.</w:t>
      </w:r>
      <w:r w:rsidR="0094159A">
        <w:t xml:space="preserve"> </w:t>
      </w:r>
    </w:p>
    <w:p w14:paraId="518E2EEF" w14:textId="77777777" w:rsidR="001D76BB" w:rsidRDefault="00621316" w:rsidP="00EE4D97">
      <w:pPr>
        <w:ind w:firstLine="720"/>
      </w:pPr>
      <w:r>
        <w:t>O</w:t>
      </w:r>
      <w:r w:rsidR="004578CA">
        <w:t xml:space="preserve">ur novel </w:t>
      </w:r>
      <w:r w:rsidR="0094159A">
        <w:t>peptide drug conjugate</w:t>
      </w:r>
      <w:r w:rsidR="005D4823">
        <w:t xml:space="preserve"> </w:t>
      </w:r>
      <w:r w:rsidR="005D4823" w:rsidRPr="002C6AF0">
        <w:rPr>
          <w:i/>
          <w:iCs/>
        </w:rPr>
        <w:t>D</w:t>
      </w:r>
      <w:r w:rsidR="005D4823">
        <w:t>-Cys6-LHRH vedotin</w:t>
      </w:r>
      <w:r w:rsidR="0094159A">
        <w:t xml:space="preserve"> </w:t>
      </w:r>
      <w:r w:rsidR="00694EA8">
        <w:t>exhibited</w:t>
      </w:r>
      <w:r w:rsidR="0094159A">
        <w:t xml:space="preserve"> high poten</w:t>
      </w:r>
      <w:r w:rsidR="00694EA8">
        <w:t>cy</w:t>
      </w:r>
      <w:r w:rsidR="0094159A">
        <w:t xml:space="preserve"> against the LHRH receptor-positive OVCAR-3 cell line, on par with paclitaxel (GI</w:t>
      </w:r>
      <w:r w:rsidR="0094159A" w:rsidRPr="0094159A">
        <w:rPr>
          <w:vertAlign w:val="subscript"/>
        </w:rPr>
        <w:t>50</w:t>
      </w:r>
      <w:r w:rsidR="0094159A">
        <w:t>s 4 nM; Table 1)</w:t>
      </w:r>
      <w:r w:rsidR="00EE4D97">
        <w:t xml:space="preserve"> and</w:t>
      </w:r>
      <w:r w:rsidR="0097319B">
        <w:t xml:space="preserve"> </w:t>
      </w:r>
      <w:r w:rsidR="00EE4D97">
        <w:t>1</w:t>
      </w:r>
      <w:r w:rsidR="0097319B">
        <w:t>13</w:t>
      </w:r>
      <w:r w:rsidR="00EE4D97">
        <w:t xml:space="preserve">-fold more potent than clinical candidate </w:t>
      </w:r>
      <w:r w:rsidR="00EE4D97" w:rsidRPr="004D5309">
        <w:t>Zoptarelin</w:t>
      </w:r>
      <w:r w:rsidR="00EE4D97">
        <w:t xml:space="preserve"> doxorubicin (</w:t>
      </w:r>
      <w:r w:rsidR="00694EA8">
        <w:t>GI</w:t>
      </w:r>
      <w:r w:rsidR="00694EA8" w:rsidRPr="0094159A">
        <w:rPr>
          <w:vertAlign w:val="subscript"/>
        </w:rPr>
        <w:t>50</w:t>
      </w:r>
      <w:r w:rsidR="00694EA8">
        <w:rPr>
          <w:vertAlign w:val="subscript"/>
        </w:rPr>
        <w:t xml:space="preserve"> </w:t>
      </w:r>
      <w:r w:rsidR="0097319B">
        <w:t xml:space="preserve">4 vs. </w:t>
      </w:r>
      <w:r w:rsidR="00EE4D97">
        <w:t>4</w:t>
      </w:r>
      <w:r w:rsidR="009D4854">
        <w:t>53</w:t>
      </w:r>
      <w:r w:rsidR="00EE4D97">
        <w:t xml:space="preserve"> nM</w:t>
      </w:r>
      <w:r w:rsidR="00694EA8">
        <w:t>; Table 1</w:t>
      </w:r>
      <w:r w:rsidR="00EE4D97">
        <w:t>)</w:t>
      </w:r>
      <w:r w:rsidR="0094159A">
        <w:t xml:space="preserve">. </w:t>
      </w:r>
      <w:r w:rsidR="00846105">
        <w:t>S</w:t>
      </w:r>
      <w:r w:rsidR="0094159A">
        <w:t>electivity</w:t>
      </w:r>
      <w:r w:rsidR="00846105">
        <w:t>-wise</w:t>
      </w:r>
      <w:r w:rsidR="0094159A">
        <w:t xml:space="preserve">, </w:t>
      </w:r>
      <w:r w:rsidR="004578CA" w:rsidRPr="004578CA">
        <w:rPr>
          <w:i/>
          <w:iCs/>
        </w:rPr>
        <w:t>D</w:t>
      </w:r>
      <w:r w:rsidR="004578CA" w:rsidRPr="004578CA">
        <w:t xml:space="preserve">-Cys6-LHRH vedotin </w:t>
      </w:r>
      <w:r w:rsidR="00694EA8">
        <w:t>show</w:t>
      </w:r>
      <w:r w:rsidR="0094159A">
        <w:t>ed a GI</w:t>
      </w:r>
      <w:r w:rsidR="0094159A" w:rsidRPr="0094159A">
        <w:rPr>
          <w:vertAlign w:val="subscript"/>
        </w:rPr>
        <w:t>50</w:t>
      </w:r>
      <w:r w:rsidR="0094159A">
        <w:t xml:space="preserve"> of 52 nM against non-cancerous </w:t>
      </w:r>
      <w:r w:rsidRPr="0094159A">
        <w:t>H-6036</w:t>
      </w:r>
      <w:r>
        <w:t xml:space="preserve"> </w:t>
      </w:r>
      <w:r w:rsidR="0094159A">
        <w:t>ovarian cell</w:t>
      </w:r>
      <w:r>
        <w:t>s</w:t>
      </w:r>
      <w:r w:rsidR="0094159A">
        <w:t xml:space="preserve"> </w:t>
      </w:r>
      <w:r>
        <w:t>with</w:t>
      </w:r>
      <w:r w:rsidR="0094159A">
        <w:t xml:space="preserve"> a 1</w:t>
      </w:r>
      <w:r w:rsidR="006A0572">
        <w:t>3</w:t>
      </w:r>
      <w:r>
        <w:t>-fold</w:t>
      </w:r>
      <w:r w:rsidR="0094159A">
        <w:t xml:space="preserve"> therapeutic </w:t>
      </w:r>
      <w:r w:rsidR="003B5349">
        <w:t>index</w:t>
      </w:r>
      <w:r w:rsidR="004578CA">
        <w:t xml:space="preserve"> (4 vs. 52 nM GI</w:t>
      </w:r>
      <w:r w:rsidR="004578CA" w:rsidRPr="0094159A">
        <w:rPr>
          <w:vertAlign w:val="subscript"/>
        </w:rPr>
        <w:t>50</w:t>
      </w:r>
      <w:r w:rsidR="004578CA">
        <w:t>; Table 1)</w:t>
      </w:r>
      <w:r w:rsidR="0094159A">
        <w:t xml:space="preserve">. </w:t>
      </w:r>
      <w:r w:rsidR="006A0572">
        <w:t>Against non-cancerous MRC-5 fibroblasts, the</w:t>
      </w:r>
      <w:r w:rsidR="006A0572" w:rsidRPr="006A0572">
        <w:t xml:space="preserve"> </w:t>
      </w:r>
      <w:r w:rsidR="006A0572">
        <w:t xml:space="preserve">therapeutic </w:t>
      </w:r>
      <w:r w:rsidR="00A74F76">
        <w:t>index</w:t>
      </w:r>
      <w:r w:rsidR="006A0572">
        <w:t xml:space="preserve"> increase</w:t>
      </w:r>
      <w:r w:rsidR="009D4854">
        <w:t>d</w:t>
      </w:r>
      <w:r w:rsidR="006A0572">
        <w:t xml:space="preserve"> almost 50-fold (</w:t>
      </w:r>
      <w:r w:rsidR="004578CA">
        <w:t>4 vs. 191 nM GI</w:t>
      </w:r>
      <w:r w:rsidR="004578CA" w:rsidRPr="0094159A">
        <w:rPr>
          <w:vertAlign w:val="subscript"/>
        </w:rPr>
        <w:t>50</w:t>
      </w:r>
      <w:r w:rsidR="006A0572">
        <w:t xml:space="preserve">; Table 1), </w:t>
      </w:r>
      <w:r w:rsidR="002B5678">
        <w:t>highlighting</w:t>
      </w:r>
      <w:r w:rsidR="006A0572">
        <w:t xml:space="preserve"> </w:t>
      </w:r>
      <w:r w:rsidR="002B5678">
        <w:t xml:space="preserve">its </w:t>
      </w:r>
      <w:r w:rsidR="006A0572">
        <w:t xml:space="preserve">potential </w:t>
      </w:r>
      <w:r w:rsidR="00EC4CD4">
        <w:t>as an</w:t>
      </w:r>
      <w:r w:rsidR="006A0572">
        <w:t xml:space="preserve"> </w:t>
      </w:r>
      <w:r w:rsidR="002B5678">
        <w:t>ovarian cancer</w:t>
      </w:r>
      <w:r w:rsidR="00EC4CD4">
        <w:t xml:space="preserve"> drug candidate</w:t>
      </w:r>
      <w:r w:rsidR="006A0572">
        <w:t xml:space="preserve">. Interestingly, </w:t>
      </w:r>
      <w:r w:rsidR="002B5678" w:rsidRPr="004578CA">
        <w:rPr>
          <w:i/>
          <w:iCs/>
        </w:rPr>
        <w:t>D</w:t>
      </w:r>
      <w:r w:rsidR="002B5678" w:rsidRPr="004578CA">
        <w:t>-Cys6-LHRH vedotin</w:t>
      </w:r>
      <w:r w:rsidR="006A0572">
        <w:t xml:space="preserve"> is also active against </w:t>
      </w:r>
      <w:r w:rsidR="00C22917">
        <w:t>SK-OV</w:t>
      </w:r>
      <w:r w:rsidR="006A0572">
        <w:t>-3 (GI</w:t>
      </w:r>
      <w:r w:rsidR="006A0572" w:rsidRPr="0094159A">
        <w:rPr>
          <w:vertAlign w:val="subscript"/>
        </w:rPr>
        <w:t>50</w:t>
      </w:r>
      <w:r w:rsidR="006A0572">
        <w:t>s 49 nM; Table 1), confirming that this cell line does express LHRH receptors</w:t>
      </w:r>
      <w:r w:rsidR="009D4854">
        <w:t xml:space="preserve">, </w:t>
      </w:r>
      <w:r w:rsidR="006A0572">
        <w:t>support</w:t>
      </w:r>
      <w:r w:rsidR="009D4854">
        <w:t xml:space="preserve">ing </w:t>
      </w:r>
      <w:r w:rsidR="002B5678">
        <w:t>data</w:t>
      </w:r>
      <w:r w:rsidR="006A0572">
        <w:t xml:space="preserve"> </w:t>
      </w:r>
      <w:r w:rsidR="002B5678">
        <w:t>from</w:t>
      </w:r>
      <w:r w:rsidR="009D4854">
        <w:t xml:space="preserve"> </w:t>
      </w:r>
      <w:r w:rsidR="006A0572">
        <w:t>an earlier report</w:t>
      </w:r>
      <w:r w:rsidR="00672942">
        <w:t xml:space="preserve"> (Imai et al., </w:t>
      </w:r>
      <w:r w:rsidR="00672942" w:rsidRPr="00370F28">
        <w:rPr>
          <w:color w:val="0070C0"/>
        </w:rPr>
        <w:t>1994</w:t>
      </w:r>
      <w:r w:rsidR="00672942">
        <w:t>)</w:t>
      </w:r>
      <w:r w:rsidR="006A0572">
        <w:t xml:space="preserve">. </w:t>
      </w:r>
    </w:p>
    <w:p w14:paraId="56AB5B91" w14:textId="77777777" w:rsidR="0073631A" w:rsidRPr="004C24CF" w:rsidRDefault="0073631A" w:rsidP="0073631A">
      <w:pPr>
        <w:pStyle w:val="Heading2"/>
        <w:rPr>
          <w:color w:val="FFFFFF"/>
        </w:rPr>
      </w:pPr>
      <w:r w:rsidRPr="00DB2BD8">
        <w:rPr>
          <w:color w:val="FFFFFF"/>
        </w:rPr>
        <w:t>Table 1</w:t>
      </w:r>
    </w:p>
    <w:tbl>
      <w:tblPr>
        <w:tblW w:w="10456" w:type="dxa"/>
        <w:tblInd w:w="-712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4"/>
        <w:gridCol w:w="1134"/>
        <w:gridCol w:w="2265"/>
        <w:gridCol w:w="1984"/>
      </w:tblGrid>
      <w:tr w:rsidR="0073631A" w:rsidRPr="00216E8D" w14:paraId="77AF6252" w14:textId="77777777" w:rsidTr="004243A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4B43A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2D3CA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3A122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A96A65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GI</w:t>
            </w:r>
            <w:r w:rsidRPr="004C24CF">
              <w:rPr>
                <w:rFonts w:cs="Arial"/>
                <w:sz w:val="20"/>
                <w:szCs w:val="20"/>
                <w:vertAlign w:val="subscript"/>
              </w:rPr>
              <w:t xml:space="preserve">50 </w:t>
            </w:r>
            <w:r w:rsidRPr="004C24CF">
              <w:rPr>
                <w:rFonts w:cs="Arial"/>
                <w:sz w:val="20"/>
                <w:szCs w:val="20"/>
              </w:rPr>
              <w:t>(nM)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176384C1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88E7E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3631A" w:rsidRPr="00216E8D" w14:paraId="640F370B" w14:textId="77777777" w:rsidTr="004243A9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1E5BC8DF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235C7D6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ovarian adenocarcinoma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244038C2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ovarian adenocarcinoma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CE200D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54B067B1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non-cancerous ovarian epithelial cells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E86CA65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non-cancerous lung fibroblast</w:t>
            </w:r>
          </w:p>
        </w:tc>
      </w:tr>
      <w:tr w:rsidR="0073631A" w:rsidRPr="00216E8D" w14:paraId="57663C4A" w14:textId="77777777" w:rsidTr="004243A9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36BF7D3C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Test compound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B343146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OVCAR-3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4C533966" w14:textId="77777777" w:rsidR="0073631A" w:rsidRPr="004C24CF" w:rsidRDefault="00C22917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SK-OV</w:t>
            </w:r>
            <w:r w:rsidR="0073631A" w:rsidRPr="004C24CF">
              <w:rPr>
                <w:rFonts w:cs="Arial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CDD858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06F17D17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H-6036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9589C04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MRC-5</w:t>
            </w:r>
          </w:p>
        </w:tc>
      </w:tr>
      <w:tr w:rsidR="0073631A" w:rsidRPr="00816D54" w14:paraId="6AD8A8F0" w14:textId="77777777" w:rsidTr="004243A9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0823C006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E8A5130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Paclitaxel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B598250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3E93C23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15B4D4F9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55B0828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054CD1C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</w:tcPr>
          <w:p w14:paraId="704D7832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7090BE0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1197800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291D79DC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2</w:t>
            </w:r>
          </w:p>
        </w:tc>
      </w:tr>
      <w:tr w:rsidR="0073631A" w:rsidRPr="00816D54" w14:paraId="1E116953" w14:textId="77777777" w:rsidTr="004243A9">
        <w:tc>
          <w:tcPr>
            <w:tcW w:w="1668" w:type="dxa"/>
            <w:shd w:val="clear" w:color="auto" w:fill="auto"/>
          </w:tcPr>
          <w:p w14:paraId="14D5EBFD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DCAF27E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Doxorubicin</w:t>
            </w:r>
          </w:p>
        </w:tc>
        <w:tc>
          <w:tcPr>
            <w:tcW w:w="1701" w:type="dxa"/>
            <w:shd w:val="clear" w:color="auto" w:fill="auto"/>
          </w:tcPr>
          <w:p w14:paraId="1DC5C4B6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7183430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311</w:t>
            </w:r>
          </w:p>
        </w:tc>
        <w:tc>
          <w:tcPr>
            <w:tcW w:w="1704" w:type="dxa"/>
            <w:shd w:val="clear" w:color="auto" w:fill="auto"/>
          </w:tcPr>
          <w:p w14:paraId="0696E684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615F798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218</w:t>
            </w:r>
          </w:p>
        </w:tc>
        <w:tc>
          <w:tcPr>
            <w:tcW w:w="1134" w:type="dxa"/>
            <w:shd w:val="clear" w:color="auto" w:fill="auto"/>
          </w:tcPr>
          <w:p w14:paraId="73C87169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6BB3B843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8B0CA90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14:paraId="6157E9A0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4AA8DDF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134</w:t>
            </w:r>
          </w:p>
        </w:tc>
      </w:tr>
      <w:tr w:rsidR="0073631A" w:rsidRPr="00816D54" w14:paraId="5A47F661" w14:textId="77777777" w:rsidTr="004243A9">
        <w:tc>
          <w:tcPr>
            <w:tcW w:w="1668" w:type="dxa"/>
            <w:shd w:val="clear" w:color="auto" w:fill="auto"/>
          </w:tcPr>
          <w:p w14:paraId="1D02494E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BC2F8FE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MMAE</w:t>
            </w:r>
          </w:p>
        </w:tc>
        <w:tc>
          <w:tcPr>
            <w:tcW w:w="1701" w:type="dxa"/>
            <w:shd w:val="clear" w:color="auto" w:fill="auto"/>
          </w:tcPr>
          <w:p w14:paraId="01D7294E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65840B8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0.5</w:t>
            </w:r>
          </w:p>
        </w:tc>
        <w:tc>
          <w:tcPr>
            <w:tcW w:w="1704" w:type="dxa"/>
            <w:shd w:val="clear" w:color="auto" w:fill="auto"/>
          </w:tcPr>
          <w:p w14:paraId="72B7B333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C62B300" w14:textId="77777777" w:rsidR="0073631A" w:rsidRPr="004C24CF" w:rsidRDefault="00A51362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0.8</w:t>
            </w:r>
          </w:p>
        </w:tc>
        <w:tc>
          <w:tcPr>
            <w:tcW w:w="1134" w:type="dxa"/>
            <w:shd w:val="clear" w:color="auto" w:fill="auto"/>
          </w:tcPr>
          <w:p w14:paraId="4179CA10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78499117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95011EC" w14:textId="77777777" w:rsidR="0073631A" w:rsidRPr="004C24CF" w:rsidRDefault="00A51362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0.6</w:t>
            </w:r>
          </w:p>
        </w:tc>
        <w:tc>
          <w:tcPr>
            <w:tcW w:w="1984" w:type="dxa"/>
            <w:shd w:val="clear" w:color="auto" w:fill="auto"/>
          </w:tcPr>
          <w:p w14:paraId="4FCC5A3C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DAE7EEB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1</w:t>
            </w:r>
            <w:r w:rsidR="00A51362">
              <w:rPr>
                <w:rFonts w:cs="Arial"/>
                <w:sz w:val="20"/>
                <w:szCs w:val="20"/>
              </w:rPr>
              <w:t>.1</w:t>
            </w:r>
          </w:p>
        </w:tc>
      </w:tr>
      <w:tr w:rsidR="0073631A" w:rsidRPr="00816D54" w14:paraId="7A5EDB96" w14:textId="77777777" w:rsidTr="004243A9">
        <w:tc>
          <w:tcPr>
            <w:tcW w:w="1668" w:type="dxa"/>
            <w:shd w:val="clear" w:color="auto" w:fill="auto"/>
          </w:tcPr>
          <w:p w14:paraId="15C3CE91" w14:textId="77777777" w:rsidR="0073631A" w:rsidRDefault="0073631A" w:rsidP="00466A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3D856A9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B5678">
              <w:rPr>
                <w:i/>
                <w:iCs/>
                <w:sz w:val="20"/>
                <w:szCs w:val="20"/>
              </w:rPr>
              <w:t>D</w:t>
            </w:r>
            <w:r w:rsidRPr="004C24CF">
              <w:rPr>
                <w:sz w:val="20"/>
                <w:szCs w:val="20"/>
              </w:rPr>
              <w:t>-Cys6-LHRH</w:t>
            </w:r>
          </w:p>
        </w:tc>
        <w:tc>
          <w:tcPr>
            <w:tcW w:w="1701" w:type="dxa"/>
            <w:shd w:val="clear" w:color="auto" w:fill="auto"/>
          </w:tcPr>
          <w:p w14:paraId="6D815DE5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6FC057E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&gt; 50,000</w:t>
            </w:r>
          </w:p>
        </w:tc>
        <w:tc>
          <w:tcPr>
            <w:tcW w:w="1704" w:type="dxa"/>
            <w:shd w:val="clear" w:color="auto" w:fill="auto"/>
          </w:tcPr>
          <w:p w14:paraId="5D6B6A72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CDF6FAD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&gt; 50,000</w:t>
            </w:r>
          </w:p>
        </w:tc>
        <w:tc>
          <w:tcPr>
            <w:tcW w:w="1134" w:type="dxa"/>
            <w:shd w:val="clear" w:color="auto" w:fill="auto"/>
          </w:tcPr>
          <w:p w14:paraId="22CC3F01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1099C649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658857B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&gt; 50,000</w:t>
            </w:r>
          </w:p>
        </w:tc>
        <w:tc>
          <w:tcPr>
            <w:tcW w:w="1984" w:type="dxa"/>
            <w:shd w:val="clear" w:color="auto" w:fill="auto"/>
          </w:tcPr>
          <w:p w14:paraId="3D05AAE8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D7A5D6D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&gt; 50,000</w:t>
            </w:r>
          </w:p>
        </w:tc>
      </w:tr>
      <w:tr w:rsidR="0073631A" w:rsidRPr="00816D54" w14:paraId="479014AF" w14:textId="77777777" w:rsidTr="004243A9">
        <w:tc>
          <w:tcPr>
            <w:tcW w:w="1668" w:type="dxa"/>
            <w:shd w:val="clear" w:color="auto" w:fill="auto"/>
          </w:tcPr>
          <w:p w14:paraId="241B0427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B7B0CFB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Zoptarelin doxorubicin</w:t>
            </w:r>
          </w:p>
        </w:tc>
        <w:tc>
          <w:tcPr>
            <w:tcW w:w="1701" w:type="dxa"/>
            <w:shd w:val="clear" w:color="auto" w:fill="auto"/>
          </w:tcPr>
          <w:p w14:paraId="7AADD797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A34B6F6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453</w:t>
            </w:r>
          </w:p>
        </w:tc>
        <w:tc>
          <w:tcPr>
            <w:tcW w:w="1704" w:type="dxa"/>
            <w:shd w:val="clear" w:color="auto" w:fill="auto"/>
          </w:tcPr>
          <w:p w14:paraId="535BE5FD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7930709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358</w:t>
            </w:r>
          </w:p>
        </w:tc>
        <w:tc>
          <w:tcPr>
            <w:tcW w:w="1134" w:type="dxa"/>
            <w:shd w:val="clear" w:color="auto" w:fill="auto"/>
          </w:tcPr>
          <w:p w14:paraId="2E819BDE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3D4564F2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2A3E74D4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180</w:t>
            </w:r>
          </w:p>
        </w:tc>
        <w:tc>
          <w:tcPr>
            <w:tcW w:w="1984" w:type="dxa"/>
            <w:shd w:val="clear" w:color="auto" w:fill="auto"/>
          </w:tcPr>
          <w:p w14:paraId="3914A57C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81D4FED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382</w:t>
            </w:r>
          </w:p>
        </w:tc>
      </w:tr>
      <w:tr w:rsidR="0073631A" w:rsidRPr="00816D54" w14:paraId="5E7A520E" w14:textId="77777777" w:rsidTr="004243A9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7D765264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F43B7D8" w14:textId="77777777" w:rsidR="0073631A" w:rsidRPr="002B5678" w:rsidRDefault="002B5678" w:rsidP="00466A77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B5678">
              <w:rPr>
                <w:i/>
                <w:iCs/>
                <w:sz w:val="20"/>
                <w:szCs w:val="20"/>
              </w:rPr>
              <w:t>D</w:t>
            </w:r>
            <w:r w:rsidRPr="002B5678">
              <w:rPr>
                <w:sz w:val="20"/>
                <w:szCs w:val="20"/>
              </w:rPr>
              <w:t>-Cys6-LHRH vedotin</w:t>
            </w:r>
            <w:r w:rsidRPr="002B567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3F0BA81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52FA2F4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4</w:t>
            </w:r>
          </w:p>
          <w:p w14:paraId="6F8B5E67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50B1879C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5AC3E9E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49</w:t>
            </w:r>
          </w:p>
          <w:p w14:paraId="7BEB1028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D7C9CB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08651C95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2A063D92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52</w:t>
            </w:r>
          </w:p>
          <w:p w14:paraId="4C74E1C8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B068408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4040099" w14:textId="77777777" w:rsidR="0073631A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C24CF">
              <w:rPr>
                <w:rFonts w:cs="Arial"/>
                <w:sz w:val="20"/>
                <w:szCs w:val="20"/>
              </w:rPr>
              <w:t>191</w:t>
            </w:r>
          </w:p>
          <w:p w14:paraId="2897B152" w14:textId="77777777" w:rsidR="0073631A" w:rsidRPr="004C24CF" w:rsidRDefault="0073631A" w:rsidP="00466A77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5AAD6EE" w14:textId="77777777" w:rsidR="0073631A" w:rsidRDefault="0073631A" w:rsidP="0073631A">
      <w:pPr>
        <w:tabs>
          <w:tab w:val="left" w:pos="2820"/>
        </w:tabs>
        <w:spacing w:line="360" w:lineRule="auto"/>
        <w:rPr>
          <w:rFonts w:cs="Arial"/>
        </w:rPr>
      </w:pPr>
      <w:r w:rsidRPr="00730550">
        <w:rPr>
          <w:b/>
        </w:rPr>
        <w:t>Table 1</w:t>
      </w:r>
      <w:r>
        <w:t>. GI</w:t>
      </w:r>
      <w:r w:rsidRPr="003636F3">
        <w:rPr>
          <w:vertAlign w:val="subscript"/>
        </w:rPr>
        <w:t>50</w:t>
      </w:r>
      <w:r>
        <w:t xml:space="preserve">s (nM) of </w:t>
      </w:r>
      <w:r>
        <w:rPr>
          <w:rFonts w:cs="Arial"/>
        </w:rPr>
        <w:t xml:space="preserve">test compounds against </w:t>
      </w:r>
      <w:r w:rsidR="00CA0F53">
        <w:rPr>
          <w:rFonts w:cs="Arial"/>
        </w:rPr>
        <w:t>various</w:t>
      </w:r>
      <w:r>
        <w:rPr>
          <w:rFonts w:cs="Arial"/>
        </w:rPr>
        <w:t xml:space="preserve"> human cell lines</w:t>
      </w:r>
      <w:r w:rsidR="002B5678">
        <w:rPr>
          <w:rFonts w:cs="Arial"/>
        </w:rPr>
        <w:t>.</w:t>
      </w:r>
    </w:p>
    <w:p w14:paraId="560414E4" w14:textId="77777777" w:rsidR="00EE4D97" w:rsidRDefault="00EE4D97" w:rsidP="0073631A">
      <w:pPr>
        <w:tabs>
          <w:tab w:val="left" w:pos="2820"/>
        </w:tabs>
        <w:spacing w:line="360" w:lineRule="auto"/>
        <w:rPr>
          <w:rFonts w:cs="Arial"/>
        </w:rPr>
      </w:pPr>
    </w:p>
    <w:p w14:paraId="75A26403" w14:textId="77777777" w:rsidR="00EE4D97" w:rsidRPr="0005364A" w:rsidRDefault="00EE4D97" w:rsidP="00890EAD">
      <w:pPr>
        <w:ind w:firstLine="720"/>
        <w:sectPr w:rsidR="00EE4D97" w:rsidRPr="0005364A" w:rsidSect="009F791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 w:code="9"/>
          <w:pgMar w:top="1440" w:right="987" w:bottom="1440" w:left="1440" w:header="720" w:footer="720" w:gutter="0"/>
          <w:lnNumType w:countBy="1" w:restart="continuous"/>
          <w:cols w:space="720"/>
          <w:docGrid w:linePitch="360"/>
        </w:sectPr>
      </w:pPr>
      <w:r>
        <w:lastRenderedPageBreak/>
        <w:t>In conclusion, we show that</w:t>
      </w:r>
      <w:r w:rsidR="0009755C">
        <w:t xml:space="preserve"> </w:t>
      </w:r>
      <w:r w:rsidR="0024567F">
        <w:t xml:space="preserve">it is possible to significantly improve </w:t>
      </w:r>
      <w:r w:rsidR="0024567F" w:rsidRPr="004D5309">
        <w:t>Zoptarelin</w:t>
      </w:r>
      <w:r w:rsidR="0024567F">
        <w:t xml:space="preserve"> doxorubicin’s potency and selectivity </w:t>
      </w:r>
      <w:r>
        <w:t xml:space="preserve">by </w:t>
      </w:r>
      <w:r w:rsidR="00DD189F">
        <w:t xml:space="preserve">simply </w:t>
      </w:r>
      <w:r w:rsidR="0009755C">
        <w:t>replacing</w:t>
      </w:r>
      <w:r>
        <w:t xml:space="preserve"> the linker-toxin moiety </w:t>
      </w:r>
      <w:r w:rsidR="002B5678">
        <w:t>with vedotin</w:t>
      </w:r>
      <w:r>
        <w:t>.</w:t>
      </w:r>
      <w:r w:rsidR="009D4854">
        <w:t xml:space="preserve"> As both </w:t>
      </w:r>
      <w:r w:rsidR="009D4854" w:rsidRPr="004D5309">
        <w:t>Zoptarelin</w:t>
      </w:r>
      <w:r w:rsidR="009D4854">
        <w:t xml:space="preserve"> doxorubicin and </w:t>
      </w:r>
      <w:r w:rsidR="00EC4CD4">
        <w:t xml:space="preserve">the linker-toxin </w:t>
      </w:r>
      <w:r w:rsidR="009D4854">
        <w:t>vedotin have</w:t>
      </w:r>
      <w:r w:rsidR="004C2A12">
        <w:t xml:space="preserve"> </w:t>
      </w:r>
      <w:r w:rsidR="009D4854">
        <w:t xml:space="preserve">been shown to be </w:t>
      </w:r>
      <w:r w:rsidR="00890EAD">
        <w:t xml:space="preserve">chemically </w:t>
      </w:r>
      <w:r w:rsidR="009D4854">
        <w:t xml:space="preserve">stable </w:t>
      </w:r>
      <w:r w:rsidR="009D4854" w:rsidRPr="00890EAD">
        <w:rPr>
          <w:i/>
          <w:iCs/>
        </w:rPr>
        <w:t>in vi</w:t>
      </w:r>
      <w:r w:rsidR="00931E14">
        <w:rPr>
          <w:i/>
          <w:iCs/>
        </w:rPr>
        <w:t>tr</w:t>
      </w:r>
      <w:r w:rsidR="009D4854" w:rsidRPr="00890EAD">
        <w:rPr>
          <w:i/>
          <w:iCs/>
        </w:rPr>
        <w:t>o</w:t>
      </w:r>
      <w:r w:rsidR="00931E14">
        <w:rPr>
          <w:i/>
          <w:iCs/>
        </w:rPr>
        <w:t xml:space="preserve"> </w:t>
      </w:r>
      <w:r w:rsidR="00931E14">
        <w:t>and</w:t>
      </w:r>
      <w:r w:rsidR="009D4854">
        <w:t xml:space="preserve"> </w:t>
      </w:r>
      <w:r w:rsidR="00931E14" w:rsidRPr="00890EAD">
        <w:rPr>
          <w:i/>
          <w:iCs/>
        </w:rPr>
        <w:t>in vivo</w:t>
      </w:r>
      <w:r w:rsidR="00672942">
        <w:rPr>
          <w:i/>
          <w:iCs/>
        </w:rPr>
        <w:t xml:space="preserve"> </w:t>
      </w:r>
      <w:r w:rsidR="00672942">
        <w:t xml:space="preserve">(Nagy et al., </w:t>
      </w:r>
      <w:r w:rsidR="00672942">
        <w:rPr>
          <w:color w:val="0070C0"/>
        </w:rPr>
        <w:t>2000</w:t>
      </w:r>
      <w:r w:rsidR="00672942">
        <w:t>;</w:t>
      </w:r>
      <w:r w:rsidR="00672942">
        <w:rPr>
          <w:color w:val="0070C0"/>
        </w:rPr>
        <w:t xml:space="preserve"> </w:t>
      </w:r>
      <w:r w:rsidR="00672942">
        <w:t xml:space="preserve">Doronina et al., </w:t>
      </w:r>
      <w:r w:rsidR="00672942" w:rsidRPr="008B697E">
        <w:rPr>
          <w:color w:val="0070C0"/>
        </w:rPr>
        <w:t>2003</w:t>
      </w:r>
      <w:r w:rsidR="00672942">
        <w:t>)</w:t>
      </w:r>
      <w:r w:rsidR="009D4854">
        <w:t>, future experiment</w:t>
      </w:r>
      <w:r w:rsidR="00DD189F">
        <w:t>s</w:t>
      </w:r>
      <w:r w:rsidR="009D4854">
        <w:t xml:space="preserve"> should involve </w:t>
      </w:r>
      <w:r w:rsidR="00821F03">
        <w:t xml:space="preserve">a head-to-head </w:t>
      </w:r>
      <w:r w:rsidR="00EC4CD4" w:rsidRPr="00EC4CD4">
        <w:rPr>
          <w:i/>
          <w:iCs/>
        </w:rPr>
        <w:t>in vivo</w:t>
      </w:r>
      <w:r w:rsidR="00EC4CD4">
        <w:t xml:space="preserve"> </w:t>
      </w:r>
      <w:r w:rsidR="00DD189F">
        <w:t xml:space="preserve">efficacy </w:t>
      </w:r>
      <w:r w:rsidR="00821F03">
        <w:t>study between</w:t>
      </w:r>
      <w:r w:rsidR="009D4854">
        <w:t xml:space="preserve"> </w:t>
      </w:r>
      <w:r w:rsidR="002B5678" w:rsidRPr="004578CA">
        <w:rPr>
          <w:i/>
          <w:iCs/>
        </w:rPr>
        <w:t>D</w:t>
      </w:r>
      <w:r w:rsidR="002B5678" w:rsidRPr="004578CA">
        <w:t>-Cys6-LHRH vedotin</w:t>
      </w:r>
      <w:r w:rsidR="009D4854">
        <w:t xml:space="preserve"> </w:t>
      </w:r>
      <w:r w:rsidR="00821F03">
        <w:t xml:space="preserve">and </w:t>
      </w:r>
      <w:r w:rsidR="00821F03" w:rsidRPr="004D5309">
        <w:t>Zoptarelin</w:t>
      </w:r>
      <w:r w:rsidR="00821F03">
        <w:t xml:space="preserve"> doxorubicin </w:t>
      </w:r>
      <w:r w:rsidR="009D4854">
        <w:t>in a mouse ovarian cancer xenograft model</w:t>
      </w:r>
      <w:r w:rsidR="00DD189F">
        <w:t>.</w:t>
      </w:r>
    </w:p>
    <w:p w14:paraId="71E3CA96" w14:textId="77777777" w:rsidR="00986B5C" w:rsidRDefault="00986B5C" w:rsidP="00986B5C">
      <w:pPr>
        <w:pStyle w:val="Heading2"/>
      </w:pPr>
      <w:r>
        <w:lastRenderedPageBreak/>
        <w:t>Abbreviations</w:t>
      </w:r>
    </w:p>
    <w:p w14:paraId="4ADFD44D" w14:textId="77777777" w:rsidR="00981FB6" w:rsidRDefault="00981FB6" w:rsidP="006505D9">
      <w:r>
        <w:t>ADC</w:t>
      </w:r>
      <w:r>
        <w:tab/>
      </w:r>
      <w:r>
        <w:tab/>
        <w:t xml:space="preserve">antibody drug conjugate </w:t>
      </w:r>
    </w:p>
    <w:p w14:paraId="07E078E6" w14:textId="77777777" w:rsidR="00367F28" w:rsidRDefault="00367F28" w:rsidP="006505D9">
      <w:r>
        <w:t>Cys</w:t>
      </w:r>
      <w:r>
        <w:tab/>
      </w:r>
      <w:r>
        <w:tab/>
        <w:t>cysteine</w:t>
      </w:r>
    </w:p>
    <w:p w14:paraId="498ACABF" w14:textId="77777777" w:rsidR="00EC32CC" w:rsidRDefault="00EC32CC" w:rsidP="006505D9">
      <w:r>
        <w:t>FDA</w:t>
      </w:r>
      <w:r>
        <w:tab/>
      </w:r>
      <w:r>
        <w:tab/>
        <w:t>Food and Drug Administration</w:t>
      </w:r>
    </w:p>
    <w:p w14:paraId="6C90EE41" w14:textId="77777777" w:rsidR="003C3F1C" w:rsidRDefault="008719A7" w:rsidP="006505D9">
      <w:r>
        <w:t>GI</w:t>
      </w:r>
      <w:r w:rsidR="003C3F1C" w:rsidRPr="003C3F1C">
        <w:rPr>
          <w:vertAlign w:val="subscript"/>
        </w:rPr>
        <w:t>50</w:t>
      </w:r>
      <w:r w:rsidR="003C3F1C">
        <w:tab/>
      </w:r>
      <w:r w:rsidR="003C3F1C">
        <w:tab/>
      </w:r>
      <w:r w:rsidR="003C3F1C" w:rsidRPr="003C3F1C">
        <w:t xml:space="preserve">half-maximal </w:t>
      </w:r>
      <w:r>
        <w:t xml:space="preserve">growth </w:t>
      </w:r>
      <w:r w:rsidR="003C3F1C" w:rsidRPr="003C3F1C">
        <w:t>inhibitory concentration</w:t>
      </w:r>
    </w:p>
    <w:p w14:paraId="0F1130E6" w14:textId="77777777" w:rsidR="00117734" w:rsidRDefault="00117734" w:rsidP="00986B5C">
      <w:r>
        <w:t>MC</w:t>
      </w:r>
      <w:r>
        <w:tab/>
      </w:r>
      <w:r>
        <w:tab/>
      </w:r>
      <w:r w:rsidRPr="00117734">
        <w:t>maleimidocaproyl</w:t>
      </w:r>
    </w:p>
    <w:p w14:paraId="218D8FA5" w14:textId="77777777" w:rsidR="00986B5C" w:rsidRDefault="008B5FFC" w:rsidP="00986B5C">
      <w:r>
        <w:t>MMAE</w:t>
      </w:r>
      <w:r>
        <w:tab/>
        <w:t>monomethyl auristatin E</w:t>
      </w:r>
    </w:p>
    <w:p w14:paraId="4ECC673C" w14:textId="77777777" w:rsidR="00A03193" w:rsidRDefault="00A03193" w:rsidP="00986B5C">
      <w:r>
        <w:t>OVCAR-3</w:t>
      </w:r>
      <w:r>
        <w:tab/>
        <w:t>ovarian carcinoma cell line 3</w:t>
      </w:r>
    </w:p>
    <w:p w14:paraId="12A14EC7" w14:textId="77777777" w:rsidR="00117734" w:rsidRDefault="00117734" w:rsidP="00986B5C">
      <w:r>
        <w:t xml:space="preserve">PABC </w:t>
      </w:r>
      <w:r>
        <w:tab/>
        <w:t>para-</w:t>
      </w:r>
      <w:r w:rsidRPr="009168A5">
        <w:t>aminobenzyloxycarbamoyl</w:t>
      </w:r>
    </w:p>
    <w:p w14:paraId="5157E3EF" w14:textId="77777777" w:rsidR="00A03193" w:rsidRDefault="00C22917" w:rsidP="00986B5C">
      <w:r>
        <w:t>SK-OV</w:t>
      </w:r>
      <w:r w:rsidR="00A03193">
        <w:t>-3</w:t>
      </w:r>
      <w:r w:rsidR="00A03193">
        <w:tab/>
      </w:r>
      <w:r w:rsidR="00F7148B">
        <w:t xml:space="preserve">Sloan Kettering ovarian cancer cell line 3 </w:t>
      </w:r>
    </w:p>
    <w:p w14:paraId="33D03825" w14:textId="77777777" w:rsidR="00861351" w:rsidRDefault="00861351" w:rsidP="00986B5C">
      <w:r>
        <w:t>VC</w:t>
      </w:r>
      <w:r>
        <w:tab/>
      </w:r>
      <w:r>
        <w:tab/>
        <w:t>valine-citrulline</w:t>
      </w:r>
    </w:p>
    <w:p w14:paraId="5606A1A2" w14:textId="77777777" w:rsidR="00367F28" w:rsidRDefault="00367F28" w:rsidP="00986B5C"/>
    <w:p w14:paraId="5773948C" w14:textId="77777777" w:rsidR="00A70FE6" w:rsidRDefault="00A70FE6" w:rsidP="00A70FE6">
      <w:pPr>
        <w:pStyle w:val="Heading2"/>
      </w:pPr>
      <w:r>
        <w:t>Acknowledgements</w:t>
      </w:r>
    </w:p>
    <w:p w14:paraId="0816B0C1" w14:textId="77777777" w:rsidR="00A70FE6" w:rsidRDefault="00A70FE6" w:rsidP="00A70FE6">
      <w:r>
        <w:t>This work was supported by the Agency for Science, Technology and Research (A*STAR).</w:t>
      </w:r>
    </w:p>
    <w:p w14:paraId="6987932F" w14:textId="77777777" w:rsidR="00A70FE6" w:rsidRDefault="00A70FE6" w:rsidP="00986B5C"/>
    <w:p w14:paraId="11265F53" w14:textId="77777777" w:rsidR="005E0EB4" w:rsidRDefault="005E0EB4" w:rsidP="005E0EB4">
      <w:pPr>
        <w:pStyle w:val="Heading2"/>
      </w:pPr>
      <w:r>
        <w:t>Funding Statement</w:t>
      </w:r>
    </w:p>
    <w:p w14:paraId="0823A030" w14:textId="77777777" w:rsidR="005E0EB4" w:rsidRDefault="005E0EB4" w:rsidP="005E0EB4">
      <w:r>
        <w:t>This work was funded by the Agency for Science, Technology and Research (A*STAR).</w:t>
      </w:r>
    </w:p>
    <w:p w14:paraId="59C50B48" w14:textId="77777777" w:rsidR="005E0EB4" w:rsidRDefault="005E0EB4" w:rsidP="00986B5C"/>
    <w:p w14:paraId="774EABAF" w14:textId="77777777" w:rsidR="00797CBB" w:rsidRDefault="00232B4B">
      <w:pPr>
        <w:pStyle w:val="Heading2"/>
      </w:pPr>
      <w:r>
        <w:t>Co</w:t>
      </w:r>
      <w:r w:rsidR="005E0EB4">
        <w:t>nflict of</w:t>
      </w:r>
      <w:r>
        <w:t xml:space="preserve"> I</w:t>
      </w:r>
      <w:r w:rsidR="00797CBB">
        <w:t>nterest</w:t>
      </w:r>
      <w:r w:rsidR="005E0EB4">
        <w:t xml:space="preserve"> Disclosure</w:t>
      </w:r>
      <w:r w:rsidR="00797CBB">
        <w:t xml:space="preserve"> </w:t>
      </w:r>
    </w:p>
    <w:p w14:paraId="201D534F" w14:textId="77777777" w:rsidR="00797CBB" w:rsidRDefault="00797CBB">
      <w:r>
        <w:t>The authors declare no conflicts of interest.</w:t>
      </w:r>
    </w:p>
    <w:p w14:paraId="2011C58F" w14:textId="77777777" w:rsidR="00A80614" w:rsidRDefault="00A80614"/>
    <w:p w14:paraId="64D4B9D7" w14:textId="77777777" w:rsidR="00A80614" w:rsidRDefault="00A80614" w:rsidP="00A80614">
      <w:pPr>
        <w:pStyle w:val="Heading2"/>
      </w:pPr>
      <w:r>
        <w:lastRenderedPageBreak/>
        <w:t>Data Availability</w:t>
      </w:r>
    </w:p>
    <w:p w14:paraId="4FEA6477" w14:textId="77777777" w:rsidR="00A80614" w:rsidRDefault="00A80614" w:rsidP="00A80614">
      <w:r>
        <w:t>All supplementary data are found in the supplementary file.</w:t>
      </w:r>
    </w:p>
    <w:p w14:paraId="6E1D10A1" w14:textId="77777777" w:rsidR="00A80614" w:rsidRDefault="00A80614" w:rsidP="00A80614"/>
    <w:p w14:paraId="6C13E3CD" w14:textId="77777777" w:rsidR="00523369" w:rsidRDefault="00797CBB" w:rsidP="00523369">
      <w:pPr>
        <w:pStyle w:val="Heading2"/>
      </w:pPr>
      <w:r>
        <w:t>References</w:t>
      </w:r>
    </w:p>
    <w:p w14:paraId="52171E4A" w14:textId="77777777" w:rsidR="00436CEB" w:rsidRDefault="00436CEB" w:rsidP="00436CEB">
      <w:r>
        <w:t>Ajani,</w:t>
      </w:r>
      <w:r w:rsidRPr="00382E81">
        <w:t xml:space="preserve"> </w:t>
      </w:r>
      <w:r>
        <w:t>J.</w:t>
      </w:r>
      <w:r w:rsidR="00CB55E0">
        <w:t xml:space="preserve"> </w:t>
      </w:r>
      <w:r>
        <w:t>A.</w:t>
      </w:r>
      <w:r w:rsidRPr="00382E81">
        <w:t>,</w:t>
      </w:r>
      <w:r>
        <w:t xml:space="preserve"> Kelsen,</w:t>
      </w:r>
      <w:r w:rsidRPr="00382E81">
        <w:t xml:space="preserve"> </w:t>
      </w:r>
      <w:r>
        <w:t>D.</w:t>
      </w:r>
      <w:r w:rsidR="00CB55E0">
        <w:t xml:space="preserve"> </w:t>
      </w:r>
      <w:r>
        <w:t>P.</w:t>
      </w:r>
      <w:r w:rsidRPr="00382E81">
        <w:t xml:space="preserve">, </w:t>
      </w:r>
      <w:r>
        <w:t>Haller,</w:t>
      </w:r>
      <w:r w:rsidRPr="00382E81">
        <w:t xml:space="preserve"> </w:t>
      </w:r>
      <w:r>
        <w:t>D.</w:t>
      </w:r>
      <w:r w:rsidRPr="00382E81">
        <w:t xml:space="preserve">, </w:t>
      </w:r>
      <w:r w:rsidR="00FF52B0">
        <w:t>Hargraves, K.</w:t>
      </w:r>
      <w:r w:rsidR="00AE0044">
        <w:t>,</w:t>
      </w:r>
      <w:r w:rsidR="00FF52B0">
        <w:t xml:space="preserve"> Healey, D</w:t>
      </w:r>
      <w:r w:rsidRPr="00382E81">
        <w:t xml:space="preserve">. </w:t>
      </w:r>
      <w:r>
        <w:t xml:space="preserve">(2000). </w:t>
      </w:r>
      <w:r w:rsidRPr="00B5130F">
        <w:t xml:space="preserve">A multi-institutional phase II study of BMS-182248-01 (BR96-doxorubicin </w:t>
      </w:r>
      <w:bookmarkStart w:id="1" w:name="_Hlk143947964"/>
      <w:r w:rsidRPr="00B5130F">
        <w:t>conjugate</w:t>
      </w:r>
      <w:bookmarkEnd w:id="1"/>
      <w:r w:rsidRPr="00B5130F">
        <w:t>) administered every 21 days in patients with advanced gastric adenocarcinoma</w:t>
      </w:r>
      <w:r w:rsidRPr="00382E81">
        <w:t xml:space="preserve">. </w:t>
      </w:r>
      <w:r>
        <w:rPr>
          <w:i/>
        </w:rPr>
        <w:t>Cancer Journal</w:t>
      </w:r>
      <w:r>
        <w:t>,</w:t>
      </w:r>
      <w:r w:rsidRPr="00382E81">
        <w:t xml:space="preserve"> </w:t>
      </w:r>
      <w:r w:rsidRPr="00F60E5E">
        <w:rPr>
          <w:i/>
          <w:iCs/>
        </w:rPr>
        <w:t>6</w:t>
      </w:r>
      <w:r>
        <w:t>, 78</w:t>
      </w:r>
      <w:r w:rsidRPr="00382E81">
        <w:t>−</w:t>
      </w:r>
      <w:r>
        <w:t>81</w:t>
      </w:r>
      <w:r w:rsidRPr="00382E81">
        <w:t>.</w:t>
      </w:r>
      <w:r>
        <w:t xml:space="preserve"> </w:t>
      </w:r>
    </w:p>
    <w:p w14:paraId="5BF1EF99" w14:textId="77777777" w:rsidR="00436CEB" w:rsidRDefault="00436CEB" w:rsidP="00436CEB"/>
    <w:p w14:paraId="6B819DF1" w14:textId="77777777" w:rsidR="00436CEB" w:rsidRDefault="00436CEB" w:rsidP="00436CEB">
      <w:r>
        <w:t>Beck,</w:t>
      </w:r>
      <w:r w:rsidRPr="00382E81">
        <w:t xml:space="preserve"> </w:t>
      </w:r>
      <w:r>
        <w:t>A.</w:t>
      </w:r>
      <w:r w:rsidRPr="00382E81">
        <w:t>,</w:t>
      </w:r>
      <w:r>
        <w:t xml:space="preserve"> Goetsch,</w:t>
      </w:r>
      <w:r w:rsidRPr="00382E81">
        <w:t xml:space="preserve"> </w:t>
      </w:r>
      <w:r>
        <w:t>L.</w:t>
      </w:r>
      <w:r w:rsidRPr="00382E81">
        <w:t xml:space="preserve">, </w:t>
      </w:r>
      <w:r>
        <w:t>Dumontet,</w:t>
      </w:r>
      <w:r w:rsidRPr="00382E81">
        <w:t xml:space="preserve"> </w:t>
      </w:r>
      <w:r>
        <w:t>C.</w:t>
      </w:r>
      <w:r w:rsidR="00AE0044">
        <w:t>, Corva</w:t>
      </w:r>
      <w:r w:rsidR="00AE0044">
        <w:rPr>
          <w:rFonts w:cs="Arial"/>
        </w:rPr>
        <w:t>ï</w:t>
      </w:r>
      <w:r w:rsidR="00AE0044">
        <w:t>a, N</w:t>
      </w:r>
      <w:r w:rsidRPr="00382E81">
        <w:t xml:space="preserve">. </w:t>
      </w:r>
      <w:r>
        <w:t xml:space="preserve">(2017). </w:t>
      </w:r>
      <w:r w:rsidRPr="00254CD3">
        <w:t>Strategies and challenges for the next generation of antibody-drug conjugates</w:t>
      </w:r>
      <w:r w:rsidRPr="00382E81">
        <w:t xml:space="preserve">. </w:t>
      </w:r>
      <w:r w:rsidRPr="00254CD3">
        <w:rPr>
          <w:i/>
        </w:rPr>
        <w:t>Nat</w:t>
      </w:r>
      <w:r>
        <w:rPr>
          <w:i/>
        </w:rPr>
        <w:t>ure</w:t>
      </w:r>
      <w:r w:rsidRPr="00254CD3">
        <w:rPr>
          <w:i/>
        </w:rPr>
        <w:t xml:space="preserve"> Rev</w:t>
      </w:r>
      <w:r>
        <w:rPr>
          <w:i/>
        </w:rPr>
        <w:t>iews</w:t>
      </w:r>
      <w:r w:rsidRPr="00254CD3">
        <w:rPr>
          <w:i/>
        </w:rPr>
        <w:t xml:space="preserve"> Drug Discov</w:t>
      </w:r>
      <w:r>
        <w:rPr>
          <w:i/>
        </w:rPr>
        <w:t>ery</w:t>
      </w:r>
      <w:r>
        <w:t xml:space="preserve">, </w:t>
      </w:r>
      <w:r w:rsidRPr="00F60E5E">
        <w:rPr>
          <w:i/>
          <w:iCs/>
        </w:rPr>
        <w:t>16</w:t>
      </w:r>
      <w:r>
        <w:t>, 315</w:t>
      </w:r>
      <w:r w:rsidRPr="00382E81">
        <w:t>−</w:t>
      </w:r>
      <w:r>
        <w:t>337</w:t>
      </w:r>
      <w:r w:rsidRPr="00382E81">
        <w:t>.</w:t>
      </w:r>
      <w:r>
        <w:t xml:space="preserve"> d</w:t>
      </w:r>
      <w:r w:rsidRPr="00382E81">
        <w:t>oi</w:t>
      </w:r>
      <w:r>
        <w:t>:</w:t>
      </w:r>
      <w:r w:rsidRPr="00254CD3">
        <w:t>10.1038/nrd.2016.268</w:t>
      </w:r>
    </w:p>
    <w:p w14:paraId="66950CD3" w14:textId="77777777" w:rsidR="00436CEB" w:rsidRDefault="00436CEB" w:rsidP="00436CEB"/>
    <w:p w14:paraId="7F19F89A" w14:textId="77777777" w:rsidR="00436CEB" w:rsidRDefault="00436CEB" w:rsidP="00436CEB">
      <w:r>
        <w:t>Doronina</w:t>
      </w:r>
      <w:r w:rsidR="00CB55E0">
        <w:t>,</w:t>
      </w:r>
      <w:r w:rsidRPr="00382E81">
        <w:t xml:space="preserve"> </w:t>
      </w:r>
      <w:r>
        <w:t>S</w:t>
      </w:r>
      <w:r w:rsidR="00CB55E0">
        <w:t>.</w:t>
      </w:r>
      <w:r w:rsidRPr="00382E81">
        <w:t>,</w:t>
      </w:r>
      <w:r>
        <w:t xml:space="preserve"> Toki</w:t>
      </w:r>
      <w:r w:rsidR="00CB55E0">
        <w:t>,</w:t>
      </w:r>
      <w:r w:rsidRPr="00382E81">
        <w:t xml:space="preserve"> </w:t>
      </w:r>
      <w:r>
        <w:t>B</w:t>
      </w:r>
      <w:r w:rsidR="00CB55E0">
        <w:t>.</w:t>
      </w:r>
      <w:r w:rsidR="007119A8">
        <w:t xml:space="preserve"> </w:t>
      </w:r>
      <w:r>
        <w:t>E</w:t>
      </w:r>
      <w:r w:rsidR="00CB55E0">
        <w:t>.</w:t>
      </w:r>
      <w:r w:rsidRPr="00382E81">
        <w:t xml:space="preserve">, </w:t>
      </w:r>
      <w:r w:rsidRPr="001C2B8F">
        <w:t>Torgov</w:t>
      </w:r>
      <w:r w:rsidR="00CB55E0">
        <w:t>,</w:t>
      </w:r>
      <w:r w:rsidRPr="00382E81">
        <w:t xml:space="preserve"> </w:t>
      </w:r>
      <w:r>
        <w:t>M</w:t>
      </w:r>
      <w:r w:rsidR="00CB55E0">
        <w:t xml:space="preserve">. </w:t>
      </w:r>
      <w:r>
        <w:t>Y</w:t>
      </w:r>
      <w:r w:rsidR="00CB55E0">
        <w:t>.</w:t>
      </w:r>
      <w:r w:rsidRPr="00382E81">
        <w:t xml:space="preserve">, </w:t>
      </w:r>
      <w:r w:rsidR="00DD553C">
        <w:t>Mendelsohn, B. A., Cerveny, C. G., Chace, D. F., DeBlanc, R. L., Gearing, R. P., Bovee, T. D., Siegall, C. B., Francisco, J. A., Wahl, A. F., Meyer, D. L., Senter, P. D</w:t>
      </w:r>
      <w:r w:rsidRPr="00382E81">
        <w:t>.</w:t>
      </w:r>
      <w:r>
        <w:t xml:space="preserve"> (2003).</w:t>
      </w:r>
      <w:r w:rsidRPr="00382E81">
        <w:t xml:space="preserve"> </w:t>
      </w:r>
      <w:r>
        <w:t>Development of potent monoclonal antibody auristatin conjugates for cancer therapy</w:t>
      </w:r>
      <w:r w:rsidRPr="00382E81">
        <w:t xml:space="preserve">. </w:t>
      </w:r>
      <w:r w:rsidRPr="001C2B8F">
        <w:rPr>
          <w:i/>
        </w:rPr>
        <w:t>Nat</w:t>
      </w:r>
      <w:r>
        <w:rPr>
          <w:i/>
        </w:rPr>
        <w:t>ure</w:t>
      </w:r>
      <w:r w:rsidRPr="001C2B8F">
        <w:rPr>
          <w:i/>
        </w:rPr>
        <w:t xml:space="preserve"> Biotechnol</w:t>
      </w:r>
      <w:r>
        <w:rPr>
          <w:i/>
        </w:rPr>
        <w:t>ogy</w:t>
      </w:r>
      <w:r>
        <w:t>,</w:t>
      </w:r>
      <w:r w:rsidRPr="00382E81">
        <w:t xml:space="preserve"> </w:t>
      </w:r>
      <w:r w:rsidRPr="003448C6">
        <w:rPr>
          <w:i/>
          <w:iCs/>
        </w:rPr>
        <w:t>21</w:t>
      </w:r>
      <w:r>
        <w:t>, 778</w:t>
      </w:r>
      <w:r w:rsidRPr="00382E81">
        <w:t>−</w:t>
      </w:r>
      <w:r>
        <w:t>784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1C2B8F">
        <w:t>10.1038/nbt832</w:t>
      </w:r>
    </w:p>
    <w:p w14:paraId="2263391D" w14:textId="77777777" w:rsidR="00436CEB" w:rsidRDefault="00436CEB" w:rsidP="00436CEB"/>
    <w:p w14:paraId="5392C91A" w14:textId="77777777" w:rsidR="00436CEB" w:rsidRDefault="00436CEB" w:rsidP="00436CEB">
      <w:r>
        <w:t>Dumontet,</w:t>
      </w:r>
      <w:r w:rsidRPr="00382E81">
        <w:t xml:space="preserve"> </w:t>
      </w:r>
      <w:r>
        <w:t>C.</w:t>
      </w:r>
      <w:r w:rsidRPr="00382E81">
        <w:t>,</w:t>
      </w:r>
      <w:r>
        <w:t xml:space="preserve"> Reichert,</w:t>
      </w:r>
      <w:r w:rsidRPr="00382E81">
        <w:t xml:space="preserve"> </w:t>
      </w:r>
      <w:r>
        <w:t>J.</w:t>
      </w:r>
      <w:r w:rsidR="004C3844">
        <w:t xml:space="preserve"> </w:t>
      </w:r>
      <w:r>
        <w:t>M.</w:t>
      </w:r>
      <w:r w:rsidRPr="00382E81">
        <w:t xml:space="preserve">, </w:t>
      </w:r>
      <w:r>
        <w:t>Senter,</w:t>
      </w:r>
      <w:r w:rsidRPr="00382E81">
        <w:t xml:space="preserve"> </w:t>
      </w:r>
      <w:r>
        <w:t>P.</w:t>
      </w:r>
      <w:r w:rsidR="004C3844">
        <w:t xml:space="preserve"> </w:t>
      </w:r>
      <w:r>
        <w:t>D.</w:t>
      </w:r>
      <w:r w:rsidRPr="00382E81">
        <w:t xml:space="preserve">, </w:t>
      </w:r>
      <w:r w:rsidR="004C3844">
        <w:t>Lambert, J. M., Beck, A</w:t>
      </w:r>
      <w:r w:rsidRPr="00382E81">
        <w:t xml:space="preserve">. </w:t>
      </w:r>
      <w:r>
        <w:t xml:space="preserve">(2023). </w:t>
      </w:r>
      <w:r w:rsidRPr="00B5433D">
        <w:t>Antibody–drug conjugates come of age in oncology</w:t>
      </w:r>
      <w:r w:rsidRPr="00382E81">
        <w:t xml:space="preserve">. </w:t>
      </w:r>
      <w:r w:rsidRPr="00254CD3">
        <w:rPr>
          <w:i/>
        </w:rPr>
        <w:t>Nat</w:t>
      </w:r>
      <w:r>
        <w:rPr>
          <w:i/>
        </w:rPr>
        <w:t>ure</w:t>
      </w:r>
      <w:r w:rsidRPr="00254CD3">
        <w:rPr>
          <w:i/>
        </w:rPr>
        <w:t xml:space="preserve"> Rev</w:t>
      </w:r>
      <w:r>
        <w:rPr>
          <w:i/>
        </w:rPr>
        <w:t>iews</w:t>
      </w:r>
      <w:r w:rsidRPr="00254CD3">
        <w:rPr>
          <w:i/>
        </w:rPr>
        <w:t xml:space="preserve"> Drug Discov</w:t>
      </w:r>
      <w:r>
        <w:rPr>
          <w:i/>
        </w:rPr>
        <w:t>ery</w:t>
      </w:r>
      <w:r>
        <w:t>,</w:t>
      </w:r>
      <w:r w:rsidRPr="00382E81">
        <w:t xml:space="preserve"> </w:t>
      </w:r>
      <w:r w:rsidRPr="00635FCA">
        <w:rPr>
          <w:i/>
          <w:iCs/>
        </w:rPr>
        <w:t>22</w:t>
      </w:r>
      <w:r>
        <w:t>, 641</w:t>
      </w:r>
      <w:r w:rsidRPr="00382E81">
        <w:t>−</w:t>
      </w:r>
      <w:r>
        <w:t>661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B5433D">
        <w:t>10.1038/s41573-023-00709-2</w:t>
      </w:r>
    </w:p>
    <w:p w14:paraId="4139D3CB" w14:textId="77777777" w:rsidR="00436CEB" w:rsidRDefault="00436CEB" w:rsidP="00436CEB"/>
    <w:p w14:paraId="627EFB6B" w14:textId="77777777" w:rsidR="00436CEB" w:rsidRDefault="00436CEB" w:rsidP="00436CEB">
      <w:r>
        <w:lastRenderedPageBreak/>
        <w:t>Emons,</w:t>
      </w:r>
      <w:r w:rsidRPr="00382E81">
        <w:t xml:space="preserve"> </w:t>
      </w:r>
      <w:r>
        <w:t>G.</w:t>
      </w:r>
      <w:r w:rsidRPr="00382E81">
        <w:t>,</w:t>
      </w:r>
      <w:r>
        <w:t xml:space="preserve"> Kaufmann,</w:t>
      </w:r>
      <w:r w:rsidRPr="00382E81">
        <w:t xml:space="preserve"> </w:t>
      </w:r>
      <w:r>
        <w:t>M.</w:t>
      </w:r>
      <w:r w:rsidRPr="00382E81">
        <w:t xml:space="preserve">, </w:t>
      </w:r>
      <w:r>
        <w:t>Gorchev,</w:t>
      </w:r>
      <w:r w:rsidRPr="00382E81">
        <w:t xml:space="preserve"> </w:t>
      </w:r>
      <w:r>
        <w:t>G.</w:t>
      </w:r>
      <w:r w:rsidRPr="00382E81">
        <w:t xml:space="preserve">, </w:t>
      </w:r>
      <w:r w:rsidR="00837C1E">
        <w:t>Tsekova, V., Gr</w:t>
      </w:r>
      <w:r w:rsidR="00837C1E">
        <w:rPr>
          <w:rFonts w:cs="Arial"/>
        </w:rPr>
        <w:t>ü</w:t>
      </w:r>
      <w:r w:rsidR="00837C1E">
        <w:t>ndker, C., G</w:t>
      </w:r>
      <w:r w:rsidR="00837C1E">
        <w:rPr>
          <w:rFonts w:cs="Arial"/>
        </w:rPr>
        <w:t>ü</w:t>
      </w:r>
      <w:r w:rsidR="00837C1E">
        <w:t>nthert, A. R., Hanker, L. C., Velikova, M., Sindermann, H., Engel, J., Schally, A. V</w:t>
      </w:r>
      <w:r w:rsidRPr="00382E81">
        <w:t xml:space="preserve">. </w:t>
      </w:r>
      <w:r>
        <w:t xml:space="preserve">(2010). </w:t>
      </w:r>
      <w:r w:rsidRPr="00B02B22">
        <w:t>Dose escalation and pharmacokinetic study of AEZS-108 (AN-152), an LHRH agonist linked to doxorubicin, in women with LHRH receptor-positive tumors</w:t>
      </w:r>
      <w:r w:rsidRPr="00382E81">
        <w:t xml:space="preserve">. </w:t>
      </w:r>
      <w:r w:rsidRPr="003B503F">
        <w:rPr>
          <w:i/>
        </w:rPr>
        <w:t>Gynecol</w:t>
      </w:r>
      <w:r>
        <w:rPr>
          <w:i/>
        </w:rPr>
        <w:t>ogy</w:t>
      </w:r>
      <w:r w:rsidRPr="003B503F">
        <w:rPr>
          <w:i/>
        </w:rPr>
        <w:t xml:space="preserve"> </w:t>
      </w:r>
      <w:r>
        <w:rPr>
          <w:i/>
        </w:rPr>
        <w:t>Oncology</w:t>
      </w:r>
      <w:r>
        <w:t xml:space="preserve">, </w:t>
      </w:r>
      <w:r w:rsidRPr="00153635">
        <w:rPr>
          <w:i/>
          <w:iCs/>
        </w:rPr>
        <w:t>119</w:t>
      </w:r>
      <w:r>
        <w:t>, 457</w:t>
      </w:r>
      <w:r w:rsidRPr="00382E81">
        <w:t>−</w:t>
      </w:r>
      <w:r>
        <w:t>461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B02B22">
        <w:t>10.1016/j.ygyno.2010.08.003</w:t>
      </w:r>
    </w:p>
    <w:p w14:paraId="3C802E8F" w14:textId="77777777" w:rsidR="00436CEB" w:rsidRDefault="00436CEB" w:rsidP="00436CEB"/>
    <w:p w14:paraId="1C86F300" w14:textId="77777777" w:rsidR="00436CEB" w:rsidRDefault="00436CEB" w:rsidP="00436CEB">
      <w:r>
        <w:t>Emons,</w:t>
      </w:r>
      <w:r w:rsidRPr="00382E81">
        <w:t xml:space="preserve"> </w:t>
      </w:r>
      <w:r>
        <w:t>G.</w:t>
      </w:r>
      <w:r w:rsidRPr="00382E81">
        <w:t>,</w:t>
      </w:r>
      <w:r>
        <w:t xml:space="preserve"> Gorchev,</w:t>
      </w:r>
      <w:r w:rsidRPr="00382E81">
        <w:t xml:space="preserve"> </w:t>
      </w:r>
      <w:r>
        <w:t>G.</w:t>
      </w:r>
      <w:r w:rsidRPr="00382E81">
        <w:t xml:space="preserve">, </w:t>
      </w:r>
      <w:r>
        <w:t>Sehouli,</w:t>
      </w:r>
      <w:r w:rsidRPr="00382E81">
        <w:t xml:space="preserve"> </w:t>
      </w:r>
      <w:r>
        <w:t>J.</w:t>
      </w:r>
      <w:r w:rsidRPr="00382E81">
        <w:t xml:space="preserve">, </w:t>
      </w:r>
      <w:r w:rsidR="00FE13E4">
        <w:t>Wimberger, P., St</w:t>
      </w:r>
      <w:r w:rsidR="00FE13E4">
        <w:rPr>
          <w:rFonts w:cs="Arial"/>
        </w:rPr>
        <w:t>ä</w:t>
      </w:r>
      <w:r w:rsidR="00FE13E4">
        <w:t>hle, A., Hanker, L., Hilpert, F., Sincermann, H., Gr</w:t>
      </w:r>
      <w:r w:rsidR="00FE13E4">
        <w:rPr>
          <w:rFonts w:cs="Arial"/>
        </w:rPr>
        <w:t>ü</w:t>
      </w:r>
      <w:r w:rsidR="00FE13E4">
        <w:t>ndker, C., Harter, P</w:t>
      </w:r>
      <w:r w:rsidRPr="00382E81">
        <w:t>.</w:t>
      </w:r>
      <w:r>
        <w:t xml:space="preserve"> (2014).</w:t>
      </w:r>
      <w:r w:rsidRPr="00382E81">
        <w:t xml:space="preserve"> </w:t>
      </w:r>
      <w:r w:rsidRPr="006B5B22">
        <w:t>Efficacy and safety of AEZS-108 (INN: zoptarelin doxorubicin acetate) an LHRH agonist linked to doxorubicin in women with platinum refractory or resistant ovarian cancer expressing LHRH receptors: a multicenter phase II trial of the ago-study group (AGO GYN 5)</w:t>
      </w:r>
      <w:r w:rsidRPr="00382E81">
        <w:t xml:space="preserve">. </w:t>
      </w:r>
      <w:r w:rsidRPr="003B503F">
        <w:rPr>
          <w:i/>
        </w:rPr>
        <w:t>Gynecol</w:t>
      </w:r>
      <w:r>
        <w:rPr>
          <w:i/>
        </w:rPr>
        <w:t>ogy</w:t>
      </w:r>
      <w:r w:rsidRPr="003B503F">
        <w:rPr>
          <w:i/>
        </w:rPr>
        <w:t xml:space="preserve"> </w:t>
      </w:r>
      <w:r>
        <w:rPr>
          <w:i/>
        </w:rPr>
        <w:t>Oncology</w:t>
      </w:r>
      <w:r>
        <w:t xml:space="preserve">, </w:t>
      </w:r>
      <w:r w:rsidRPr="00C3678E">
        <w:rPr>
          <w:i/>
          <w:iCs/>
        </w:rPr>
        <w:t>133</w:t>
      </w:r>
      <w:r>
        <w:t>, 427</w:t>
      </w:r>
      <w:r w:rsidRPr="00382E81">
        <w:t>−</w:t>
      </w:r>
      <w:r>
        <w:t>432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6B5B22">
        <w:t>10.1016/j.ygyno.2014.03.576</w:t>
      </w:r>
    </w:p>
    <w:p w14:paraId="002512AF" w14:textId="77777777" w:rsidR="00436CEB" w:rsidRDefault="00436CEB" w:rsidP="00436CEB"/>
    <w:p w14:paraId="294A6239" w14:textId="77777777" w:rsidR="00436CEB" w:rsidRPr="00AC059F" w:rsidRDefault="00436CEB" w:rsidP="00436CEB">
      <w:r w:rsidRPr="00D33DAE">
        <w:t>Gründker</w:t>
      </w:r>
      <w:r>
        <w:t>,</w:t>
      </w:r>
      <w:r w:rsidRPr="00D33DAE">
        <w:t xml:space="preserve"> C</w:t>
      </w:r>
      <w:r>
        <w:t>.</w:t>
      </w:r>
      <w:r w:rsidRPr="00D33DAE">
        <w:t>, Völker</w:t>
      </w:r>
      <w:r>
        <w:t>,</w:t>
      </w:r>
      <w:r w:rsidRPr="00D33DAE">
        <w:t xml:space="preserve"> P</w:t>
      </w:r>
      <w:r>
        <w:t>.</w:t>
      </w:r>
      <w:r w:rsidRPr="00D33DAE">
        <w:t>, Griesinger</w:t>
      </w:r>
      <w:r>
        <w:t>,</w:t>
      </w:r>
      <w:r w:rsidRPr="00D33DAE">
        <w:t xml:space="preserve"> F</w:t>
      </w:r>
      <w:r>
        <w:t>.</w:t>
      </w:r>
      <w:r w:rsidRPr="00382E81">
        <w:t xml:space="preserve">, </w:t>
      </w:r>
      <w:r w:rsidR="003C4A21" w:rsidRPr="003C4A21">
        <w:t>Ramaswamy</w:t>
      </w:r>
      <w:r w:rsidR="003C4A21">
        <w:t>,</w:t>
      </w:r>
      <w:r w:rsidR="003C4A21" w:rsidRPr="003C4A21">
        <w:t xml:space="preserve"> A</w:t>
      </w:r>
      <w:r w:rsidR="003C4A21">
        <w:t>.</w:t>
      </w:r>
      <w:r w:rsidR="003C4A21" w:rsidRPr="003C4A21">
        <w:t>, Nagy</w:t>
      </w:r>
      <w:r w:rsidR="003C4A21">
        <w:t>,</w:t>
      </w:r>
      <w:r w:rsidR="003C4A21" w:rsidRPr="003C4A21">
        <w:t xml:space="preserve"> A</w:t>
      </w:r>
      <w:r w:rsidR="003C4A21">
        <w:t>.</w:t>
      </w:r>
      <w:r w:rsidR="003C4A21" w:rsidRPr="003C4A21">
        <w:t>, Schally</w:t>
      </w:r>
      <w:r w:rsidR="003C4A21">
        <w:t>,</w:t>
      </w:r>
      <w:r w:rsidR="003C4A21" w:rsidRPr="003C4A21">
        <w:t xml:space="preserve"> A</w:t>
      </w:r>
      <w:r w:rsidR="003C4A21">
        <w:t>.</w:t>
      </w:r>
      <w:r w:rsidR="00C3570E">
        <w:t xml:space="preserve"> </w:t>
      </w:r>
      <w:r w:rsidR="003C4A21" w:rsidRPr="003C4A21">
        <w:t>V</w:t>
      </w:r>
      <w:r w:rsidR="003C4A21">
        <w:t>.</w:t>
      </w:r>
      <w:r w:rsidR="003C4A21" w:rsidRPr="003C4A21">
        <w:t>, Emons</w:t>
      </w:r>
      <w:r w:rsidR="003C4A21">
        <w:t>,</w:t>
      </w:r>
      <w:r w:rsidR="003C4A21" w:rsidRPr="003C4A21">
        <w:t xml:space="preserve"> G</w:t>
      </w:r>
      <w:r w:rsidRPr="00382E81">
        <w:t>.</w:t>
      </w:r>
      <w:r>
        <w:t xml:space="preserve"> (2002).</w:t>
      </w:r>
      <w:r w:rsidRPr="00382E81">
        <w:t xml:space="preserve"> </w:t>
      </w:r>
      <w:r w:rsidRPr="00D33DAE">
        <w:t>Antitumor effects of the cytotoxic luteinizing hormone-releasing hormone analog AN-152 on human endometrial and ovarian cancers xenografted into nude mice</w:t>
      </w:r>
      <w:r w:rsidRPr="00382E81">
        <w:t xml:space="preserve">. </w:t>
      </w:r>
      <w:r w:rsidRPr="00D33DAE">
        <w:rPr>
          <w:i/>
        </w:rPr>
        <w:t>Am</w:t>
      </w:r>
      <w:r>
        <w:rPr>
          <w:i/>
        </w:rPr>
        <w:t>erican</w:t>
      </w:r>
      <w:r w:rsidRPr="00D33DAE">
        <w:rPr>
          <w:i/>
        </w:rPr>
        <w:t xml:space="preserve"> J</w:t>
      </w:r>
      <w:r>
        <w:rPr>
          <w:i/>
        </w:rPr>
        <w:t>ournal of</w:t>
      </w:r>
      <w:r w:rsidRPr="00D33DAE">
        <w:rPr>
          <w:i/>
        </w:rPr>
        <w:t xml:space="preserve"> </w:t>
      </w:r>
      <w:r w:rsidRPr="002D5733">
        <w:rPr>
          <w:i/>
        </w:rPr>
        <w:t>Obstetrics and Gynecology</w:t>
      </w:r>
      <w:r>
        <w:t xml:space="preserve">, </w:t>
      </w:r>
      <w:r w:rsidRPr="00486C7A">
        <w:rPr>
          <w:i/>
          <w:iCs/>
        </w:rPr>
        <w:t>187</w:t>
      </w:r>
      <w:r>
        <w:t xml:space="preserve">, </w:t>
      </w:r>
      <w:r w:rsidRPr="00AC059F">
        <w:t>5</w:t>
      </w:r>
      <w:r>
        <w:t>28</w:t>
      </w:r>
      <w:r w:rsidRPr="00382E81">
        <w:t>−</w:t>
      </w:r>
      <w:r>
        <w:t>537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D33DAE">
        <w:t>10.1067/mob.2002.124278</w:t>
      </w:r>
    </w:p>
    <w:p w14:paraId="25A6E35A" w14:textId="77777777" w:rsidR="00436CEB" w:rsidRDefault="00436CEB" w:rsidP="00436CEB"/>
    <w:p w14:paraId="0E6CAFDE" w14:textId="77777777" w:rsidR="00436CEB" w:rsidRPr="00AC059F" w:rsidRDefault="00436CEB" w:rsidP="00436CEB">
      <w:r w:rsidRPr="00D33DAE">
        <w:t>Gün</w:t>
      </w:r>
      <w:r>
        <w:t>thert,</w:t>
      </w:r>
      <w:r w:rsidRPr="00D33DAE">
        <w:t xml:space="preserve"> </w:t>
      </w:r>
      <w:r>
        <w:t>A.</w:t>
      </w:r>
      <w:r w:rsidR="00D14E7D">
        <w:t xml:space="preserve"> </w:t>
      </w:r>
      <w:r>
        <w:t>R.</w:t>
      </w:r>
      <w:r w:rsidRPr="00D33DAE">
        <w:t>, Gründker</w:t>
      </w:r>
      <w:r>
        <w:t>,</w:t>
      </w:r>
      <w:r w:rsidRPr="00D33DAE">
        <w:t xml:space="preserve"> C</w:t>
      </w:r>
      <w:r>
        <w:t>.</w:t>
      </w:r>
      <w:r w:rsidRPr="00D33DAE">
        <w:t xml:space="preserve">, </w:t>
      </w:r>
      <w:r>
        <w:t>Bongertz,</w:t>
      </w:r>
      <w:r w:rsidRPr="00D33DAE">
        <w:t xml:space="preserve"> </w:t>
      </w:r>
      <w:r>
        <w:t>T.</w:t>
      </w:r>
      <w:r w:rsidRPr="00382E81">
        <w:t xml:space="preserve">, </w:t>
      </w:r>
      <w:r w:rsidR="00D14E7D">
        <w:t>Schlott, T., Nagy, A., Schally, A. V., Emons, G</w:t>
      </w:r>
      <w:r w:rsidRPr="00382E81">
        <w:t xml:space="preserve">. </w:t>
      </w:r>
      <w:r>
        <w:t xml:space="preserve">(2004). </w:t>
      </w:r>
      <w:r w:rsidRPr="003A2D86">
        <w:t>Internalization of cytotoxic analog AN-152 of luteinizing hormone-releasing hormone induces apoptosis in human endometrial and ovarian cancer cell lines independent of multidrug resistance-1 (MDR-1) system</w:t>
      </w:r>
      <w:r w:rsidRPr="00382E81">
        <w:t xml:space="preserve">. </w:t>
      </w:r>
      <w:r w:rsidRPr="00D33DAE">
        <w:rPr>
          <w:i/>
        </w:rPr>
        <w:t>Am</w:t>
      </w:r>
      <w:r>
        <w:rPr>
          <w:i/>
        </w:rPr>
        <w:t>erican</w:t>
      </w:r>
      <w:r w:rsidRPr="00D33DAE">
        <w:rPr>
          <w:i/>
        </w:rPr>
        <w:t xml:space="preserve"> J</w:t>
      </w:r>
      <w:r>
        <w:rPr>
          <w:i/>
        </w:rPr>
        <w:t>ournal of</w:t>
      </w:r>
      <w:r w:rsidRPr="00D33DAE">
        <w:rPr>
          <w:i/>
        </w:rPr>
        <w:t xml:space="preserve"> </w:t>
      </w:r>
      <w:r w:rsidRPr="002D5733">
        <w:rPr>
          <w:i/>
        </w:rPr>
        <w:t>Obstetrics and Gynecology</w:t>
      </w:r>
      <w:r>
        <w:t xml:space="preserve">, </w:t>
      </w:r>
      <w:r w:rsidRPr="00486C7A">
        <w:rPr>
          <w:i/>
          <w:iCs/>
        </w:rPr>
        <w:t>1</w:t>
      </w:r>
      <w:r>
        <w:rPr>
          <w:i/>
          <w:iCs/>
        </w:rPr>
        <w:t>91</w:t>
      </w:r>
      <w:r>
        <w:t>, 1164</w:t>
      </w:r>
      <w:r w:rsidRPr="00382E81">
        <w:t>−</w:t>
      </w:r>
      <w:r>
        <w:t>1172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3A2D86">
        <w:t>10.1016/j.ajog.2004.04.020</w:t>
      </w:r>
    </w:p>
    <w:p w14:paraId="7AA385A7" w14:textId="77777777" w:rsidR="00436CEB" w:rsidRDefault="00436CEB" w:rsidP="00436CEB"/>
    <w:p w14:paraId="6E4B45BC" w14:textId="77777777" w:rsidR="00436CEB" w:rsidRPr="00BE5873" w:rsidRDefault="00436CEB" w:rsidP="00436CEB">
      <w:pPr>
        <w:rPr>
          <w:i/>
        </w:rPr>
      </w:pPr>
      <w:r w:rsidRPr="00AC059F">
        <w:lastRenderedPageBreak/>
        <w:t>H</w:t>
      </w:r>
      <w:r>
        <w:t>oppenz,</w:t>
      </w:r>
      <w:r w:rsidRPr="00AC059F">
        <w:t xml:space="preserve"> </w:t>
      </w:r>
      <w:r>
        <w:t>P.</w:t>
      </w:r>
      <w:r w:rsidRPr="00AC059F">
        <w:t xml:space="preserve">, </w:t>
      </w:r>
      <w:r>
        <w:t>Els-Heindl,</w:t>
      </w:r>
      <w:r w:rsidRPr="00AC059F">
        <w:t xml:space="preserve"> S</w:t>
      </w:r>
      <w:r>
        <w:t>.</w:t>
      </w:r>
      <w:r w:rsidRPr="00AC059F">
        <w:t>, B</w:t>
      </w:r>
      <w:r>
        <w:t>eck-Sickinger,</w:t>
      </w:r>
      <w:r w:rsidRPr="00AC059F">
        <w:t xml:space="preserve"> </w:t>
      </w:r>
      <w:r>
        <w:t>A</w:t>
      </w:r>
      <w:r w:rsidRPr="00382E81">
        <w:t xml:space="preserve">. </w:t>
      </w:r>
      <w:r>
        <w:t xml:space="preserve">(2020) </w:t>
      </w:r>
      <w:r w:rsidRPr="00BE5873">
        <w:t>Peptide-</w:t>
      </w:r>
      <w:r>
        <w:t>d</w:t>
      </w:r>
      <w:r w:rsidRPr="00BE5873">
        <w:t xml:space="preserve">rug </w:t>
      </w:r>
      <w:r>
        <w:t>c</w:t>
      </w:r>
      <w:r w:rsidRPr="00BE5873">
        <w:t xml:space="preserve">onjugates and </w:t>
      </w:r>
      <w:r>
        <w:t>t</w:t>
      </w:r>
      <w:r w:rsidRPr="00BE5873">
        <w:t xml:space="preserve">heir </w:t>
      </w:r>
      <w:r>
        <w:t>t</w:t>
      </w:r>
      <w:r w:rsidRPr="00BE5873">
        <w:t xml:space="preserve">argets in </w:t>
      </w:r>
      <w:r>
        <w:t>a</w:t>
      </w:r>
      <w:r w:rsidRPr="00BE5873">
        <w:t xml:space="preserve">dvanced </w:t>
      </w:r>
      <w:r>
        <w:t>c</w:t>
      </w:r>
      <w:r w:rsidRPr="00BE5873">
        <w:t xml:space="preserve">ancer </w:t>
      </w:r>
      <w:r>
        <w:t>t</w:t>
      </w:r>
      <w:r w:rsidRPr="00BE5873">
        <w:t>herapies</w:t>
      </w:r>
      <w:r w:rsidRPr="00382E81">
        <w:t xml:space="preserve">. </w:t>
      </w:r>
      <w:r w:rsidRPr="00BE5873">
        <w:rPr>
          <w:i/>
        </w:rPr>
        <w:t>Front</w:t>
      </w:r>
      <w:r>
        <w:rPr>
          <w:i/>
        </w:rPr>
        <w:t>iers in</w:t>
      </w:r>
      <w:r w:rsidRPr="00BE5873">
        <w:rPr>
          <w:i/>
        </w:rPr>
        <w:t xml:space="preserve"> Chem</w:t>
      </w:r>
      <w:r>
        <w:rPr>
          <w:i/>
        </w:rPr>
        <w:t>istry</w:t>
      </w:r>
      <w:r w:rsidRPr="008812B4">
        <w:rPr>
          <w:iCs/>
        </w:rPr>
        <w:t xml:space="preserve">, </w:t>
      </w:r>
      <w:r w:rsidRPr="0082650A">
        <w:rPr>
          <w:i/>
          <w:iCs/>
        </w:rPr>
        <w:t>8</w:t>
      </w:r>
      <w:r>
        <w:t xml:space="preserve">, </w:t>
      </w:r>
      <w:r w:rsidRPr="00AC059F">
        <w:t>5</w:t>
      </w:r>
      <w:r>
        <w:t>71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BE5873">
        <w:t>10.3389/fchem.2020.00571</w:t>
      </w:r>
    </w:p>
    <w:p w14:paraId="58BF370E" w14:textId="77777777" w:rsidR="00436CEB" w:rsidRDefault="00436CEB" w:rsidP="00436CEB"/>
    <w:p w14:paraId="3AAFF45F" w14:textId="77777777" w:rsidR="00436CEB" w:rsidRPr="00EB5D1E" w:rsidRDefault="00436CEB" w:rsidP="00436CEB">
      <w:pPr>
        <w:rPr>
          <w:i/>
        </w:rPr>
      </w:pPr>
      <w:r>
        <w:t>Imai,</w:t>
      </w:r>
      <w:r w:rsidRPr="00382E81">
        <w:t xml:space="preserve"> </w:t>
      </w:r>
      <w:r>
        <w:t>A.</w:t>
      </w:r>
      <w:r w:rsidRPr="00382E81">
        <w:t>,</w:t>
      </w:r>
      <w:r>
        <w:t xml:space="preserve"> Ohno,</w:t>
      </w:r>
      <w:r w:rsidRPr="00382E81">
        <w:t xml:space="preserve"> </w:t>
      </w:r>
      <w:r>
        <w:t>T.</w:t>
      </w:r>
      <w:r w:rsidRPr="00382E81">
        <w:t xml:space="preserve">, </w:t>
      </w:r>
      <w:r>
        <w:t>Iida,</w:t>
      </w:r>
      <w:r w:rsidRPr="00382E81">
        <w:t xml:space="preserve"> </w:t>
      </w:r>
      <w:r>
        <w:t>K.</w:t>
      </w:r>
      <w:r w:rsidRPr="00382E81">
        <w:t xml:space="preserve">, </w:t>
      </w:r>
      <w:r w:rsidR="004123B3">
        <w:t>Fuseya, T., Furui, T., Tamaya, T</w:t>
      </w:r>
      <w:r w:rsidRPr="00382E81">
        <w:t xml:space="preserve">. </w:t>
      </w:r>
      <w:r>
        <w:t xml:space="preserve">(1994). </w:t>
      </w:r>
      <w:r w:rsidRPr="00A117FD">
        <w:t>Gonadotropin-releasing hormone receptor in gynecologic tumors. Frequent expression in adenocarcinoma histologic types</w:t>
      </w:r>
      <w:r w:rsidRPr="00382E81">
        <w:t xml:space="preserve">. </w:t>
      </w:r>
      <w:r>
        <w:rPr>
          <w:i/>
        </w:rPr>
        <w:t>Cancer</w:t>
      </w:r>
      <w:r>
        <w:t xml:space="preserve">, </w:t>
      </w:r>
      <w:r w:rsidRPr="008E2C94">
        <w:rPr>
          <w:i/>
          <w:iCs/>
        </w:rPr>
        <w:t>74</w:t>
      </w:r>
      <w:r>
        <w:t>, 2555</w:t>
      </w:r>
      <w:r w:rsidRPr="00382E81">
        <w:t>−</w:t>
      </w:r>
      <w:r>
        <w:t>2561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A117FD">
        <w:t>10.1002/1097-0142(19941101)74:9&lt;2555::aid</w:t>
      </w:r>
      <w:r>
        <w:t>-</w:t>
      </w:r>
      <w:r w:rsidRPr="00A117FD">
        <w:t>cncr2820740925&gt;3.0.co;2-x</w:t>
      </w:r>
    </w:p>
    <w:p w14:paraId="0B3EA3A7" w14:textId="77777777" w:rsidR="00436CEB" w:rsidRDefault="00436CEB" w:rsidP="00436CEB"/>
    <w:p w14:paraId="7D18E78D" w14:textId="77777777" w:rsidR="00436CEB" w:rsidRPr="00382E81" w:rsidRDefault="00436CEB" w:rsidP="00436CEB">
      <w:r>
        <w:t>Nagy,</w:t>
      </w:r>
      <w:r w:rsidRPr="00382E81">
        <w:t xml:space="preserve"> A</w:t>
      </w:r>
      <w:r>
        <w:t>.,</w:t>
      </w:r>
      <w:r w:rsidRPr="00382E81">
        <w:t xml:space="preserve"> </w:t>
      </w:r>
      <w:r>
        <w:t>Schally,</w:t>
      </w:r>
      <w:r w:rsidRPr="00382E81">
        <w:t xml:space="preserve"> </w:t>
      </w:r>
      <w:r>
        <w:t>A.</w:t>
      </w:r>
      <w:r w:rsidR="007119A8">
        <w:t xml:space="preserve"> </w:t>
      </w:r>
      <w:r>
        <w:t>V.</w:t>
      </w:r>
      <w:r w:rsidRPr="00382E81">
        <w:t xml:space="preserve">, </w:t>
      </w:r>
      <w:r>
        <w:t>Armatis,</w:t>
      </w:r>
      <w:r w:rsidRPr="00382E81">
        <w:t xml:space="preserve"> </w:t>
      </w:r>
      <w:r>
        <w:t>P.</w:t>
      </w:r>
      <w:r w:rsidRPr="00382E81">
        <w:t xml:space="preserve">, </w:t>
      </w:r>
      <w:r w:rsidR="009332FA" w:rsidRPr="009332FA">
        <w:t>Szepeshazi</w:t>
      </w:r>
      <w:r w:rsidR="0083726F">
        <w:t>, K., Halmos, G., Kovacs, M., Zarandi, M., Groot, K., Miyazaki, M., Jungwirth, A., Horvath, J</w:t>
      </w:r>
      <w:r w:rsidRPr="00382E81">
        <w:t xml:space="preserve">. </w:t>
      </w:r>
      <w:r>
        <w:t>(1996). Cytotoxic analogs of luteinizing hormone-releasing hormone containing doxorubicin or 2-pyrrolinodoxorubicin, a derivative 500-1000 times more potent</w:t>
      </w:r>
      <w:r w:rsidRPr="00382E81">
        <w:t xml:space="preserve">. </w:t>
      </w:r>
      <w:r w:rsidRPr="009008EC">
        <w:rPr>
          <w:i/>
        </w:rPr>
        <w:t>Proc</w:t>
      </w:r>
      <w:r>
        <w:rPr>
          <w:i/>
        </w:rPr>
        <w:t>eedings of the</w:t>
      </w:r>
      <w:r w:rsidRPr="009008EC">
        <w:rPr>
          <w:i/>
        </w:rPr>
        <w:t xml:space="preserve"> Nat</w:t>
      </w:r>
      <w:r>
        <w:rPr>
          <w:i/>
        </w:rPr>
        <w:t>iona</w:t>
      </w:r>
      <w:r w:rsidRPr="009008EC">
        <w:rPr>
          <w:i/>
        </w:rPr>
        <w:t>l Acad</w:t>
      </w:r>
      <w:r>
        <w:rPr>
          <w:i/>
        </w:rPr>
        <w:t xml:space="preserve">emy of </w:t>
      </w:r>
      <w:r w:rsidRPr="009008EC">
        <w:rPr>
          <w:i/>
        </w:rPr>
        <w:t>Sci</w:t>
      </w:r>
      <w:r>
        <w:rPr>
          <w:i/>
        </w:rPr>
        <w:t xml:space="preserve">ences. </w:t>
      </w:r>
      <w:r w:rsidRPr="009008EC">
        <w:rPr>
          <w:i/>
        </w:rPr>
        <w:t>USA</w:t>
      </w:r>
      <w:r>
        <w:t>,</w:t>
      </w:r>
      <w:r w:rsidRPr="00382E81">
        <w:t xml:space="preserve"> </w:t>
      </w:r>
      <w:r w:rsidRPr="00233A66">
        <w:rPr>
          <w:i/>
          <w:iCs/>
        </w:rPr>
        <w:t>93</w:t>
      </w:r>
      <w:r>
        <w:t>, 7269</w:t>
      </w:r>
      <w:r w:rsidRPr="00382E81">
        <w:t>−</w:t>
      </w:r>
      <w:r>
        <w:t>7273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9008EC">
        <w:t>10.1073/pnas.93.14.7269</w:t>
      </w:r>
    </w:p>
    <w:p w14:paraId="3F77FAAB" w14:textId="77777777" w:rsidR="00436CEB" w:rsidRDefault="00436CEB" w:rsidP="00436CEB"/>
    <w:p w14:paraId="78D84211" w14:textId="77777777" w:rsidR="00436CEB" w:rsidRPr="00382E81" w:rsidRDefault="00436CEB" w:rsidP="00436CEB">
      <w:r>
        <w:t>Nagy,</w:t>
      </w:r>
      <w:r w:rsidRPr="00382E81">
        <w:t xml:space="preserve"> A</w:t>
      </w:r>
      <w:r>
        <w:t>.</w:t>
      </w:r>
      <w:r w:rsidRPr="00382E81">
        <w:t xml:space="preserve">, </w:t>
      </w:r>
      <w:r>
        <w:t>Plonowski, A., Schally,</w:t>
      </w:r>
      <w:r w:rsidRPr="00382E81">
        <w:t xml:space="preserve"> </w:t>
      </w:r>
      <w:r>
        <w:t>A.</w:t>
      </w:r>
      <w:r w:rsidR="007119A8">
        <w:t xml:space="preserve"> </w:t>
      </w:r>
      <w:r>
        <w:t>V</w:t>
      </w:r>
      <w:r w:rsidRPr="00382E81">
        <w:t>.</w:t>
      </w:r>
      <w:r>
        <w:t xml:space="preserve"> (2000).</w:t>
      </w:r>
      <w:r w:rsidRPr="00382E81">
        <w:t xml:space="preserve"> </w:t>
      </w:r>
      <w:r w:rsidRPr="005400BE">
        <w:t>Stability of cytotoxic luteinizing hormone-releasing hormone conjugate (AN-152) containing doxorubicin 14-O-hemiglutarate in mouse and human serum in vitro: Implications for the design of preclinical studies</w:t>
      </w:r>
      <w:r w:rsidRPr="00382E81">
        <w:t xml:space="preserve">. </w:t>
      </w:r>
      <w:r w:rsidRPr="009008EC">
        <w:rPr>
          <w:i/>
        </w:rPr>
        <w:t>Proc</w:t>
      </w:r>
      <w:r>
        <w:rPr>
          <w:i/>
        </w:rPr>
        <w:t>eedings of the</w:t>
      </w:r>
      <w:r w:rsidRPr="009008EC">
        <w:rPr>
          <w:i/>
        </w:rPr>
        <w:t xml:space="preserve"> Nat</w:t>
      </w:r>
      <w:r>
        <w:rPr>
          <w:i/>
        </w:rPr>
        <w:t>iona</w:t>
      </w:r>
      <w:r w:rsidRPr="009008EC">
        <w:rPr>
          <w:i/>
        </w:rPr>
        <w:t>l Acad</w:t>
      </w:r>
      <w:r>
        <w:rPr>
          <w:i/>
        </w:rPr>
        <w:t xml:space="preserve">emy of </w:t>
      </w:r>
      <w:r w:rsidRPr="009008EC">
        <w:rPr>
          <w:i/>
        </w:rPr>
        <w:t>Sci</w:t>
      </w:r>
      <w:r>
        <w:rPr>
          <w:i/>
        </w:rPr>
        <w:t xml:space="preserve">ences. </w:t>
      </w:r>
      <w:r w:rsidRPr="009008EC">
        <w:rPr>
          <w:i/>
        </w:rPr>
        <w:t>USA</w:t>
      </w:r>
      <w:r>
        <w:t>,</w:t>
      </w:r>
      <w:r w:rsidRPr="00382E81">
        <w:t xml:space="preserve"> </w:t>
      </w:r>
      <w:r w:rsidRPr="00233A66">
        <w:rPr>
          <w:i/>
          <w:iCs/>
        </w:rPr>
        <w:t>9</w:t>
      </w:r>
      <w:r>
        <w:rPr>
          <w:i/>
          <w:iCs/>
        </w:rPr>
        <w:t>7</w:t>
      </w:r>
      <w:r>
        <w:t>, 829</w:t>
      </w:r>
      <w:r w:rsidRPr="00382E81">
        <w:t>−</w:t>
      </w:r>
      <w:r>
        <w:t>834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EA49F9">
        <w:t>10.1073/pnas.97.2.829</w:t>
      </w:r>
    </w:p>
    <w:p w14:paraId="1B6B7F1D" w14:textId="77777777" w:rsidR="00436CEB" w:rsidRDefault="00436CEB" w:rsidP="00436CEB"/>
    <w:p w14:paraId="05F8359C" w14:textId="77777777" w:rsidR="00436CEB" w:rsidRPr="00382E81" w:rsidRDefault="00436CEB" w:rsidP="00436CEB">
      <w:r>
        <w:t>Nagy,</w:t>
      </w:r>
      <w:r w:rsidRPr="00382E81">
        <w:t xml:space="preserve"> A</w:t>
      </w:r>
      <w:r>
        <w:t>. &amp;</w:t>
      </w:r>
      <w:r w:rsidRPr="00382E81">
        <w:t xml:space="preserve"> </w:t>
      </w:r>
      <w:r>
        <w:t>Schally,</w:t>
      </w:r>
      <w:r w:rsidRPr="00382E81">
        <w:t xml:space="preserve"> </w:t>
      </w:r>
      <w:r>
        <w:t>A.</w:t>
      </w:r>
      <w:r w:rsidR="00C3570E">
        <w:t xml:space="preserve"> </w:t>
      </w:r>
      <w:r>
        <w:t>V</w:t>
      </w:r>
      <w:r w:rsidRPr="00382E81">
        <w:t>.</w:t>
      </w:r>
      <w:r>
        <w:t xml:space="preserve"> (2005).</w:t>
      </w:r>
      <w:r w:rsidRPr="00382E81">
        <w:t xml:space="preserve"> </w:t>
      </w:r>
      <w:r w:rsidRPr="009D1C5F">
        <w:t>Targeting of cytotoxic luteinizing hormone-releasing hormone analogs to breast, ovarian, endometrial, and prostate cancers</w:t>
      </w:r>
      <w:r w:rsidRPr="00382E81">
        <w:t xml:space="preserve">. </w:t>
      </w:r>
      <w:r w:rsidRPr="009D1C5F">
        <w:rPr>
          <w:i/>
        </w:rPr>
        <w:t>Biol</w:t>
      </w:r>
      <w:r>
        <w:rPr>
          <w:i/>
        </w:rPr>
        <w:t>ogy of</w:t>
      </w:r>
      <w:r w:rsidRPr="009D1C5F">
        <w:rPr>
          <w:i/>
        </w:rPr>
        <w:t xml:space="preserve"> Reprod</w:t>
      </w:r>
      <w:r>
        <w:rPr>
          <w:i/>
        </w:rPr>
        <w:t>uction</w:t>
      </w:r>
      <w:r>
        <w:t xml:space="preserve">, </w:t>
      </w:r>
      <w:r w:rsidRPr="009771ED">
        <w:rPr>
          <w:i/>
          <w:iCs/>
        </w:rPr>
        <w:t>73</w:t>
      </w:r>
      <w:r>
        <w:t>, 851</w:t>
      </w:r>
      <w:r w:rsidRPr="00382E81">
        <w:t>−</w:t>
      </w:r>
      <w:r>
        <w:t>859</w:t>
      </w:r>
      <w:r w:rsidRPr="00382E81">
        <w:t>.</w:t>
      </w:r>
      <w:r>
        <w:t xml:space="preserve"> d</w:t>
      </w:r>
      <w:r w:rsidRPr="00382E81">
        <w:t>oi</w:t>
      </w:r>
      <w:r>
        <w:t>:</w:t>
      </w:r>
      <w:r w:rsidRPr="009D1C5F">
        <w:t>10.1095/biolreprod.105.043489</w:t>
      </w:r>
    </w:p>
    <w:p w14:paraId="1E2D4C62" w14:textId="77777777" w:rsidR="00436CEB" w:rsidRDefault="00436CEB" w:rsidP="00436CEB"/>
    <w:p w14:paraId="4AD8139B" w14:textId="77777777" w:rsidR="00436CEB" w:rsidRPr="006E3E75" w:rsidRDefault="00436CEB" w:rsidP="00436CEB">
      <w:pPr>
        <w:rPr>
          <w:i/>
        </w:rPr>
      </w:pPr>
      <w:r>
        <w:lastRenderedPageBreak/>
        <w:t>Patankar,</w:t>
      </w:r>
      <w:r w:rsidRPr="00382E81">
        <w:t xml:space="preserve"> </w:t>
      </w:r>
      <w:r>
        <w:t>N.</w:t>
      </w:r>
      <w:r w:rsidR="000627FE">
        <w:t xml:space="preserve"> </w:t>
      </w:r>
      <w:r w:rsidRPr="00382E81">
        <w:t>A</w:t>
      </w:r>
      <w:r>
        <w:t>.</w:t>
      </w:r>
      <w:r w:rsidRPr="00382E81">
        <w:t xml:space="preserve">, </w:t>
      </w:r>
      <w:r>
        <w:t>Pritchard,</w:t>
      </w:r>
      <w:r w:rsidRPr="00382E81">
        <w:t xml:space="preserve"> </w:t>
      </w:r>
      <w:r>
        <w:t xml:space="preserve">J., van Grinsven, M., </w:t>
      </w:r>
      <w:r w:rsidR="000627FE">
        <w:t>Osooly, M., Bally M. B</w:t>
      </w:r>
      <w:r w:rsidRPr="00382E81">
        <w:t xml:space="preserve">. </w:t>
      </w:r>
      <w:r>
        <w:t xml:space="preserve">(2013). </w:t>
      </w:r>
      <w:r w:rsidRPr="006E3E75">
        <w:t>Topotecan and doxorubicin combination to treat recurrent ovarian cancer: the influence of drug exposure time and delivery systems to achieve optimum therapeutic activity</w:t>
      </w:r>
      <w:r w:rsidRPr="00382E81">
        <w:t xml:space="preserve">. </w:t>
      </w:r>
      <w:r w:rsidRPr="000751E6">
        <w:rPr>
          <w:i/>
        </w:rPr>
        <w:t>Clinical Cancer Research</w:t>
      </w:r>
      <w:r w:rsidRPr="000751E6">
        <w:rPr>
          <w:iCs/>
        </w:rPr>
        <w:t xml:space="preserve">, </w:t>
      </w:r>
      <w:r w:rsidRPr="000751E6">
        <w:rPr>
          <w:i/>
          <w:iCs/>
        </w:rPr>
        <w:t>19</w:t>
      </w:r>
      <w:r>
        <w:t>, 865</w:t>
      </w:r>
      <w:r w:rsidRPr="00382E81">
        <w:t>−</w:t>
      </w:r>
      <w:r>
        <w:t>877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6E3E75">
        <w:t>10.1158/1078-0432.CCR-12-2459</w:t>
      </w:r>
    </w:p>
    <w:p w14:paraId="5E751080" w14:textId="77777777" w:rsidR="00436CEB" w:rsidRDefault="00436CEB" w:rsidP="00436CEB"/>
    <w:p w14:paraId="4C06ED9E" w14:textId="77777777" w:rsidR="00436CEB" w:rsidRPr="00382E81" w:rsidRDefault="00436CEB" w:rsidP="00436CEB">
      <w:r>
        <w:t>Pouyafar,</w:t>
      </w:r>
      <w:r w:rsidRPr="00382E81">
        <w:t xml:space="preserve"> A</w:t>
      </w:r>
      <w:r>
        <w:t>.</w:t>
      </w:r>
      <w:r w:rsidRPr="00382E81">
        <w:t xml:space="preserve">, </w:t>
      </w:r>
      <w:r w:rsidRPr="00E0017A">
        <w:t>Heydarabad</w:t>
      </w:r>
      <w:r>
        <w:t>,</w:t>
      </w:r>
      <w:r w:rsidRPr="00382E81">
        <w:t xml:space="preserve"> </w:t>
      </w:r>
      <w:r>
        <w:t>M.</w:t>
      </w:r>
      <w:r w:rsidR="007119A8">
        <w:t xml:space="preserve"> </w:t>
      </w:r>
      <w:r>
        <w:t>Z., Aghdam, S.</w:t>
      </w:r>
      <w:r w:rsidR="007119A8">
        <w:t xml:space="preserve"> </w:t>
      </w:r>
      <w:r>
        <w:t xml:space="preserve">B., </w:t>
      </w:r>
      <w:r w:rsidR="00632203">
        <w:t xml:space="preserve">Khaksar, M., Azimi, A., </w:t>
      </w:r>
      <w:r w:rsidR="00632203" w:rsidRPr="00632203">
        <w:t>Rahbarghazi</w:t>
      </w:r>
      <w:r w:rsidR="00632203">
        <w:t>, R., Talebi, M</w:t>
      </w:r>
      <w:r w:rsidRPr="00382E81">
        <w:t xml:space="preserve">. </w:t>
      </w:r>
      <w:r>
        <w:t xml:space="preserve">(2019). </w:t>
      </w:r>
      <w:r w:rsidRPr="00E0017A">
        <w:t>Resveratrol potentially increased the tumoricidal effect of doxorubicin on SKOV3 cancer stem cells in vitro</w:t>
      </w:r>
      <w:r w:rsidRPr="00382E81">
        <w:t xml:space="preserve">. </w:t>
      </w:r>
      <w:r w:rsidRPr="000751E6">
        <w:rPr>
          <w:i/>
        </w:rPr>
        <w:t>Journal of Cellular Biochemistry</w:t>
      </w:r>
      <w:r w:rsidRPr="000751E6">
        <w:rPr>
          <w:iCs/>
        </w:rPr>
        <w:t xml:space="preserve">, </w:t>
      </w:r>
      <w:r w:rsidRPr="000751E6">
        <w:rPr>
          <w:i/>
          <w:iCs/>
        </w:rPr>
        <w:t>120</w:t>
      </w:r>
      <w:r>
        <w:t>, 8430</w:t>
      </w:r>
      <w:r w:rsidRPr="00382E81">
        <w:t>−</w:t>
      </w:r>
      <w:r>
        <w:t>8437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E0017A">
        <w:t>10.1002/jcb.28129</w:t>
      </w:r>
    </w:p>
    <w:p w14:paraId="40D6AE8D" w14:textId="77777777" w:rsidR="00436CEB" w:rsidRDefault="00436CEB" w:rsidP="00436CEB"/>
    <w:p w14:paraId="06F31D22" w14:textId="77777777" w:rsidR="00436CEB" w:rsidRPr="00A305B3" w:rsidRDefault="00436CEB" w:rsidP="00436CEB">
      <w:pPr>
        <w:rPr>
          <w:i/>
        </w:rPr>
      </w:pPr>
      <w:r>
        <w:t>Siegel,</w:t>
      </w:r>
      <w:r w:rsidRPr="00382E81">
        <w:t xml:space="preserve"> </w:t>
      </w:r>
      <w:r>
        <w:t>R.</w:t>
      </w:r>
      <w:r w:rsidR="00C3570E">
        <w:t xml:space="preserve"> </w:t>
      </w:r>
      <w:r>
        <w:t>L.</w:t>
      </w:r>
      <w:r w:rsidRPr="00382E81">
        <w:t>,</w:t>
      </w:r>
      <w:r>
        <w:t xml:space="preserve"> Miller,</w:t>
      </w:r>
      <w:r w:rsidRPr="00382E81">
        <w:t xml:space="preserve"> </w:t>
      </w:r>
      <w:r>
        <w:t>K.</w:t>
      </w:r>
      <w:r w:rsidR="00C3570E">
        <w:t xml:space="preserve"> </w:t>
      </w:r>
      <w:r>
        <w:t>D.</w:t>
      </w:r>
      <w:r w:rsidRPr="00382E81">
        <w:t xml:space="preserve">, </w:t>
      </w:r>
      <w:r>
        <w:t>Fuchs,</w:t>
      </w:r>
      <w:r w:rsidRPr="00382E81">
        <w:t xml:space="preserve"> </w:t>
      </w:r>
      <w:r>
        <w:t>H.</w:t>
      </w:r>
      <w:r w:rsidR="00C3570E">
        <w:t xml:space="preserve"> </w:t>
      </w:r>
      <w:r>
        <w:t>E.</w:t>
      </w:r>
      <w:r w:rsidRPr="00382E81">
        <w:t xml:space="preserve">, </w:t>
      </w:r>
      <w:r w:rsidR="00C677A0">
        <w:t>Jemal, A</w:t>
      </w:r>
      <w:r w:rsidRPr="00382E81">
        <w:t xml:space="preserve">. </w:t>
      </w:r>
      <w:r>
        <w:t xml:space="preserve">(2022). </w:t>
      </w:r>
      <w:r w:rsidRPr="00A305B3">
        <w:t>Cancer statistics, 2022</w:t>
      </w:r>
      <w:r w:rsidRPr="00382E81">
        <w:t xml:space="preserve">. </w:t>
      </w:r>
      <w:r w:rsidRPr="006A7276">
        <w:rPr>
          <w:i/>
        </w:rPr>
        <w:t>CA: A Cancer Journal for Clinicians</w:t>
      </w:r>
      <w:r>
        <w:t xml:space="preserve">, </w:t>
      </w:r>
      <w:r w:rsidRPr="006A7276">
        <w:rPr>
          <w:i/>
          <w:iCs/>
        </w:rPr>
        <w:t>72</w:t>
      </w:r>
      <w:r>
        <w:t>, 7</w:t>
      </w:r>
      <w:r w:rsidRPr="00382E81">
        <w:t>−</w:t>
      </w:r>
      <w:r>
        <w:t>33</w:t>
      </w:r>
      <w:r w:rsidRPr="00382E81">
        <w:t>.</w:t>
      </w:r>
      <w:r>
        <w:t xml:space="preserve"> d</w:t>
      </w:r>
      <w:r w:rsidRPr="00382E81">
        <w:t>oi</w:t>
      </w:r>
      <w:r>
        <w:t>:</w:t>
      </w:r>
      <w:r w:rsidRPr="00A305B3">
        <w:t>10.3322/caac.21708</w:t>
      </w:r>
    </w:p>
    <w:p w14:paraId="37B166E3" w14:textId="77777777" w:rsidR="00436CEB" w:rsidRDefault="00436CEB" w:rsidP="00436CEB"/>
    <w:p w14:paraId="2BC4DB86" w14:textId="77777777" w:rsidR="00436CEB" w:rsidRDefault="00436CEB" w:rsidP="00436CEB">
      <w:r>
        <w:t>Tolcher,</w:t>
      </w:r>
      <w:r w:rsidRPr="00382E81">
        <w:t xml:space="preserve"> </w:t>
      </w:r>
      <w:r>
        <w:t>A.</w:t>
      </w:r>
      <w:r w:rsidR="00C3570E">
        <w:t xml:space="preserve"> </w:t>
      </w:r>
      <w:r>
        <w:t>W.</w:t>
      </w:r>
      <w:r w:rsidRPr="00382E81">
        <w:t>,</w:t>
      </w:r>
      <w:r>
        <w:t xml:space="preserve"> Sugarman,</w:t>
      </w:r>
      <w:r w:rsidRPr="00382E81">
        <w:t xml:space="preserve"> </w:t>
      </w:r>
      <w:r>
        <w:t>S.</w:t>
      </w:r>
      <w:r w:rsidRPr="00382E81">
        <w:t xml:space="preserve">, </w:t>
      </w:r>
      <w:r>
        <w:t>Gelmon,</w:t>
      </w:r>
      <w:r w:rsidRPr="00382E81">
        <w:t xml:space="preserve"> </w:t>
      </w:r>
      <w:r>
        <w:t>K.</w:t>
      </w:r>
      <w:r w:rsidR="00C3570E">
        <w:t xml:space="preserve"> </w:t>
      </w:r>
      <w:r>
        <w:t>A.</w:t>
      </w:r>
      <w:r w:rsidRPr="00382E81">
        <w:t xml:space="preserve">, </w:t>
      </w:r>
      <w:r w:rsidR="008A45B3">
        <w:t>Cohen, R., Saleh, M, Isaacs, C., Young, L., Healey, D., Onetto, N., Slichenmyer, W</w:t>
      </w:r>
      <w:r w:rsidRPr="00382E81">
        <w:t xml:space="preserve">. </w:t>
      </w:r>
      <w:r>
        <w:t xml:space="preserve">(1999). </w:t>
      </w:r>
      <w:r w:rsidRPr="00B5130F">
        <w:t>Randomized phase II study of BR96-doxorubicin conjugate in patients with metastatic breast cancer</w:t>
      </w:r>
      <w:r w:rsidRPr="00382E81">
        <w:t xml:space="preserve">. </w:t>
      </w:r>
      <w:r>
        <w:rPr>
          <w:i/>
        </w:rPr>
        <w:t>Journal of Clinical</w:t>
      </w:r>
      <w:r w:rsidRPr="003B503F">
        <w:rPr>
          <w:i/>
        </w:rPr>
        <w:t xml:space="preserve"> </w:t>
      </w:r>
      <w:r>
        <w:rPr>
          <w:i/>
        </w:rPr>
        <w:t>Oncology</w:t>
      </w:r>
      <w:r>
        <w:t xml:space="preserve">, </w:t>
      </w:r>
      <w:r w:rsidRPr="00583099">
        <w:rPr>
          <w:i/>
          <w:iCs/>
        </w:rPr>
        <w:t>17</w:t>
      </w:r>
      <w:r>
        <w:t>, 478</w:t>
      </w:r>
      <w:r w:rsidRPr="00382E81">
        <w:t>−</w:t>
      </w:r>
      <w:r>
        <w:t>484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B5130F">
        <w:t>10.1200/JCO.1999.17.2.478</w:t>
      </w:r>
    </w:p>
    <w:p w14:paraId="3A265AFA" w14:textId="77777777" w:rsidR="00436CEB" w:rsidRDefault="00436CEB" w:rsidP="00436CEB"/>
    <w:p w14:paraId="6C7D049B" w14:textId="77777777" w:rsidR="00436CEB" w:rsidRPr="00BF583D" w:rsidRDefault="00436CEB" w:rsidP="00436CEB">
      <w:pPr>
        <w:rPr>
          <w:i/>
        </w:rPr>
      </w:pPr>
      <w:r>
        <w:t>V</w:t>
      </w:r>
      <w:r>
        <w:rPr>
          <w:rFonts w:cs="Arial"/>
        </w:rPr>
        <w:t>ö</w:t>
      </w:r>
      <w:r>
        <w:t>lker,</w:t>
      </w:r>
      <w:r w:rsidRPr="00382E81">
        <w:t xml:space="preserve"> </w:t>
      </w:r>
      <w:r>
        <w:t>P.</w:t>
      </w:r>
      <w:r w:rsidRPr="00382E81">
        <w:t>,</w:t>
      </w:r>
      <w:r>
        <w:t xml:space="preserve"> Gr</w:t>
      </w:r>
      <w:r>
        <w:rPr>
          <w:rFonts w:cs="Arial"/>
        </w:rPr>
        <w:t>ü</w:t>
      </w:r>
      <w:r>
        <w:t>ndker,</w:t>
      </w:r>
      <w:r w:rsidRPr="00382E81">
        <w:t xml:space="preserve"> </w:t>
      </w:r>
      <w:r>
        <w:t>C.</w:t>
      </w:r>
      <w:r w:rsidRPr="00382E81">
        <w:t xml:space="preserve">, </w:t>
      </w:r>
      <w:r>
        <w:t>Schmidt,</w:t>
      </w:r>
      <w:r w:rsidRPr="00382E81">
        <w:t xml:space="preserve"> </w:t>
      </w:r>
      <w:r>
        <w:t>O.</w:t>
      </w:r>
      <w:r w:rsidRPr="00382E81">
        <w:t xml:space="preserve">, </w:t>
      </w:r>
      <w:r w:rsidR="00865848">
        <w:t>Schulz, K., Emons, G</w:t>
      </w:r>
      <w:r w:rsidRPr="00382E81">
        <w:t xml:space="preserve">. </w:t>
      </w:r>
      <w:r>
        <w:t xml:space="preserve">(2002). </w:t>
      </w:r>
      <w:r w:rsidRPr="00F92A49">
        <w:t>Expression of receptors for luteinizing hormone-releasing hormone in human ovarian and endometrial cancers: frequency, autoregulation, and correlation with direct antiproliferative activity of luteinizing hormone-releasing hormone analogues</w:t>
      </w:r>
      <w:r w:rsidRPr="00382E81">
        <w:t xml:space="preserve">. </w:t>
      </w:r>
      <w:r w:rsidRPr="00F92A49">
        <w:rPr>
          <w:i/>
        </w:rPr>
        <w:t>Am</w:t>
      </w:r>
      <w:r>
        <w:rPr>
          <w:i/>
        </w:rPr>
        <w:t>erican</w:t>
      </w:r>
      <w:r w:rsidRPr="00F92A49">
        <w:rPr>
          <w:i/>
        </w:rPr>
        <w:t xml:space="preserve"> J</w:t>
      </w:r>
      <w:r>
        <w:rPr>
          <w:i/>
        </w:rPr>
        <w:t>ournal of</w:t>
      </w:r>
      <w:r w:rsidRPr="00F92A49">
        <w:rPr>
          <w:i/>
        </w:rPr>
        <w:t xml:space="preserve"> </w:t>
      </w:r>
      <w:r w:rsidRPr="0056138C">
        <w:rPr>
          <w:i/>
        </w:rPr>
        <w:t>Obstetrics and Gynecology</w:t>
      </w:r>
      <w:r w:rsidRPr="008812B4">
        <w:rPr>
          <w:iCs/>
        </w:rPr>
        <w:t xml:space="preserve">, </w:t>
      </w:r>
      <w:r w:rsidRPr="00A217A4">
        <w:rPr>
          <w:i/>
          <w:iCs/>
        </w:rPr>
        <w:t>186</w:t>
      </w:r>
      <w:r>
        <w:t>, 171</w:t>
      </w:r>
      <w:r w:rsidRPr="00382E81">
        <w:t>−</w:t>
      </w:r>
      <w:r>
        <w:t>179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F92A49">
        <w:t>10.1067/mob.2002.119633</w:t>
      </w:r>
    </w:p>
    <w:p w14:paraId="13269BB5" w14:textId="77777777" w:rsidR="00436CEB" w:rsidRDefault="00436CEB" w:rsidP="00436CEB"/>
    <w:p w14:paraId="4B3029B9" w14:textId="77777777" w:rsidR="00C52FF4" w:rsidRDefault="00436CEB" w:rsidP="00436CEB">
      <w:r>
        <w:lastRenderedPageBreak/>
        <w:t>Wu,</w:t>
      </w:r>
      <w:r w:rsidRPr="00382E81">
        <w:t xml:space="preserve"> </w:t>
      </w:r>
      <w:r>
        <w:t>M.</w:t>
      </w:r>
      <w:r w:rsidRPr="00382E81">
        <w:t>,</w:t>
      </w:r>
      <w:r>
        <w:t xml:space="preserve"> Huang,</w:t>
      </w:r>
      <w:r w:rsidRPr="00382E81">
        <w:t xml:space="preserve"> </w:t>
      </w:r>
      <w:r>
        <w:t>W.</w:t>
      </w:r>
      <w:r w:rsidRPr="00382E81">
        <w:t xml:space="preserve">, </w:t>
      </w:r>
      <w:r>
        <w:t>Yang,</w:t>
      </w:r>
      <w:r w:rsidRPr="00382E81">
        <w:t xml:space="preserve"> </w:t>
      </w:r>
      <w:r>
        <w:t>N.</w:t>
      </w:r>
      <w:r w:rsidRPr="00382E81">
        <w:t xml:space="preserve">, </w:t>
      </w:r>
      <w:r w:rsidR="00865848">
        <w:t>Liu, Y</w:t>
      </w:r>
      <w:r w:rsidRPr="00382E81">
        <w:t xml:space="preserve">. </w:t>
      </w:r>
      <w:r>
        <w:t xml:space="preserve">(2023). </w:t>
      </w:r>
      <w:r w:rsidRPr="007A2708">
        <w:t>Learn from antibody-drug conjugates: consideration in the future construction of peptide-drug conjugates for cancer therapy</w:t>
      </w:r>
      <w:r w:rsidRPr="00382E81">
        <w:t xml:space="preserve">. </w:t>
      </w:r>
      <w:r w:rsidRPr="00B4274D">
        <w:rPr>
          <w:i/>
        </w:rPr>
        <w:t>Experimental Hematology &amp; Oncology</w:t>
      </w:r>
      <w:r w:rsidRPr="008812B4">
        <w:rPr>
          <w:iCs/>
        </w:rPr>
        <w:t xml:space="preserve">, </w:t>
      </w:r>
      <w:r w:rsidRPr="00B4274D">
        <w:rPr>
          <w:i/>
          <w:iCs/>
        </w:rPr>
        <w:t>11</w:t>
      </w:r>
      <w:r>
        <w:t>, 93</w:t>
      </w:r>
      <w:r w:rsidRPr="00382E81">
        <w:t>.</w:t>
      </w:r>
      <w:r>
        <w:t xml:space="preserve"> </w:t>
      </w:r>
      <w:r w:rsidRPr="00382E81">
        <w:t>doi</w:t>
      </w:r>
      <w:r>
        <w:t>:</w:t>
      </w:r>
      <w:r w:rsidRPr="007A2708">
        <w:t>10.1186/s40164-022-00347-1</w:t>
      </w:r>
    </w:p>
    <w:sectPr w:rsidR="00C52FF4" w:rsidSect="009F79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9" w:h="16834" w:code="9"/>
      <w:pgMar w:top="1440" w:right="987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B68C" w14:textId="77777777" w:rsidR="009F791D" w:rsidRDefault="009F791D">
      <w:r>
        <w:separator/>
      </w:r>
    </w:p>
  </w:endnote>
  <w:endnote w:type="continuationSeparator" w:id="0">
    <w:p w14:paraId="0F57B72A" w14:textId="77777777" w:rsidR="009F791D" w:rsidRDefault="009F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086E" w14:textId="77777777" w:rsidR="0073631A" w:rsidRDefault="0073631A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17363B" w14:textId="77777777" w:rsidR="0073631A" w:rsidRDefault="0073631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A4DF" w14:textId="77777777" w:rsidR="0073631A" w:rsidRDefault="0073631A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2AC4F420" w14:textId="77777777" w:rsidR="0073631A" w:rsidRDefault="0073631A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9932" w14:textId="77777777" w:rsidR="0073631A" w:rsidRDefault="007363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EEDB" w14:textId="77777777" w:rsidR="00606A57" w:rsidRDefault="00606A57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7018D" w14:textId="77777777" w:rsidR="00606A57" w:rsidRDefault="00606A57">
    <w:pPr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486D" w14:textId="77777777" w:rsidR="00606A57" w:rsidRDefault="00606A57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1F0">
      <w:rPr>
        <w:rStyle w:val="PageNumber"/>
        <w:noProof/>
      </w:rPr>
      <w:t>20</w:t>
    </w:r>
    <w:r>
      <w:rPr>
        <w:rStyle w:val="PageNumber"/>
      </w:rPr>
      <w:fldChar w:fldCharType="end"/>
    </w:r>
  </w:p>
  <w:p w14:paraId="69996C6A" w14:textId="77777777" w:rsidR="00606A57" w:rsidRDefault="00606A57">
    <w:pPr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A0BB" w14:textId="77777777" w:rsidR="00045EE6" w:rsidRDefault="0004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4F4F" w14:textId="77777777" w:rsidR="009F791D" w:rsidRDefault="009F791D">
      <w:r>
        <w:separator/>
      </w:r>
    </w:p>
  </w:footnote>
  <w:footnote w:type="continuationSeparator" w:id="0">
    <w:p w14:paraId="5C657AF1" w14:textId="77777777" w:rsidR="009F791D" w:rsidRDefault="009F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431D" w14:textId="77777777" w:rsidR="0073631A" w:rsidRDefault="00736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250E" w14:textId="77777777" w:rsidR="0073631A" w:rsidRDefault="00736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321D" w14:textId="77777777" w:rsidR="0073631A" w:rsidRDefault="007363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D0A9" w14:textId="77777777" w:rsidR="00045EE6" w:rsidRDefault="00045EE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80F0" w14:textId="77777777" w:rsidR="00045EE6" w:rsidRDefault="00045EE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9510" w14:textId="77777777" w:rsidR="00045EE6" w:rsidRDefault="0004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06A"/>
    <w:multiLevelType w:val="hybridMultilevel"/>
    <w:tmpl w:val="09BE362E"/>
    <w:lvl w:ilvl="0" w:tplc="B020604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410"/>
    <w:multiLevelType w:val="hybridMultilevel"/>
    <w:tmpl w:val="37F630A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273E4"/>
    <w:multiLevelType w:val="hybridMultilevel"/>
    <w:tmpl w:val="8892E9D4"/>
    <w:lvl w:ilvl="0" w:tplc="03BA4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B6A9A"/>
    <w:multiLevelType w:val="hybridMultilevel"/>
    <w:tmpl w:val="101C745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685168">
    <w:abstractNumId w:val="3"/>
  </w:num>
  <w:num w:numId="2" w16cid:durableId="957837267">
    <w:abstractNumId w:val="1"/>
  </w:num>
  <w:num w:numId="3" w16cid:durableId="1268465639">
    <w:abstractNumId w:val="2"/>
  </w:num>
  <w:num w:numId="4" w16cid:durableId="116216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456"/>
    <w:rsid w:val="0000130A"/>
    <w:rsid w:val="00002279"/>
    <w:rsid w:val="00006B1C"/>
    <w:rsid w:val="00007487"/>
    <w:rsid w:val="00010938"/>
    <w:rsid w:val="000112B8"/>
    <w:rsid w:val="000118CB"/>
    <w:rsid w:val="00011F26"/>
    <w:rsid w:val="00015381"/>
    <w:rsid w:val="00016C85"/>
    <w:rsid w:val="00017FDA"/>
    <w:rsid w:val="000207C0"/>
    <w:rsid w:val="000226D4"/>
    <w:rsid w:val="000258B1"/>
    <w:rsid w:val="000304A7"/>
    <w:rsid w:val="000322E4"/>
    <w:rsid w:val="00035967"/>
    <w:rsid w:val="00043D57"/>
    <w:rsid w:val="00044A97"/>
    <w:rsid w:val="000452F1"/>
    <w:rsid w:val="00045EE6"/>
    <w:rsid w:val="0004778A"/>
    <w:rsid w:val="00050BF8"/>
    <w:rsid w:val="0005295D"/>
    <w:rsid w:val="00052E3D"/>
    <w:rsid w:val="0005364A"/>
    <w:rsid w:val="000552E0"/>
    <w:rsid w:val="00056182"/>
    <w:rsid w:val="000600EB"/>
    <w:rsid w:val="000616A5"/>
    <w:rsid w:val="000627FE"/>
    <w:rsid w:val="00063A7E"/>
    <w:rsid w:val="0006761D"/>
    <w:rsid w:val="000726E5"/>
    <w:rsid w:val="000728C5"/>
    <w:rsid w:val="00072F57"/>
    <w:rsid w:val="00073DA2"/>
    <w:rsid w:val="000745E8"/>
    <w:rsid w:val="00077884"/>
    <w:rsid w:val="00084DFB"/>
    <w:rsid w:val="00085198"/>
    <w:rsid w:val="00093421"/>
    <w:rsid w:val="000958A4"/>
    <w:rsid w:val="0009755C"/>
    <w:rsid w:val="000A0AB6"/>
    <w:rsid w:val="000A1A38"/>
    <w:rsid w:val="000B0A1E"/>
    <w:rsid w:val="000B0D1E"/>
    <w:rsid w:val="000B3029"/>
    <w:rsid w:val="000B3D2D"/>
    <w:rsid w:val="000B488E"/>
    <w:rsid w:val="000B76BD"/>
    <w:rsid w:val="000C1F7F"/>
    <w:rsid w:val="000C25FB"/>
    <w:rsid w:val="000C3C17"/>
    <w:rsid w:val="000C5018"/>
    <w:rsid w:val="000C6EB5"/>
    <w:rsid w:val="000D0020"/>
    <w:rsid w:val="000D25F2"/>
    <w:rsid w:val="000D3087"/>
    <w:rsid w:val="000D3659"/>
    <w:rsid w:val="000D45CF"/>
    <w:rsid w:val="000D6181"/>
    <w:rsid w:val="000D6547"/>
    <w:rsid w:val="000D6912"/>
    <w:rsid w:val="000D6DE3"/>
    <w:rsid w:val="000E16C6"/>
    <w:rsid w:val="000E23B0"/>
    <w:rsid w:val="000E23E8"/>
    <w:rsid w:val="000E2553"/>
    <w:rsid w:val="000E2DEA"/>
    <w:rsid w:val="000E4EBE"/>
    <w:rsid w:val="000F03E9"/>
    <w:rsid w:val="000F2B0C"/>
    <w:rsid w:val="000F396A"/>
    <w:rsid w:val="000F5EBC"/>
    <w:rsid w:val="000F74F4"/>
    <w:rsid w:val="00101D78"/>
    <w:rsid w:val="00104B48"/>
    <w:rsid w:val="001066AF"/>
    <w:rsid w:val="00106E61"/>
    <w:rsid w:val="00112541"/>
    <w:rsid w:val="00113B68"/>
    <w:rsid w:val="00114C82"/>
    <w:rsid w:val="00115BA4"/>
    <w:rsid w:val="0011613E"/>
    <w:rsid w:val="0011687B"/>
    <w:rsid w:val="00117734"/>
    <w:rsid w:val="001243C9"/>
    <w:rsid w:val="001248D4"/>
    <w:rsid w:val="00126AF9"/>
    <w:rsid w:val="00133DB3"/>
    <w:rsid w:val="00134490"/>
    <w:rsid w:val="001344E1"/>
    <w:rsid w:val="00134A54"/>
    <w:rsid w:val="00144A89"/>
    <w:rsid w:val="00146136"/>
    <w:rsid w:val="00150740"/>
    <w:rsid w:val="00151F29"/>
    <w:rsid w:val="00154149"/>
    <w:rsid w:val="0015478F"/>
    <w:rsid w:val="001550B3"/>
    <w:rsid w:val="00156412"/>
    <w:rsid w:val="00156E4F"/>
    <w:rsid w:val="00161D87"/>
    <w:rsid w:val="00164A55"/>
    <w:rsid w:val="00166E1B"/>
    <w:rsid w:val="00170DD7"/>
    <w:rsid w:val="00171116"/>
    <w:rsid w:val="001711B3"/>
    <w:rsid w:val="00173C30"/>
    <w:rsid w:val="00174D82"/>
    <w:rsid w:val="001800D0"/>
    <w:rsid w:val="00181115"/>
    <w:rsid w:val="00183359"/>
    <w:rsid w:val="00184180"/>
    <w:rsid w:val="00184EBE"/>
    <w:rsid w:val="00184EEB"/>
    <w:rsid w:val="0018522B"/>
    <w:rsid w:val="00185D71"/>
    <w:rsid w:val="00191E2A"/>
    <w:rsid w:val="00192043"/>
    <w:rsid w:val="00193E44"/>
    <w:rsid w:val="00193F41"/>
    <w:rsid w:val="00195625"/>
    <w:rsid w:val="0019686D"/>
    <w:rsid w:val="001969EE"/>
    <w:rsid w:val="001977A4"/>
    <w:rsid w:val="001A254E"/>
    <w:rsid w:val="001A2566"/>
    <w:rsid w:val="001B08AE"/>
    <w:rsid w:val="001B17CF"/>
    <w:rsid w:val="001B2648"/>
    <w:rsid w:val="001B35C3"/>
    <w:rsid w:val="001B3CE1"/>
    <w:rsid w:val="001B7F81"/>
    <w:rsid w:val="001C01A6"/>
    <w:rsid w:val="001C213A"/>
    <w:rsid w:val="001C5A98"/>
    <w:rsid w:val="001C75EC"/>
    <w:rsid w:val="001D3648"/>
    <w:rsid w:val="001D57FE"/>
    <w:rsid w:val="001D5F19"/>
    <w:rsid w:val="001D7051"/>
    <w:rsid w:val="001D76BB"/>
    <w:rsid w:val="001D7A64"/>
    <w:rsid w:val="001E2317"/>
    <w:rsid w:val="001E3E8B"/>
    <w:rsid w:val="001E5F8E"/>
    <w:rsid w:val="001E7A1F"/>
    <w:rsid w:val="001F664C"/>
    <w:rsid w:val="001F6844"/>
    <w:rsid w:val="001F7EAA"/>
    <w:rsid w:val="00200CDD"/>
    <w:rsid w:val="00201891"/>
    <w:rsid w:val="00202C51"/>
    <w:rsid w:val="00203901"/>
    <w:rsid w:val="002056B0"/>
    <w:rsid w:val="00205995"/>
    <w:rsid w:val="0020634E"/>
    <w:rsid w:val="002067F1"/>
    <w:rsid w:val="00212A47"/>
    <w:rsid w:val="00215132"/>
    <w:rsid w:val="00216E8D"/>
    <w:rsid w:val="002227D5"/>
    <w:rsid w:val="00222CC2"/>
    <w:rsid w:val="00223217"/>
    <w:rsid w:val="00230809"/>
    <w:rsid w:val="00231766"/>
    <w:rsid w:val="00232252"/>
    <w:rsid w:val="00232B4B"/>
    <w:rsid w:val="002338BB"/>
    <w:rsid w:val="00234E7E"/>
    <w:rsid w:val="00235F52"/>
    <w:rsid w:val="0024036E"/>
    <w:rsid w:val="0024036F"/>
    <w:rsid w:val="002412BD"/>
    <w:rsid w:val="00244847"/>
    <w:rsid w:val="0024567F"/>
    <w:rsid w:val="002468A7"/>
    <w:rsid w:val="00250054"/>
    <w:rsid w:val="002518C9"/>
    <w:rsid w:val="00251910"/>
    <w:rsid w:val="00252A72"/>
    <w:rsid w:val="002546F6"/>
    <w:rsid w:val="002550B8"/>
    <w:rsid w:val="00257F2E"/>
    <w:rsid w:val="00261890"/>
    <w:rsid w:val="002618F4"/>
    <w:rsid w:val="00265E76"/>
    <w:rsid w:val="002715CA"/>
    <w:rsid w:val="002719FA"/>
    <w:rsid w:val="00271DD8"/>
    <w:rsid w:val="0027224E"/>
    <w:rsid w:val="0027379E"/>
    <w:rsid w:val="00273D39"/>
    <w:rsid w:val="00274F60"/>
    <w:rsid w:val="002751DF"/>
    <w:rsid w:val="0027554E"/>
    <w:rsid w:val="00275936"/>
    <w:rsid w:val="002779C3"/>
    <w:rsid w:val="00282E72"/>
    <w:rsid w:val="00283560"/>
    <w:rsid w:val="00283EE8"/>
    <w:rsid w:val="00286785"/>
    <w:rsid w:val="00286CA1"/>
    <w:rsid w:val="00292C95"/>
    <w:rsid w:val="002953F6"/>
    <w:rsid w:val="00296378"/>
    <w:rsid w:val="00297E53"/>
    <w:rsid w:val="002A0581"/>
    <w:rsid w:val="002B0AFA"/>
    <w:rsid w:val="002B1458"/>
    <w:rsid w:val="002B1EA6"/>
    <w:rsid w:val="002B2158"/>
    <w:rsid w:val="002B4E65"/>
    <w:rsid w:val="002B55F3"/>
    <w:rsid w:val="002B5678"/>
    <w:rsid w:val="002B6342"/>
    <w:rsid w:val="002B6BEA"/>
    <w:rsid w:val="002B6F5B"/>
    <w:rsid w:val="002C017B"/>
    <w:rsid w:val="002C0AC4"/>
    <w:rsid w:val="002C0CF6"/>
    <w:rsid w:val="002C17E2"/>
    <w:rsid w:val="002C21BD"/>
    <w:rsid w:val="002C28CF"/>
    <w:rsid w:val="002C2C2D"/>
    <w:rsid w:val="002C58FF"/>
    <w:rsid w:val="002C6AF0"/>
    <w:rsid w:val="002D037C"/>
    <w:rsid w:val="002D211E"/>
    <w:rsid w:val="002D4496"/>
    <w:rsid w:val="002D5762"/>
    <w:rsid w:val="002D5863"/>
    <w:rsid w:val="002D5F5C"/>
    <w:rsid w:val="002D754D"/>
    <w:rsid w:val="002E03ED"/>
    <w:rsid w:val="002E0EAF"/>
    <w:rsid w:val="002E2886"/>
    <w:rsid w:val="002E2D85"/>
    <w:rsid w:val="002E3FA1"/>
    <w:rsid w:val="002E4359"/>
    <w:rsid w:val="002E5C1C"/>
    <w:rsid w:val="002E775A"/>
    <w:rsid w:val="002F2609"/>
    <w:rsid w:val="002F387D"/>
    <w:rsid w:val="002F42EC"/>
    <w:rsid w:val="002F6331"/>
    <w:rsid w:val="0030249A"/>
    <w:rsid w:val="00304BB6"/>
    <w:rsid w:val="00306166"/>
    <w:rsid w:val="003069EA"/>
    <w:rsid w:val="00307220"/>
    <w:rsid w:val="00310829"/>
    <w:rsid w:val="003108D9"/>
    <w:rsid w:val="00311E5E"/>
    <w:rsid w:val="003123A3"/>
    <w:rsid w:val="00313E16"/>
    <w:rsid w:val="00315668"/>
    <w:rsid w:val="00315C78"/>
    <w:rsid w:val="003166BF"/>
    <w:rsid w:val="00331F53"/>
    <w:rsid w:val="00340651"/>
    <w:rsid w:val="003407CA"/>
    <w:rsid w:val="00341A59"/>
    <w:rsid w:val="00344E19"/>
    <w:rsid w:val="003450D3"/>
    <w:rsid w:val="00345228"/>
    <w:rsid w:val="00345387"/>
    <w:rsid w:val="003511AF"/>
    <w:rsid w:val="00352CD9"/>
    <w:rsid w:val="003564D0"/>
    <w:rsid w:val="00357C66"/>
    <w:rsid w:val="00357FDA"/>
    <w:rsid w:val="0036165F"/>
    <w:rsid w:val="00361EE6"/>
    <w:rsid w:val="003636F3"/>
    <w:rsid w:val="00363EEF"/>
    <w:rsid w:val="003663F3"/>
    <w:rsid w:val="003675D9"/>
    <w:rsid w:val="00367F28"/>
    <w:rsid w:val="00370F28"/>
    <w:rsid w:val="003714B7"/>
    <w:rsid w:val="003720BF"/>
    <w:rsid w:val="0037487C"/>
    <w:rsid w:val="00374B57"/>
    <w:rsid w:val="00374CE9"/>
    <w:rsid w:val="0037534A"/>
    <w:rsid w:val="00376192"/>
    <w:rsid w:val="00376926"/>
    <w:rsid w:val="00382FB8"/>
    <w:rsid w:val="00385307"/>
    <w:rsid w:val="0038676A"/>
    <w:rsid w:val="00387575"/>
    <w:rsid w:val="00391916"/>
    <w:rsid w:val="00392012"/>
    <w:rsid w:val="003929CA"/>
    <w:rsid w:val="00393BA3"/>
    <w:rsid w:val="003952E5"/>
    <w:rsid w:val="003958CB"/>
    <w:rsid w:val="003970B2"/>
    <w:rsid w:val="003A0814"/>
    <w:rsid w:val="003A7214"/>
    <w:rsid w:val="003A750F"/>
    <w:rsid w:val="003B18F2"/>
    <w:rsid w:val="003B1D95"/>
    <w:rsid w:val="003B2E96"/>
    <w:rsid w:val="003B4F7F"/>
    <w:rsid w:val="003B5349"/>
    <w:rsid w:val="003B58CE"/>
    <w:rsid w:val="003B77FB"/>
    <w:rsid w:val="003C17B6"/>
    <w:rsid w:val="003C1BE3"/>
    <w:rsid w:val="003C3F1C"/>
    <w:rsid w:val="003C4A21"/>
    <w:rsid w:val="003C4B5B"/>
    <w:rsid w:val="003C632A"/>
    <w:rsid w:val="003C6495"/>
    <w:rsid w:val="003D0C82"/>
    <w:rsid w:val="003D1972"/>
    <w:rsid w:val="003D4438"/>
    <w:rsid w:val="003D6059"/>
    <w:rsid w:val="003D6977"/>
    <w:rsid w:val="003D6B7B"/>
    <w:rsid w:val="003D7E11"/>
    <w:rsid w:val="003E0CE6"/>
    <w:rsid w:val="003E147B"/>
    <w:rsid w:val="003E1812"/>
    <w:rsid w:val="003E413F"/>
    <w:rsid w:val="003E4627"/>
    <w:rsid w:val="003E4B9E"/>
    <w:rsid w:val="003E568C"/>
    <w:rsid w:val="003E7C46"/>
    <w:rsid w:val="003F4F29"/>
    <w:rsid w:val="003F67C5"/>
    <w:rsid w:val="003F69A8"/>
    <w:rsid w:val="00402A36"/>
    <w:rsid w:val="00402F6A"/>
    <w:rsid w:val="00404477"/>
    <w:rsid w:val="004045FB"/>
    <w:rsid w:val="00405D2A"/>
    <w:rsid w:val="004123B3"/>
    <w:rsid w:val="004128A6"/>
    <w:rsid w:val="00415F4F"/>
    <w:rsid w:val="00416EAB"/>
    <w:rsid w:val="00417C5A"/>
    <w:rsid w:val="00420F83"/>
    <w:rsid w:val="004212BB"/>
    <w:rsid w:val="00421732"/>
    <w:rsid w:val="00421A54"/>
    <w:rsid w:val="004223A0"/>
    <w:rsid w:val="0042366F"/>
    <w:rsid w:val="004243A9"/>
    <w:rsid w:val="00431412"/>
    <w:rsid w:val="00435544"/>
    <w:rsid w:val="00436A8A"/>
    <w:rsid w:val="00436CEB"/>
    <w:rsid w:val="00436E5E"/>
    <w:rsid w:val="00441530"/>
    <w:rsid w:val="00442861"/>
    <w:rsid w:val="004436BA"/>
    <w:rsid w:val="0044588B"/>
    <w:rsid w:val="00451024"/>
    <w:rsid w:val="00452F27"/>
    <w:rsid w:val="00454FD7"/>
    <w:rsid w:val="0045772A"/>
    <w:rsid w:val="004578CA"/>
    <w:rsid w:val="004615AD"/>
    <w:rsid w:val="004620F5"/>
    <w:rsid w:val="00462D31"/>
    <w:rsid w:val="00462DBE"/>
    <w:rsid w:val="00466A77"/>
    <w:rsid w:val="00466E8A"/>
    <w:rsid w:val="00470513"/>
    <w:rsid w:val="004729A7"/>
    <w:rsid w:val="00472B65"/>
    <w:rsid w:val="004739AC"/>
    <w:rsid w:val="00473DC6"/>
    <w:rsid w:val="00477502"/>
    <w:rsid w:val="004841F6"/>
    <w:rsid w:val="0048530B"/>
    <w:rsid w:val="004858CB"/>
    <w:rsid w:val="00485B90"/>
    <w:rsid w:val="004875DF"/>
    <w:rsid w:val="00491BEF"/>
    <w:rsid w:val="00493C5F"/>
    <w:rsid w:val="00497AA8"/>
    <w:rsid w:val="00497DE6"/>
    <w:rsid w:val="00497E80"/>
    <w:rsid w:val="004A1A7F"/>
    <w:rsid w:val="004A4545"/>
    <w:rsid w:val="004A53A9"/>
    <w:rsid w:val="004A5E2C"/>
    <w:rsid w:val="004A7FFB"/>
    <w:rsid w:val="004B0B3E"/>
    <w:rsid w:val="004B583B"/>
    <w:rsid w:val="004B63E8"/>
    <w:rsid w:val="004B77FD"/>
    <w:rsid w:val="004C24CF"/>
    <w:rsid w:val="004C2A12"/>
    <w:rsid w:val="004C3844"/>
    <w:rsid w:val="004C4238"/>
    <w:rsid w:val="004C6805"/>
    <w:rsid w:val="004C775C"/>
    <w:rsid w:val="004D3910"/>
    <w:rsid w:val="004D5309"/>
    <w:rsid w:val="004D5C0A"/>
    <w:rsid w:val="004D60E8"/>
    <w:rsid w:val="004D6A53"/>
    <w:rsid w:val="004E4F08"/>
    <w:rsid w:val="004E56FA"/>
    <w:rsid w:val="004E6CD7"/>
    <w:rsid w:val="004E767E"/>
    <w:rsid w:val="004F2098"/>
    <w:rsid w:val="004F36E6"/>
    <w:rsid w:val="004F3ECA"/>
    <w:rsid w:val="004F42BE"/>
    <w:rsid w:val="004F5564"/>
    <w:rsid w:val="0050078A"/>
    <w:rsid w:val="0050185B"/>
    <w:rsid w:val="00511554"/>
    <w:rsid w:val="00514267"/>
    <w:rsid w:val="00520D7A"/>
    <w:rsid w:val="00521F39"/>
    <w:rsid w:val="00523369"/>
    <w:rsid w:val="00523F1F"/>
    <w:rsid w:val="00527027"/>
    <w:rsid w:val="00527CD5"/>
    <w:rsid w:val="0053038A"/>
    <w:rsid w:val="00530C84"/>
    <w:rsid w:val="005356C0"/>
    <w:rsid w:val="005405F6"/>
    <w:rsid w:val="0054259B"/>
    <w:rsid w:val="00543DF5"/>
    <w:rsid w:val="00544F3B"/>
    <w:rsid w:val="005452F5"/>
    <w:rsid w:val="005534E9"/>
    <w:rsid w:val="00553705"/>
    <w:rsid w:val="00554AD8"/>
    <w:rsid w:val="00556949"/>
    <w:rsid w:val="005620A5"/>
    <w:rsid w:val="00562E19"/>
    <w:rsid w:val="00562FE7"/>
    <w:rsid w:val="00563032"/>
    <w:rsid w:val="00564CDE"/>
    <w:rsid w:val="00566998"/>
    <w:rsid w:val="00571562"/>
    <w:rsid w:val="00572C4E"/>
    <w:rsid w:val="00572F85"/>
    <w:rsid w:val="00576969"/>
    <w:rsid w:val="00583E8A"/>
    <w:rsid w:val="00586E47"/>
    <w:rsid w:val="00590809"/>
    <w:rsid w:val="00590D7D"/>
    <w:rsid w:val="00592F85"/>
    <w:rsid w:val="00593A5C"/>
    <w:rsid w:val="00594B7D"/>
    <w:rsid w:val="00595F11"/>
    <w:rsid w:val="005A001A"/>
    <w:rsid w:val="005A02BF"/>
    <w:rsid w:val="005A17A5"/>
    <w:rsid w:val="005A493B"/>
    <w:rsid w:val="005A4D04"/>
    <w:rsid w:val="005A4E83"/>
    <w:rsid w:val="005B0CED"/>
    <w:rsid w:val="005B14F8"/>
    <w:rsid w:val="005B42CF"/>
    <w:rsid w:val="005B45D6"/>
    <w:rsid w:val="005B5EB8"/>
    <w:rsid w:val="005B6F0F"/>
    <w:rsid w:val="005C21F6"/>
    <w:rsid w:val="005C3345"/>
    <w:rsid w:val="005C433B"/>
    <w:rsid w:val="005C4C0C"/>
    <w:rsid w:val="005C575F"/>
    <w:rsid w:val="005C5FC3"/>
    <w:rsid w:val="005C6A2F"/>
    <w:rsid w:val="005C6C01"/>
    <w:rsid w:val="005C7502"/>
    <w:rsid w:val="005C7C25"/>
    <w:rsid w:val="005D1A94"/>
    <w:rsid w:val="005D2105"/>
    <w:rsid w:val="005D4823"/>
    <w:rsid w:val="005D754E"/>
    <w:rsid w:val="005D7A40"/>
    <w:rsid w:val="005D7E45"/>
    <w:rsid w:val="005E0EB4"/>
    <w:rsid w:val="005E0FCC"/>
    <w:rsid w:val="005E127F"/>
    <w:rsid w:val="005E41F0"/>
    <w:rsid w:val="005F2699"/>
    <w:rsid w:val="005F3EC3"/>
    <w:rsid w:val="005F77BC"/>
    <w:rsid w:val="00600EBC"/>
    <w:rsid w:val="00601E09"/>
    <w:rsid w:val="00605412"/>
    <w:rsid w:val="006061ED"/>
    <w:rsid w:val="00606A57"/>
    <w:rsid w:val="00606E5C"/>
    <w:rsid w:val="0061104F"/>
    <w:rsid w:val="00611751"/>
    <w:rsid w:val="00611A82"/>
    <w:rsid w:val="00612401"/>
    <w:rsid w:val="006142C8"/>
    <w:rsid w:val="00616D22"/>
    <w:rsid w:val="00621316"/>
    <w:rsid w:val="0062160F"/>
    <w:rsid w:val="00621981"/>
    <w:rsid w:val="00621CED"/>
    <w:rsid w:val="006227DF"/>
    <w:rsid w:val="0062453F"/>
    <w:rsid w:val="00632203"/>
    <w:rsid w:val="00635AEB"/>
    <w:rsid w:val="00640096"/>
    <w:rsid w:val="00641B4C"/>
    <w:rsid w:val="00641C76"/>
    <w:rsid w:val="00642389"/>
    <w:rsid w:val="006423C6"/>
    <w:rsid w:val="0064455B"/>
    <w:rsid w:val="00645C90"/>
    <w:rsid w:val="006505D9"/>
    <w:rsid w:val="006506B3"/>
    <w:rsid w:val="00652DEA"/>
    <w:rsid w:val="00656D82"/>
    <w:rsid w:val="00657C94"/>
    <w:rsid w:val="00664804"/>
    <w:rsid w:val="00667AEA"/>
    <w:rsid w:val="00667DB6"/>
    <w:rsid w:val="006702AD"/>
    <w:rsid w:val="00672942"/>
    <w:rsid w:val="006736CA"/>
    <w:rsid w:val="0067477D"/>
    <w:rsid w:val="00674A75"/>
    <w:rsid w:val="006751A5"/>
    <w:rsid w:val="006763E3"/>
    <w:rsid w:val="006775FA"/>
    <w:rsid w:val="00680DE9"/>
    <w:rsid w:val="00683E43"/>
    <w:rsid w:val="00692422"/>
    <w:rsid w:val="00694EA8"/>
    <w:rsid w:val="00695805"/>
    <w:rsid w:val="00696363"/>
    <w:rsid w:val="006A0572"/>
    <w:rsid w:val="006A3B5B"/>
    <w:rsid w:val="006A3F9E"/>
    <w:rsid w:val="006A7407"/>
    <w:rsid w:val="006B5644"/>
    <w:rsid w:val="006B687E"/>
    <w:rsid w:val="006B71C9"/>
    <w:rsid w:val="006C1005"/>
    <w:rsid w:val="006C2058"/>
    <w:rsid w:val="006C23E7"/>
    <w:rsid w:val="006C56DE"/>
    <w:rsid w:val="006C5BB1"/>
    <w:rsid w:val="006D3014"/>
    <w:rsid w:val="006D3B84"/>
    <w:rsid w:val="006D4B8A"/>
    <w:rsid w:val="006E1712"/>
    <w:rsid w:val="006E1B65"/>
    <w:rsid w:val="006E25C9"/>
    <w:rsid w:val="006E48A5"/>
    <w:rsid w:val="006E6059"/>
    <w:rsid w:val="006E7558"/>
    <w:rsid w:val="006F01EE"/>
    <w:rsid w:val="006F1008"/>
    <w:rsid w:val="006F4A1B"/>
    <w:rsid w:val="006F4DC8"/>
    <w:rsid w:val="006F5097"/>
    <w:rsid w:val="006F5F03"/>
    <w:rsid w:val="006F636A"/>
    <w:rsid w:val="006F7EAB"/>
    <w:rsid w:val="00701521"/>
    <w:rsid w:val="0070271A"/>
    <w:rsid w:val="00703F09"/>
    <w:rsid w:val="007056AB"/>
    <w:rsid w:val="00705CD4"/>
    <w:rsid w:val="00707263"/>
    <w:rsid w:val="00710426"/>
    <w:rsid w:val="00711356"/>
    <w:rsid w:val="007119A8"/>
    <w:rsid w:val="007119CD"/>
    <w:rsid w:val="00714294"/>
    <w:rsid w:val="007152A4"/>
    <w:rsid w:val="00715F08"/>
    <w:rsid w:val="00721167"/>
    <w:rsid w:val="007214FF"/>
    <w:rsid w:val="0072245C"/>
    <w:rsid w:val="00723932"/>
    <w:rsid w:val="00724443"/>
    <w:rsid w:val="00727053"/>
    <w:rsid w:val="007304E9"/>
    <w:rsid w:val="00730550"/>
    <w:rsid w:val="00732038"/>
    <w:rsid w:val="007331A3"/>
    <w:rsid w:val="00735584"/>
    <w:rsid w:val="0073631A"/>
    <w:rsid w:val="0074119A"/>
    <w:rsid w:val="00742D17"/>
    <w:rsid w:val="00742FFF"/>
    <w:rsid w:val="00744F55"/>
    <w:rsid w:val="00745479"/>
    <w:rsid w:val="00745802"/>
    <w:rsid w:val="007525DA"/>
    <w:rsid w:val="00755588"/>
    <w:rsid w:val="00756E0A"/>
    <w:rsid w:val="0076232D"/>
    <w:rsid w:val="007637C5"/>
    <w:rsid w:val="0076454E"/>
    <w:rsid w:val="00766BB5"/>
    <w:rsid w:val="00767788"/>
    <w:rsid w:val="00767CA3"/>
    <w:rsid w:val="00771B20"/>
    <w:rsid w:val="00772E49"/>
    <w:rsid w:val="00773957"/>
    <w:rsid w:val="00774E13"/>
    <w:rsid w:val="0077546C"/>
    <w:rsid w:val="00775BE4"/>
    <w:rsid w:val="00776849"/>
    <w:rsid w:val="0078286F"/>
    <w:rsid w:val="00783786"/>
    <w:rsid w:val="00786CF9"/>
    <w:rsid w:val="00787A25"/>
    <w:rsid w:val="00787F64"/>
    <w:rsid w:val="007932D7"/>
    <w:rsid w:val="00793D44"/>
    <w:rsid w:val="00793D8A"/>
    <w:rsid w:val="00794FCD"/>
    <w:rsid w:val="00795778"/>
    <w:rsid w:val="00796664"/>
    <w:rsid w:val="00797CBB"/>
    <w:rsid w:val="007A1231"/>
    <w:rsid w:val="007A2A59"/>
    <w:rsid w:val="007A50DF"/>
    <w:rsid w:val="007A5702"/>
    <w:rsid w:val="007B3D50"/>
    <w:rsid w:val="007B6A58"/>
    <w:rsid w:val="007C222D"/>
    <w:rsid w:val="007C31F0"/>
    <w:rsid w:val="007D2BB1"/>
    <w:rsid w:val="007D2EE7"/>
    <w:rsid w:val="007D6302"/>
    <w:rsid w:val="007E017F"/>
    <w:rsid w:val="007E39BE"/>
    <w:rsid w:val="007E3D79"/>
    <w:rsid w:val="007E7937"/>
    <w:rsid w:val="007F0175"/>
    <w:rsid w:val="007F214A"/>
    <w:rsid w:val="007F3009"/>
    <w:rsid w:val="007F340A"/>
    <w:rsid w:val="00801A42"/>
    <w:rsid w:val="008064CA"/>
    <w:rsid w:val="00810200"/>
    <w:rsid w:val="008110AE"/>
    <w:rsid w:val="008115EB"/>
    <w:rsid w:val="00811967"/>
    <w:rsid w:val="00811C55"/>
    <w:rsid w:val="00811F82"/>
    <w:rsid w:val="0081266B"/>
    <w:rsid w:val="008133F9"/>
    <w:rsid w:val="00821F03"/>
    <w:rsid w:val="00822101"/>
    <w:rsid w:val="008226EF"/>
    <w:rsid w:val="008229C3"/>
    <w:rsid w:val="00822CD5"/>
    <w:rsid w:val="00823B98"/>
    <w:rsid w:val="00824EF3"/>
    <w:rsid w:val="008253C2"/>
    <w:rsid w:val="00827ECB"/>
    <w:rsid w:val="00830D0E"/>
    <w:rsid w:val="00831B55"/>
    <w:rsid w:val="0083295A"/>
    <w:rsid w:val="00832D44"/>
    <w:rsid w:val="00832F2D"/>
    <w:rsid w:val="008331D1"/>
    <w:rsid w:val="00834696"/>
    <w:rsid w:val="00835AD2"/>
    <w:rsid w:val="00835F03"/>
    <w:rsid w:val="00836951"/>
    <w:rsid w:val="0083726F"/>
    <w:rsid w:val="00837C1E"/>
    <w:rsid w:val="0084093F"/>
    <w:rsid w:val="008411EE"/>
    <w:rsid w:val="0084148E"/>
    <w:rsid w:val="00841615"/>
    <w:rsid w:val="0084289C"/>
    <w:rsid w:val="00844F5C"/>
    <w:rsid w:val="00845B25"/>
    <w:rsid w:val="00846105"/>
    <w:rsid w:val="008507D6"/>
    <w:rsid w:val="0085169F"/>
    <w:rsid w:val="0085225E"/>
    <w:rsid w:val="0085227F"/>
    <w:rsid w:val="00852974"/>
    <w:rsid w:val="008535B4"/>
    <w:rsid w:val="00855703"/>
    <w:rsid w:val="00855A7B"/>
    <w:rsid w:val="008602EB"/>
    <w:rsid w:val="008611AB"/>
    <w:rsid w:val="00861351"/>
    <w:rsid w:val="0086214D"/>
    <w:rsid w:val="008621B4"/>
    <w:rsid w:val="0086233A"/>
    <w:rsid w:val="00864C0B"/>
    <w:rsid w:val="00864F1E"/>
    <w:rsid w:val="00865848"/>
    <w:rsid w:val="0086776C"/>
    <w:rsid w:val="008719A7"/>
    <w:rsid w:val="00873799"/>
    <w:rsid w:val="0087472A"/>
    <w:rsid w:val="0087490D"/>
    <w:rsid w:val="00874B79"/>
    <w:rsid w:val="00877EFA"/>
    <w:rsid w:val="00880215"/>
    <w:rsid w:val="0088143E"/>
    <w:rsid w:val="00882706"/>
    <w:rsid w:val="00883AE2"/>
    <w:rsid w:val="00884C6B"/>
    <w:rsid w:val="00884CF5"/>
    <w:rsid w:val="00886583"/>
    <w:rsid w:val="008875EE"/>
    <w:rsid w:val="00890EAD"/>
    <w:rsid w:val="0089368A"/>
    <w:rsid w:val="0089684E"/>
    <w:rsid w:val="00896B56"/>
    <w:rsid w:val="008A2366"/>
    <w:rsid w:val="008A23E7"/>
    <w:rsid w:val="008A2840"/>
    <w:rsid w:val="008A45B3"/>
    <w:rsid w:val="008A6553"/>
    <w:rsid w:val="008A6DF8"/>
    <w:rsid w:val="008A7DA9"/>
    <w:rsid w:val="008B0BC3"/>
    <w:rsid w:val="008B2878"/>
    <w:rsid w:val="008B3EF6"/>
    <w:rsid w:val="008B4F08"/>
    <w:rsid w:val="008B5FFC"/>
    <w:rsid w:val="008B68F4"/>
    <w:rsid w:val="008B697E"/>
    <w:rsid w:val="008C06E9"/>
    <w:rsid w:val="008C0846"/>
    <w:rsid w:val="008C1B4C"/>
    <w:rsid w:val="008C1D31"/>
    <w:rsid w:val="008C2A06"/>
    <w:rsid w:val="008C76B6"/>
    <w:rsid w:val="008D0389"/>
    <w:rsid w:val="008D2BA2"/>
    <w:rsid w:val="008D45AA"/>
    <w:rsid w:val="008D4B84"/>
    <w:rsid w:val="008E04C5"/>
    <w:rsid w:val="008E1127"/>
    <w:rsid w:val="008E334C"/>
    <w:rsid w:val="008E49AB"/>
    <w:rsid w:val="008E6607"/>
    <w:rsid w:val="008E702E"/>
    <w:rsid w:val="008E774E"/>
    <w:rsid w:val="008F017F"/>
    <w:rsid w:val="008F0227"/>
    <w:rsid w:val="008F2417"/>
    <w:rsid w:val="008F4920"/>
    <w:rsid w:val="008F4FA1"/>
    <w:rsid w:val="008F6063"/>
    <w:rsid w:val="008F6CF6"/>
    <w:rsid w:val="008F7837"/>
    <w:rsid w:val="00900555"/>
    <w:rsid w:val="00901B52"/>
    <w:rsid w:val="00902A0E"/>
    <w:rsid w:val="00903AEC"/>
    <w:rsid w:val="0090487A"/>
    <w:rsid w:val="00906356"/>
    <w:rsid w:val="00906C72"/>
    <w:rsid w:val="0091110B"/>
    <w:rsid w:val="00912A6A"/>
    <w:rsid w:val="009168A5"/>
    <w:rsid w:val="00916D7C"/>
    <w:rsid w:val="00916E4A"/>
    <w:rsid w:val="0092166A"/>
    <w:rsid w:val="009253B3"/>
    <w:rsid w:val="009254E5"/>
    <w:rsid w:val="00930989"/>
    <w:rsid w:val="0093144A"/>
    <w:rsid w:val="00931E14"/>
    <w:rsid w:val="00932933"/>
    <w:rsid w:val="009332FA"/>
    <w:rsid w:val="0093494D"/>
    <w:rsid w:val="00936BD8"/>
    <w:rsid w:val="0093751A"/>
    <w:rsid w:val="009402AF"/>
    <w:rsid w:val="0094159A"/>
    <w:rsid w:val="00942D4A"/>
    <w:rsid w:val="00944073"/>
    <w:rsid w:val="0094600A"/>
    <w:rsid w:val="00947A7C"/>
    <w:rsid w:val="00951165"/>
    <w:rsid w:val="00951FF0"/>
    <w:rsid w:val="0095267F"/>
    <w:rsid w:val="009560DB"/>
    <w:rsid w:val="0095661A"/>
    <w:rsid w:val="009570D8"/>
    <w:rsid w:val="00957CEB"/>
    <w:rsid w:val="00960C0B"/>
    <w:rsid w:val="00961AC2"/>
    <w:rsid w:val="00961DAF"/>
    <w:rsid w:val="009636FE"/>
    <w:rsid w:val="00966468"/>
    <w:rsid w:val="00967F09"/>
    <w:rsid w:val="009719E9"/>
    <w:rsid w:val="0097319B"/>
    <w:rsid w:val="00974007"/>
    <w:rsid w:val="0097594C"/>
    <w:rsid w:val="009767F1"/>
    <w:rsid w:val="00976E75"/>
    <w:rsid w:val="00981872"/>
    <w:rsid w:val="00981FB6"/>
    <w:rsid w:val="00985769"/>
    <w:rsid w:val="00986B5C"/>
    <w:rsid w:val="009872E5"/>
    <w:rsid w:val="00990170"/>
    <w:rsid w:val="00994B41"/>
    <w:rsid w:val="00996C1B"/>
    <w:rsid w:val="009A00C0"/>
    <w:rsid w:val="009A2E09"/>
    <w:rsid w:val="009A3076"/>
    <w:rsid w:val="009A60BC"/>
    <w:rsid w:val="009A6B7B"/>
    <w:rsid w:val="009A74F6"/>
    <w:rsid w:val="009B162A"/>
    <w:rsid w:val="009B2BFE"/>
    <w:rsid w:val="009B3670"/>
    <w:rsid w:val="009B52BF"/>
    <w:rsid w:val="009B53CA"/>
    <w:rsid w:val="009B5A64"/>
    <w:rsid w:val="009C3BB6"/>
    <w:rsid w:val="009C532C"/>
    <w:rsid w:val="009C5807"/>
    <w:rsid w:val="009C6260"/>
    <w:rsid w:val="009C6F43"/>
    <w:rsid w:val="009C74DE"/>
    <w:rsid w:val="009D0D9D"/>
    <w:rsid w:val="009D1555"/>
    <w:rsid w:val="009D1F90"/>
    <w:rsid w:val="009D3E16"/>
    <w:rsid w:val="009D45E6"/>
    <w:rsid w:val="009D4854"/>
    <w:rsid w:val="009D5A57"/>
    <w:rsid w:val="009D5EB4"/>
    <w:rsid w:val="009D6351"/>
    <w:rsid w:val="009D7E44"/>
    <w:rsid w:val="009E0647"/>
    <w:rsid w:val="009E5040"/>
    <w:rsid w:val="009F06FE"/>
    <w:rsid w:val="009F14BF"/>
    <w:rsid w:val="009F2EEA"/>
    <w:rsid w:val="009F4664"/>
    <w:rsid w:val="009F50CD"/>
    <w:rsid w:val="009F5579"/>
    <w:rsid w:val="009F6D45"/>
    <w:rsid w:val="009F6E1C"/>
    <w:rsid w:val="009F791D"/>
    <w:rsid w:val="009F7FF6"/>
    <w:rsid w:val="00A00012"/>
    <w:rsid w:val="00A01EF3"/>
    <w:rsid w:val="00A02097"/>
    <w:rsid w:val="00A03193"/>
    <w:rsid w:val="00A03543"/>
    <w:rsid w:val="00A05818"/>
    <w:rsid w:val="00A076AB"/>
    <w:rsid w:val="00A078D3"/>
    <w:rsid w:val="00A10772"/>
    <w:rsid w:val="00A12654"/>
    <w:rsid w:val="00A1632C"/>
    <w:rsid w:val="00A16E41"/>
    <w:rsid w:val="00A1702B"/>
    <w:rsid w:val="00A23F69"/>
    <w:rsid w:val="00A25BAC"/>
    <w:rsid w:val="00A25C57"/>
    <w:rsid w:val="00A25EBA"/>
    <w:rsid w:val="00A26B20"/>
    <w:rsid w:val="00A27736"/>
    <w:rsid w:val="00A305F5"/>
    <w:rsid w:val="00A31B94"/>
    <w:rsid w:val="00A325B2"/>
    <w:rsid w:val="00A332D1"/>
    <w:rsid w:val="00A34145"/>
    <w:rsid w:val="00A3519B"/>
    <w:rsid w:val="00A37566"/>
    <w:rsid w:val="00A4043D"/>
    <w:rsid w:val="00A407E5"/>
    <w:rsid w:val="00A415C5"/>
    <w:rsid w:val="00A41AF0"/>
    <w:rsid w:val="00A42BAE"/>
    <w:rsid w:val="00A455F0"/>
    <w:rsid w:val="00A464BC"/>
    <w:rsid w:val="00A46BFC"/>
    <w:rsid w:val="00A46C0A"/>
    <w:rsid w:val="00A47360"/>
    <w:rsid w:val="00A47C09"/>
    <w:rsid w:val="00A50103"/>
    <w:rsid w:val="00A5112A"/>
    <w:rsid w:val="00A51362"/>
    <w:rsid w:val="00A51F71"/>
    <w:rsid w:val="00A57CC8"/>
    <w:rsid w:val="00A6028F"/>
    <w:rsid w:val="00A611FC"/>
    <w:rsid w:val="00A620AF"/>
    <w:rsid w:val="00A63442"/>
    <w:rsid w:val="00A66BE7"/>
    <w:rsid w:val="00A66D73"/>
    <w:rsid w:val="00A66DCA"/>
    <w:rsid w:val="00A70FE6"/>
    <w:rsid w:val="00A71CA2"/>
    <w:rsid w:val="00A736BF"/>
    <w:rsid w:val="00A74DDE"/>
    <w:rsid w:val="00A74F76"/>
    <w:rsid w:val="00A75309"/>
    <w:rsid w:val="00A76865"/>
    <w:rsid w:val="00A771F2"/>
    <w:rsid w:val="00A80614"/>
    <w:rsid w:val="00A80BB8"/>
    <w:rsid w:val="00A81011"/>
    <w:rsid w:val="00A81F88"/>
    <w:rsid w:val="00A83467"/>
    <w:rsid w:val="00A84A14"/>
    <w:rsid w:val="00A872FE"/>
    <w:rsid w:val="00A93B03"/>
    <w:rsid w:val="00A94909"/>
    <w:rsid w:val="00A95FD9"/>
    <w:rsid w:val="00A962A3"/>
    <w:rsid w:val="00A96446"/>
    <w:rsid w:val="00A971A9"/>
    <w:rsid w:val="00A97894"/>
    <w:rsid w:val="00A9799B"/>
    <w:rsid w:val="00AA06B2"/>
    <w:rsid w:val="00AA0783"/>
    <w:rsid w:val="00AA14B2"/>
    <w:rsid w:val="00AA17F1"/>
    <w:rsid w:val="00AA361E"/>
    <w:rsid w:val="00AA41BF"/>
    <w:rsid w:val="00AB42D2"/>
    <w:rsid w:val="00AB7365"/>
    <w:rsid w:val="00AC0383"/>
    <w:rsid w:val="00AC08CE"/>
    <w:rsid w:val="00AC5EEE"/>
    <w:rsid w:val="00AC6A7F"/>
    <w:rsid w:val="00AC77C5"/>
    <w:rsid w:val="00AD0120"/>
    <w:rsid w:val="00AD06CE"/>
    <w:rsid w:val="00AD0D05"/>
    <w:rsid w:val="00AD2F64"/>
    <w:rsid w:val="00AD3F52"/>
    <w:rsid w:val="00AD50CB"/>
    <w:rsid w:val="00AD61B6"/>
    <w:rsid w:val="00AD7B25"/>
    <w:rsid w:val="00AE0044"/>
    <w:rsid w:val="00AE0672"/>
    <w:rsid w:val="00AE0798"/>
    <w:rsid w:val="00AE225E"/>
    <w:rsid w:val="00AE33D4"/>
    <w:rsid w:val="00AE3B67"/>
    <w:rsid w:val="00AE62F3"/>
    <w:rsid w:val="00AE7B4B"/>
    <w:rsid w:val="00AF1C12"/>
    <w:rsid w:val="00AF363F"/>
    <w:rsid w:val="00AF4588"/>
    <w:rsid w:val="00AF4900"/>
    <w:rsid w:val="00AF5AEF"/>
    <w:rsid w:val="00AF72B1"/>
    <w:rsid w:val="00B02B7E"/>
    <w:rsid w:val="00B0310B"/>
    <w:rsid w:val="00B03DA5"/>
    <w:rsid w:val="00B04547"/>
    <w:rsid w:val="00B0508F"/>
    <w:rsid w:val="00B076B6"/>
    <w:rsid w:val="00B07DEE"/>
    <w:rsid w:val="00B107EA"/>
    <w:rsid w:val="00B1280F"/>
    <w:rsid w:val="00B13AC5"/>
    <w:rsid w:val="00B13FEC"/>
    <w:rsid w:val="00B16180"/>
    <w:rsid w:val="00B16BEC"/>
    <w:rsid w:val="00B17F8F"/>
    <w:rsid w:val="00B21C6F"/>
    <w:rsid w:val="00B23E97"/>
    <w:rsid w:val="00B26AFE"/>
    <w:rsid w:val="00B271F0"/>
    <w:rsid w:val="00B275F0"/>
    <w:rsid w:val="00B31ACF"/>
    <w:rsid w:val="00B322AB"/>
    <w:rsid w:val="00B35543"/>
    <w:rsid w:val="00B36B6E"/>
    <w:rsid w:val="00B3781C"/>
    <w:rsid w:val="00B37ED2"/>
    <w:rsid w:val="00B40813"/>
    <w:rsid w:val="00B424CA"/>
    <w:rsid w:val="00B52512"/>
    <w:rsid w:val="00B528A8"/>
    <w:rsid w:val="00B53A6C"/>
    <w:rsid w:val="00B56B9F"/>
    <w:rsid w:val="00B57345"/>
    <w:rsid w:val="00B6007F"/>
    <w:rsid w:val="00B60BA4"/>
    <w:rsid w:val="00B61B78"/>
    <w:rsid w:val="00B61FE3"/>
    <w:rsid w:val="00B634AE"/>
    <w:rsid w:val="00B6491D"/>
    <w:rsid w:val="00B71545"/>
    <w:rsid w:val="00B74B7A"/>
    <w:rsid w:val="00B770E9"/>
    <w:rsid w:val="00B77ABE"/>
    <w:rsid w:val="00B82A90"/>
    <w:rsid w:val="00B87F6B"/>
    <w:rsid w:val="00B90E1D"/>
    <w:rsid w:val="00B91A90"/>
    <w:rsid w:val="00B94CA9"/>
    <w:rsid w:val="00B95068"/>
    <w:rsid w:val="00B95160"/>
    <w:rsid w:val="00B95304"/>
    <w:rsid w:val="00B970D0"/>
    <w:rsid w:val="00BA28F3"/>
    <w:rsid w:val="00BA58E2"/>
    <w:rsid w:val="00BA781A"/>
    <w:rsid w:val="00BB6732"/>
    <w:rsid w:val="00BB6959"/>
    <w:rsid w:val="00BB7519"/>
    <w:rsid w:val="00BC0538"/>
    <w:rsid w:val="00BC263C"/>
    <w:rsid w:val="00BC2E39"/>
    <w:rsid w:val="00BC3B56"/>
    <w:rsid w:val="00BC6709"/>
    <w:rsid w:val="00BC7071"/>
    <w:rsid w:val="00BC7583"/>
    <w:rsid w:val="00BD12C3"/>
    <w:rsid w:val="00BD14CF"/>
    <w:rsid w:val="00BD366F"/>
    <w:rsid w:val="00BD63C9"/>
    <w:rsid w:val="00BE1305"/>
    <w:rsid w:val="00BE26C9"/>
    <w:rsid w:val="00BE3091"/>
    <w:rsid w:val="00BE5F5B"/>
    <w:rsid w:val="00BE5FB6"/>
    <w:rsid w:val="00BE6D28"/>
    <w:rsid w:val="00BF15DD"/>
    <w:rsid w:val="00BF1B22"/>
    <w:rsid w:val="00BF21E8"/>
    <w:rsid w:val="00BF59F7"/>
    <w:rsid w:val="00C00624"/>
    <w:rsid w:val="00C007C5"/>
    <w:rsid w:val="00C01FD3"/>
    <w:rsid w:val="00C02CE7"/>
    <w:rsid w:val="00C06BC9"/>
    <w:rsid w:val="00C1354D"/>
    <w:rsid w:val="00C151D6"/>
    <w:rsid w:val="00C205A3"/>
    <w:rsid w:val="00C2191D"/>
    <w:rsid w:val="00C22917"/>
    <w:rsid w:val="00C22F7F"/>
    <w:rsid w:val="00C234DE"/>
    <w:rsid w:val="00C25C33"/>
    <w:rsid w:val="00C26313"/>
    <w:rsid w:val="00C27E7E"/>
    <w:rsid w:val="00C27FA5"/>
    <w:rsid w:val="00C31532"/>
    <w:rsid w:val="00C31D69"/>
    <w:rsid w:val="00C32116"/>
    <w:rsid w:val="00C337D8"/>
    <w:rsid w:val="00C35238"/>
    <w:rsid w:val="00C3570E"/>
    <w:rsid w:val="00C357A7"/>
    <w:rsid w:val="00C359B7"/>
    <w:rsid w:val="00C35D8A"/>
    <w:rsid w:val="00C376D4"/>
    <w:rsid w:val="00C41441"/>
    <w:rsid w:val="00C42037"/>
    <w:rsid w:val="00C435CE"/>
    <w:rsid w:val="00C4365A"/>
    <w:rsid w:val="00C448B2"/>
    <w:rsid w:val="00C46657"/>
    <w:rsid w:val="00C47FE4"/>
    <w:rsid w:val="00C51E09"/>
    <w:rsid w:val="00C522FA"/>
    <w:rsid w:val="00C52FF4"/>
    <w:rsid w:val="00C5307F"/>
    <w:rsid w:val="00C54147"/>
    <w:rsid w:val="00C55966"/>
    <w:rsid w:val="00C55D1A"/>
    <w:rsid w:val="00C56D26"/>
    <w:rsid w:val="00C6100A"/>
    <w:rsid w:val="00C61F45"/>
    <w:rsid w:val="00C67682"/>
    <w:rsid w:val="00C677A0"/>
    <w:rsid w:val="00C67F09"/>
    <w:rsid w:val="00C702D1"/>
    <w:rsid w:val="00C71265"/>
    <w:rsid w:val="00C761F3"/>
    <w:rsid w:val="00C80091"/>
    <w:rsid w:val="00C83D5F"/>
    <w:rsid w:val="00C853EB"/>
    <w:rsid w:val="00C86772"/>
    <w:rsid w:val="00C86B22"/>
    <w:rsid w:val="00C86D39"/>
    <w:rsid w:val="00C870BA"/>
    <w:rsid w:val="00C90E02"/>
    <w:rsid w:val="00C9700F"/>
    <w:rsid w:val="00CA0ACB"/>
    <w:rsid w:val="00CA0F53"/>
    <w:rsid w:val="00CA112F"/>
    <w:rsid w:val="00CA21CB"/>
    <w:rsid w:val="00CA7336"/>
    <w:rsid w:val="00CA7355"/>
    <w:rsid w:val="00CA7B9F"/>
    <w:rsid w:val="00CB0E48"/>
    <w:rsid w:val="00CB40F8"/>
    <w:rsid w:val="00CB4A5A"/>
    <w:rsid w:val="00CB55E0"/>
    <w:rsid w:val="00CB6D04"/>
    <w:rsid w:val="00CC00CD"/>
    <w:rsid w:val="00CC05CD"/>
    <w:rsid w:val="00CC3802"/>
    <w:rsid w:val="00CC5115"/>
    <w:rsid w:val="00CC6891"/>
    <w:rsid w:val="00CD1341"/>
    <w:rsid w:val="00CD1A40"/>
    <w:rsid w:val="00CD30AB"/>
    <w:rsid w:val="00CD7137"/>
    <w:rsid w:val="00CD77D4"/>
    <w:rsid w:val="00CE0DAC"/>
    <w:rsid w:val="00CE26E5"/>
    <w:rsid w:val="00CE3DCF"/>
    <w:rsid w:val="00CE7C61"/>
    <w:rsid w:val="00CF0C70"/>
    <w:rsid w:val="00CF0FCF"/>
    <w:rsid w:val="00CF269A"/>
    <w:rsid w:val="00CF66DD"/>
    <w:rsid w:val="00CF68C7"/>
    <w:rsid w:val="00CF77AA"/>
    <w:rsid w:val="00D021ED"/>
    <w:rsid w:val="00D029F8"/>
    <w:rsid w:val="00D03F3F"/>
    <w:rsid w:val="00D04F46"/>
    <w:rsid w:val="00D06320"/>
    <w:rsid w:val="00D07E80"/>
    <w:rsid w:val="00D1088D"/>
    <w:rsid w:val="00D13343"/>
    <w:rsid w:val="00D13915"/>
    <w:rsid w:val="00D13CBB"/>
    <w:rsid w:val="00D14E7D"/>
    <w:rsid w:val="00D176CF"/>
    <w:rsid w:val="00D2041A"/>
    <w:rsid w:val="00D249B7"/>
    <w:rsid w:val="00D25228"/>
    <w:rsid w:val="00D2522C"/>
    <w:rsid w:val="00D271A1"/>
    <w:rsid w:val="00D2765F"/>
    <w:rsid w:val="00D34D6D"/>
    <w:rsid w:val="00D35DD2"/>
    <w:rsid w:val="00D36E01"/>
    <w:rsid w:val="00D40A54"/>
    <w:rsid w:val="00D46419"/>
    <w:rsid w:val="00D50075"/>
    <w:rsid w:val="00D5317D"/>
    <w:rsid w:val="00D53EEB"/>
    <w:rsid w:val="00D547B3"/>
    <w:rsid w:val="00D56518"/>
    <w:rsid w:val="00D56AAF"/>
    <w:rsid w:val="00D57D24"/>
    <w:rsid w:val="00D60245"/>
    <w:rsid w:val="00D60903"/>
    <w:rsid w:val="00D638F1"/>
    <w:rsid w:val="00D6568A"/>
    <w:rsid w:val="00D6570A"/>
    <w:rsid w:val="00D67C9F"/>
    <w:rsid w:val="00D72D72"/>
    <w:rsid w:val="00D75220"/>
    <w:rsid w:val="00D75726"/>
    <w:rsid w:val="00D75B84"/>
    <w:rsid w:val="00D83CAA"/>
    <w:rsid w:val="00D84667"/>
    <w:rsid w:val="00D8636A"/>
    <w:rsid w:val="00D878AD"/>
    <w:rsid w:val="00D92A21"/>
    <w:rsid w:val="00D94735"/>
    <w:rsid w:val="00D95E6F"/>
    <w:rsid w:val="00D97709"/>
    <w:rsid w:val="00DA0153"/>
    <w:rsid w:val="00DA152C"/>
    <w:rsid w:val="00DA2ADA"/>
    <w:rsid w:val="00DA4307"/>
    <w:rsid w:val="00DA5286"/>
    <w:rsid w:val="00DA5A61"/>
    <w:rsid w:val="00DB021A"/>
    <w:rsid w:val="00DB1CAC"/>
    <w:rsid w:val="00DB2360"/>
    <w:rsid w:val="00DB29AA"/>
    <w:rsid w:val="00DB2BD8"/>
    <w:rsid w:val="00DB31A0"/>
    <w:rsid w:val="00DB35B2"/>
    <w:rsid w:val="00DB42DC"/>
    <w:rsid w:val="00DB70A6"/>
    <w:rsid w:val="00DC29F8"/>
    <w:rsid w:val="00DC47B9"/>
    <w:rsid w:val="00DD189F"/>
    <w:rsid w:val="00DD553C"/>
    <w:rsid w:val="00DD6294"/>
    <w:rsid w:val="00DD74C5"/>
    <w:rsid w:val="00DE063B"/>
    <w:rsid w:val="00DE188E"/>
    <w:rsid w:val="00DE2A53"/>
    <w:rsid w:val="00DE2CDC"/>
    <w:rsid w:val="00DE4A4C"/>
    <w:rsid w:val="00E000C7"/>
    <w:rsid w:val="00E02680"/>
    <w:rsid w:val="00E07B8F"/>
    <w:rsid w:val="00E1134F"/>
    <w:rsid w:val="00E11AF8"/>
    <w:rsid w:val="00E11C10"/>
    <w:rsid w:val="00E14D99"/>
    <w:rsid w:val="00E15D11"/>
    <w:rsid w:val="00E15D3C"/>
    <w:rsid w:val="00E16435"/>
    <w:rsid w:val="00E174E9"/>
    <w:rsid w:val="00E228F8"/>
    <w:rsid w:val="00E22A74"/>
    <w:rsid w:val="00E22C57"/>
    <w:rsid w:val="00E23A3D"/>
    <w:rsid w:val="00E307A9"/>
    <w:rsid w:val="00E30CCA"/>
    <w:rsid w:val="00E312A3"/>
    <w:rsid w:val="00E320EA"/>
    <w:rsid w:val="00E325CA"/>
    <w:rsid w:val="00E328DF"/>
    <w:rsid w:val="00E35456"/>
    <w:rsid w:val="00E35F89"/>
    <w:rsid w:val="00E37F85"/>
    <w:rsid w:val="00E448C2"/>
    <w:rsid w:val="00E44FB0"/>
    <w:rsid w:val="00E46E82"/>
    <w:rsid w:val="00E4763E"/>
    <w:rsid w:val="00E47ECD"/>
    <w:rsid w:val="00E50123"/>
    <w:rsid w:val="00E50E1E"/>
    <w:rsid w:val="00E54394"/>
    <w:rsid w:val="00E61A54"/>
    <w:rsid w:val="00E66862"/>
    <w:rsid w:val="00E70B56"/>
    <w:rsid w:val="00E72246"/>
    <w:rsid w:val="00E731B0"/>
    <w:rsid w:val="00E757E0"/>
    <w:rsid w:val="00E75995"/>
    <w:rsid w:val="00E75BAE"/>
    <w:rsid w:val="00E75C69"/>
    <w:rsid w:val="00E76CED"/>
    <w:rsid w:val="00E8047E"/>
    <w:rsid w:val="00E81531"/>
    <w:rsid w:val="00E8527B"/>
    <w:rsid w:val="00E865AA"/>
    <w:rsid w:val="00E86FE0"/>
    <w:rsid w:val="00E873B3"/>
    <w:rsid w:val="00E928F0"/>
    <w:rsid w:val="00E930DA"/>
    <w:rsid w:val="00E950A0"/>
    <w:rsid w:val="00E9661E"/>
    <w:rsid w:val="00E96883"/>
    <w:rsid w:val="00EA012A"/>
    <w:rsid w:val="00EA0871"/>
    <w:rsid w:val="00EA09C5"/>
    <w:rsid w:val="00EA1591"/>
    <w:rsid w:val="00EA3AA4"/>
    <w:rsid w:val="00EA5656"/>
    <w:rsid w:val="00EA704A"/>
    <w:rsid w:val="00EA7E8E"/>
    <w:rsid w:val="00EB0208"/>
    <w:rsid w:val="00EB6CA6"/>
    <w:rsid w:val="00EC00AB"/>
    <w:rsid w:val="00EC0AD3"/>
    <w:rsid w:val="00EC0B78"/>
    <w:rsid w:val="00EC1633"/>
    <w:rsid w:val="00EC32CC"/>
    <w:rsid w:val="00EC4524"/>
    <w:rsid w:val="00EC4CD4"/>
    <w:rsid w:val="00EC581F"/>
    <w:rsid w:val="00EC6403"/>
    <w:rsid w:val="00EC6C0D"/>
    <w:rsid w:val="00EC7748"/>
    <w:rsid w:val="00ED00A5"/>
    <w:rsid w:val="00ED0EAF"/>
    <w:rsid w:val="00ED1203"/>
    <w:rsid w:val="00ED1A11"/>
    <w:rsid w:val="00ED2C6B"/>
    <w:rsid w:val="00ED2DCC"/>
    <w:rsid w:val="00ED305F"/>
    <w:rsid w:val="00ED3925"/>
    <w:rsid w:val="00ED4A9D"/>
    <w:rsid w:val="00ED4D31"/>
    <w:rsid w:val="00ED6839"/>
    <w:rsid w:val="00EE35DF"/>
    <w:rsid w:val="00EE4D97"/>
    <w:rsid w:val="00EE6B89"/>
    <w:rsid w:val="00EE7427"/>
    <w:rsid w:val="00EF0C58"/>
    <w:rsid w:val="00EF1388"/>
    <w:rsid w:val="00EF35A1"/>
    <w:rsid w:val="00EF6E91"/>
    <w:rsid w:val="00EF7EDF"/>
    <w:rsid w:val="00F00DC8"/>
    <w:rsid w:val="00F039BB"/>
    <w:rsid w:val="00F05BC6"/>
    <w:rsid w:val="00F063AE"/>
    <w:rsid w:val="00F07499"/>
    <w:rsid w:val="00F11DAB"/>
    <w:rsid w:val="00F15DC8"/>
    <w:rsid w:val="00F16969"/>
    <w:rsid w:val="00F177AB"/>
    <w:rsid w:val="00F2028D"/>
    <w:rsid w:val="00F21CEA"/>
    <w:rsid w:val="00F2429A"/>
    <w:rsid w:val="00F25984"/>
    <w:rsid w:val="00F25DB6"/>
    <w:rsid w:val="00F27A82"/>
    <w:rsid w:val="00F27AA4"/>
    <w:rsid w:val="00F30F67"/>
    <w:rsid w:val="00F31555"/>
    <w:rsid w:val="00F3369D"/>
    <w:rsid w:val="00F3686A"/>
    <w:rsid w:val="00F37D73"/>
    <w:rsid w:val="00F4104D"/>
    <w:rsid w:val="00F414CF"/>
    <w:rsid w:val="00F50450"/>
    <w:rsid w:val="00F50CEE"/>
    <w:rsid w:val="00F550BD"/>
    <w:rsid w:val="00F552E3"/>
    <w:rsid w:val="00F61710"/>
    <w:rsid w:val="00F62CA7"/>
    <w:rsid w:val="00F63776"/>
    <w:rsid w:val="00F6432E"/>
    <w:rsid w:val="00F64F6A"/>
    <w:rsid w:val="00F654E7"/>
    <w:rsid w:val="00F66755"/>
    <w:rsid w:val="00F677C0"/>
    <w:rsid w:val="00F7148B"/>
    <w:rsid w:val="00F7683F"/>
    <w:rsid w:val="00F76C46"/>
    <w:rsid w:val="00F76DDD"/>
    <w:rsid w:val="00F81C9A"/>
    <w:rsid w:val="00F831DE"/>
    <w:rsid w:val="00F835C1"/>
    <w:rsid w:val="00F84E5C"/>
    <w:rsid w:val="00F859D2"/>
    <w:rsid w:val="00F875A1"/>
    <w:rsid w:val="00F91A62"/>
    <w:rsid w:val="00F91AFF"/>
    <w:rsid w:val="00F92651"/>
    <w:rsid w:val="00F93538"/>
    <w:rsid w:val="00F96684"/>
    <w:rsid w:val="00F97EA5"/>
    <w:rsid w:val="00FA0B2A"/>
    <w:rsid w:val="00FA3F51"/>
    <w:rsid w:val="00FA438A"/>
    <w:rsid w:val="00FA475E"/>
    <w:rsid w:val="00FA4FBA"/>
    <w:rsid w:val="00FA5E13"/>
    <w:rsid w:val="00FA65BD"/>
    <w:rsid w:val="00FB08E5"/>
    <w:rsid w:val="00FB0D6B"/>
    <w:rsid w:val="00FB1431"/>
    <w:rsid w:val="00FB4282"/>
    <w:rsid w:val="00FB5134"/>
    <w:rsid w:val="00FB6361"/>
    <w:rsid w:val="00FB64F6"/>
    <w:rsid w:val="00FB7714"/>
    <w:rsid w:val="00FC1443"/>
    <w:rsid w:val="00FC1D39"/>
    <w:rsid w:val="00FC722E"/>
    <w:rsid w:val="00FD0FCA"/>
    <w:rsid w:val="00FD143D"/>
    <w:rsid w:val="00FD1CC0"/>
    <w:rsid w:val="00FD3E6B"/>
    <w:rsid w:val="00FD3FDB"/>
    <w:rsid w:val="00FD76AF"/>
    <w:rsid w:val="00FE13E4"/>
    <w:rsid w:val="00FE1A3B"/>
    <w:rsid w:val="00FE263D"/>
    <w:rsid w:val="00FE2E5C"/>
    <w:rsid w:val="00FE5084"/>
    <w:rsid w:val="00FE656A"/>
    <w:rsid w:val="00FE788A"/>
    <w:rsid w:val="00FF114F"/>
    <w:rsid w:val="00FF2DBE"/>
    <w:rsid w:val="00FF2DC0"/>
    <w:rsid w:val="00FF38F0"/>
    <w:rsid w:val="00FF40DA"/>
    <w:rsid w:val="00FF4567"/>
    <w:rsid w:val="00FF52B0"/>
    <w:rsid w:val="00FF5872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67D1D8C"/>
  <w15:chartTrackingRefBased/>
  <w15:docId w15:val="{F400BC9A-9296-4AC2-A768-CB157431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480" w:lineRule="auto"/>
    </w:pPr>
    <w:rPr>
      <w:position w:val="-8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character" w:styleId="PageNumber">
    <w:name w:val="page number"/>
    <w:rPr>
      <w:rFonts w:ascii="Arial" w:hAnsi="Arial"/>
      <w:sz w:val="24"/>
    </w:rPr>
  </w:style>
  <w:style w:type="paragraph" w:customStyle="1" w:styleId="StyleStyleCenteredTableSymbolsymbol12pt">
    <w:name w:val="Style Style Centered (Table) + Symbol (symbol) 12 pt"/>
    <w:basedOn w:val="StyleCenteredTable"/>
    <w:link w:val="StyleStyleCenteredTableSymbolsymbol12ptChar"/>
    <w:rPr>
      <w:rFonts w:ascii="Symbol" w:hAnsi="Symbol"/>
    </w:rPr>
  </w:style>
  <w:style w:type="character" w:customStyle="1" w:styleId="Heading2Char">
    <w:name w:val="Heading 2 Char"/>
    <w:link w:val="Heading2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character" w:customStyle="1" w:styleId="StyleStyleCenteredTableSymbolsymbol12ptChar">
    <w:name w:val="Style Style Centered (Table) + Symbol (symbol) 12 pt Char"/>
    <w:link w:val="StyleStyleCenteredTableSymbolsymbol12pt"/>
    <w:rPr>
      <w:rFonts w:ascii="Symbol" w:hAnsi="Symbol"/>
      <w:sz w:val="24"/>
      <w:lang w:val="en-US" w:eastAsia="en-US" w:bidi="ar-SA"/>
    </w:rPr>
  </w:style>
  <w:style w:type="paragraph" w:customStyle="1" w:styleId="StyleCenteredTable">
    <w:name w:val="Style Centered (Table)"/>
    <w:basedOn w:val="Normal"/>
    <w:link w:val="StyleCenteredTableChar"/>
    <w:pPr>
      <w:spacing w:line="240" w:lineRule="auto"/>
      <w:jc w:val="center"/>
    </w:pPr>
    <w:rPr>
      <w:szCs w:val="20"/>
    </w:rPr>
  </w:style>
  <w:style w:type="character" w:customStyle="1" w:styleId="StyleCenteredTableChar">
    <w:name w:val="Style Centered (Table) Char"/>
    <w:link w:val="StyleCenteredTable"/>
    <w:rPr>
      <w:rFonts w:ascii="Arial" w:hAnsi="Arial"/>
      <w:sz w:val="24"/>
      <w:lang w:val="en-US" w:eastAsia="en-US" w:bidi="ar-SA"/>
    </w:rPr>
  </w:style>
  <w:style w:type="table" w:styleId="TableGrid">
    <w:name w:val="Table Grid"/>
    <w:basedOn w:val="TableNormal"/>
    <w:pPr>
      <w:spacing w:before="240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A28F3"/>
    <w:rPr>
      <w:color w:val="0563C1"/>
      <w:u w:val="single"/>
    </w:rPr>
  </w:style>
  <w:style w:type="character" w:customStyle="1" w:styleId="st">
    <w:name w:val="st"/>
    <w:rsid w:val="000207C0"/>
  </w:style>
  <w:style w:type="character" w:styleId="Emphasis">
    <w:name w:val="Emphasis"/>
    <w:uiPriority w:val="20"/>
    <w:qFormat/>
    <w:rsid w:val="000207C0"/>
    <w:rPr>
      <w:i/>
      <w:iCs/>
    </w:rPr>
  </w:style>
  <w:style w:type="paragraph" w:styleId="BalloonText">
    <w:name w:val="Balloon Text"/>
    <w:basedOn w:val="Normal"/>
    <w:link w:val="BalloonTextChar"/>
    <w:rsid w:val="00C27E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7E7E"/>
    <w:rPr>
      <w:rFonts w:ascii="Segoe UI" w:hAnsi="Segoe UI" w:cs="Segoe UI"/>
      <w:position w:val="-8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rsid w:val="00DC47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C47B9"/>
    <w:rPr>
      <w:position w:val="-8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DC47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C47B9"/>
    <w:rPr>
      <w:position w:val="-8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C5BB1"/>
    <w:rPr>
      <w:position w:val="-8"/>
      <w:sz w:val="24"/>
      <w:szCs w:val="24"/>
      <w:lang w:val="en-GB" w:eastAsia="en-GB"/>
    </w:rPr>
  </w:style>
  <w:style w:type="character" w:customStyle="1" w:styleId="hlfld-abstract">
    <w:name w:val="hlfld-abstract"/>
    <w:rsid w:val="00ED6839"/>
  </w:style>
  <w:style w:type="character" w:customStyle="1" w:styleId="timestamp">
    <w:name w:val="timestamp"/>
    <w:rsid w:val="00FC1D39"/>
  </w:style>
  <w:style w:type="character" w:customStyle="1" w:styleId="Heading1Char">
    <w:name w:val="Heading 1 Char"/>
    <w:link w:val="Heading1"/>
    <w:rsid w:val="00C52FF4"/>
    <w:rPr>
      <w:rFonts w:cs="Arial"/>
      <w:b/>
      <w:bCs/>
      <w:kern w:val="32"/>
      <w:position w:val="-8"/>
      <w:sz w:val="32"/>
      <w:szCs w:val="32"/>
      <w:lang w:val="en-GB" w:eastAsia="en-GB"/>
    </w:rPr>
  </w:style>
  <w:style w:type="character" w:customStyle="1" w:styleId="Heading3Char">
    <w:name w:val="Heading 3 Char"/>
    <w:link w:val="Heading3"/>
    <w:rsid w:val="00C52FF4"/>
    <w:rPr>
      <w:rFonts w:cs="Arial"/>
      <w:b/>
      <w:bCs/>
      <w:position w:val="-8"/>
      <w:sz w:val="24"/>
      <w:szCs w:val="26"/>
      <w:lang w:val="en-GB" w:eastAsia="en-GB"/>
    </w:rPr>
  </w:style>
  <w:style w:type="character" w:styleId="UnresolvedMention">
    <w:name w:val="Unresolved Mention"/>
    <w:uiPriority w:val="99"/>
    <w:semiHidden/>
    <w:unhideWhenUsed/>
    <w:rsid w:val="00C52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hia@eddc.a-star.edu.s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oleObject" Target="embeddings/oleObject1.bin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0004-26FC-4D7A-A991-C27C3C1D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Exploring the substrate specificity of the Murray Valley encephalitis viral NS2B/NS3 enzyme with an iterative screening strategy involving C-terminal agmatine dipeptides</vt:lpstr>
    </vt:vector>
  </TitlesOfParts>
  <Company>Institute of Molecular and Cell Biology</Company>
  <LinksUpToDate>false</LinksUpToDate>
  <CharactersWithSpaces>19403</CharactersWithSpaces>
  <SharedDoc>false</SharedDoc>
  <HLinks>
    <vt:vector size="6" baseType="variant"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mailto:cschia@eddc.a-star.edu.sg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the substrate specificity of the Murray Valley encephalitis viral NS2B/NS3 enzyme with an iterative screening strategy involving C-terminal agmatine dipeptides</dc:title>
  <dc:subject/>
  <dc:creator>cschia</dc:creator>
  <cp:keywords/>
  <cp:lastModifiedBy>Tan Bee Huat</cp:lastModifiedBy>
  <cp:revision>3</cp:revision>
  <cp:lastPrinted>2023-09-04T08:59:00Z</cp:lastPrinted>
  <dcterms:created xsi:type="dcterms:W3CDTF">2024-03-23T03:56:00Z</dcterms:created>
  <dcterms:modified xsi:type="dcterms:W3CDTF">2024-04-15T12:40:00Z</dcterms:modified>
</cp:coreProperties>
</file>