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8CD97" w14:textId="77777777" w:rsidR="00C2692F" w:rsidRDefault="00C2692F">
      <w:pPr>
        <w:pStyle w:val="Text"/>
        <w:ind w:firstLine="0"/>
        <w:rPr>
          <w:sz w:val="2"/>
          <w:szCs w:val="18"/>
        </w:rPr>
      </w:pPr>
      <w:r>
        <w:rPr>
          <w:sz w:val="2"/>
          <w:szCs w:val="18"/>
        </w:rPr>
        <w:footnoteReference w:customMarkFollows="1" w:id="1"/>
        <w:sym w:font="Symbol" w:char="F020"/>
      </w:r>
    </w:p>
    <w:p w14:paraId="0AEC88F3" w14:textId="77777777" w:rsidR="005B5702" w:rsidRDefault="005B5702" w:rsidP="005B5702">
      <w:pPr>
        <w:pStyle w:val="Title"/>
        <w:framePr w:wrap="notBeside"/>
      </w:pPr>
      <w:bookmarkStart w:id="0" w:name="OLE_LINK9"/>
      <w:bookmarkStart w:id="1" w:name="OLE_LINK10"/>
      <w:r>
        <w:t>Synchronizing Motor Imagery Cue in fNIRS Brain-Computer Interface to reduce confounding effects of respiration</w:t>
      </w:r>
    </w:p>
    <w:p w14:paraId="5FF60114" w14:textId="3FFC0EA4" w:rsidR="000C0EE8" w:rsidRPr="001C52FC" w:rsidRDefault="000C0EE8" w:rsidP="000C0EE8">
      <w:pPr>
        <w:pStyle w:val="papersubtitle"/>
        <w:framePr w:w="9072" w:hSpace="187" w:vSpace="187" w:wrap="notBeside" w:vAnchor="text" w:hAnchor="page" w:x="1614" w:y="1"/>
        <w:rPr>
          <w:bCs/>
          <w:iCs/>
          <w:noProof w:val="0"/>
          <w:sz w:val="26"/>
          <w:szCs w:val="26"/>
        </w:rPr>
      </w:pPr>
      <w:r w:rsidRPr="001C52FC">
        <w:rPr>
          <w:iCs/>
          <w:noProof w:val="0"/>
          <w:sz w:val="26"/>
          <w:szCs w:val="26"/>
        </w:rPr>
        <w:t>Brian Premchand</w:t>
      </w:r>
      <w:r w:rsidRPr="001C6D52">
        <w:rPr>
          <w:iCs/>
          <w:noProof w:val="0"/>
          <w:sz w:val="26"/>
          <w:szCs w:val="26"/>
          <w:vertAlign w:val="superscript"/>
        </w:rPr>
        <w:t>1</w:t>
      </w:r>
      <w:r w:rsidRPr="001C52FC">
        <w:rPr>
          <w:iCs/>
          <w:noProof w:val="0"/>
          <w:sz w:val="26"/>
          <w:szCs w:val="26"/>
        </w:rPr>
        <w:t xml:space="preserve">, </w:t>
      </w:r>
      <w:proofErr w:type="spellStart"/>
      <w:r>
        <w:rPr>
          <w:iCs/>
          <w:noProof w:val="0"/>
          <w:sz w:val="26"/>
          <w:szCs w:val="26"/>
        </w:rPr>
        <w:t>Zhuo</w:t>
      </w:r>
      <w:proofErr w:type="spellEnd"/>
      <w:r>
        <w:rPr>
          <w:iCs/>
          <w:noProof w:val="0"/>
          <w:sz w:val="26"/>
          <w:szCs w:val="26"/>
        </w:rPr>
        <w:t xml:space="preserve"> Zhang</w:t>
      </w:r>
      <w:r w:rsidRPr="001C6D52">
        <w:rPr>
          <w:iCs/>
          <w:noProof w:val="0"/>
          <w:sz w:val="26"/>
          <w:szCs w:val="26"/>
          <w:vertAlign w:val="superscript"/>
        </w:rPr>
        <w:t>1</w:t>
      </w:r>
      <w:r w:rsidRPr="001C52FC">
        <w:rPr>
          <w:iCs/>
          <w:noProof w:val="0"/>
          <w:sz w:val="26"/>
          <w:szCs w:val="26"/>
        </w:rPr>
        <w:t xml:space="preserve">, </w:t>
      </w:r>
      <w:proofErr w:type="spellStart"/>
      <w:r>
        <w:rPr>
          <w:iCs/>
          <w:noProof w:val="0"/>
          <w:sz w:val="26"/>
          <w:szCs w:val="26"/>
        </w:rPr>
        <w:t>Juanhong</w:t>
      </w:r>
      <w:proofErr w:type="spellEnd"/>
      <w:r>
        <w:rPr>
          <w:iCs/>
          <w:noProof w:val="0"/>
          <w:sz w:val="26"/>
          <w:szCs w:val="26"/>
        </w:rPr>
        <w:t xml:space="preserve"> Yu</w:t>
      </w:r>
      <w:r>
        <w:rPr>
          <w:iCs/>
          <w:noProof w:val="0"/>
          <w:sz w:val="26"/>
          <w:szCs w:val="26"/>
          <w:vertAlign w:val="superscript"/>
        </w:rPr>
        <w:t>1</w:t>
      </w:r>
      <w:r w:rsidRPr="001C52FC">
        <w:rPr>
          <w:iCs/>
          <w:noProof w:val="0"/>
          <w:sz w:val="26"/>
          <w:szCs w:val="26"/>
        </w:rPr>
        <w:t xml:space="preserve">, </w:t>
      </w:r>
      <w:r w:rsidR="005440BA">
        <w:rPr>
          <w:iCs/>
          <w:noProof w:val="0"/>
          <w:sz w:val="26"/>
          <w:szCs w:val="26"/>
        </w:rPr>
        <w:t>Tao Yang</w:t>
      </w:r>
      <w:r w:rsidR="005440BA" w:rsidRPr="001C6D52">
        <w:rPr>
          <w:iCs/>
          <w:noProof w:val="0"/>
          <w:sz w:val="26"/>
          <w:szCs w:val="26"/>
          <w:vertAlign w:val="superscript"/>
        </w:rPr>
        <w:t>1</w:t>
      </w:r>
      <w:r w:rsidR="00CF45B8">
        <w:rPr>
          <w:iCs/>
          <w:noProof w:val="0"/>
          <w:sz w:val="26"/>
          <w:szCs w:val="26"/>
          <w:vertAlign w:val="superscript"/>
        </w:rPr>
        <w:t>,3</w:t>
      </w:r>
      <w:r>
        <w:rPr>
          <w:iCs/>
          <w:noProof w:val="0"/>
          <w:sz w:val="26"/>
          <w:szCs w:val="26"/>
        </w:rPr>
        <w:br/>
        <w:t xml:space="preserve">and </w:t>
      </w:r>
      <w:r w:rsidRPr="001C52FC">
        <w:rPr>
          <w:iCs/>
          <w:noProof w:val="0"/>
          <w:sz w:val="26"/>
          <w:szCs w:val="26"/>
        </w:rPr>
        <w:t>Kai Keng Ang</w:t>
      </w:r>
      <w:r w:rsidRPr="001C6D52">
        <w:rPr>
          <w:iCs/>
          <w:noProof w:val="0"/>
          <w:sz w:val="26"/>
          <w:szCs w:val="26"/>
          <w:vertAlign w:val="superscript"/>
        </w:rPr>
        <w:t>1</w:t>
      </w:r>
      <w:r>
        <w:rPr>
          <w:iCs/>
          <w:noProof w:val="0"/>
          <w:sz w:val="26"/>
          <w:szCs w:val="26"/>
          <w:vertAlign w:val="superscript"/>
        </w:rPr>
        <w:t>,2</w:t>
      </w:r>
    </w:p>
    <w:bookmarkEnd w:id="0"/>
    <w:bookmarkEnd w:id="1"/>
    <w:p w14:paraId="5B346397" w14:textId="791C2E46" w:rsidR="00BB3FC9" w:rsidRPr="00BB3FC9" w:rsidRDefault="005B5702" w:rsidP="002968E2">
      <w:pPr>
        <w:pStyle w:val="Abstract"/>
        <w:spacing w:before="0"/>
      </w:pPr>
      <w:r>
        <w:rPr>
          <w:i/>
          <w:iCs/>
        </w:rPr>
        <w:t>Abstract</w:t>
      </w:r>
      <w:r>
        <w:t>—</w:t>
      </w:r>
      <w:r w:rsidRPr="00B32A40">
        <w:t xml:space="preserve"> </w:t>
      </w:r>
      <w:r>
        <w:t xml:space="preserve">Functional </w:t>
      </w:r>
      <w:r w:rsidRPr="00D62136">
        <w:t>near-infrared spectroscopy</w:t>
      </w:r>
      <w:r>
        <w:t xml:space="preserve"> (fNIRS) is a neuroimaging method that measures oxygenated </w:t>
      </w:r>
      <w:r w:rsidRPr="008477A1">
        <w:t>hemoglobin</w:t>
      </w:r>
      <w:r>
        <w:t xml:space="preserve"> (HbO) levels in the brain to infer neural activity using near-infrared light. Measured HbO levels are directly affected by a person’s respiration. Hence, respiration cycles tend to confound fNIRS readings in motor imagery</w:t>
      </w:r>
      <w:r w:rsidR="003834C1">
        <w:t>-based</w:t>
      </w:r>
      <w:r>
        <w:t xml:space="preserve"> fNIRS Brain-Computer Interfaces (BCI). To reduce this confounding effect, we propose a method of synchronizing the motor imagery cue timing with the subject’s respiration cycle using a breathing sensor. We conducted an experiment to collect 160 single trials </w:t>
      </w:r>
      <w:r w:rsidR="00C375DF">
        <w:t xml:space="preserve">from 10 subjects performing motor imagery </w:t>
      </w:r>
      <w:r>
        <w:t>using a</w:t>
      </w:r>
      <w:r w:rsidR="003834C1">
        <w:t>n</w:t>
      </w:r>
      <w:r>
        <w:t xml:space="preserve"> fNIRS-based BCI and the breathing sensor. We then compared the HbO levels in trials with and without respiration synchronization. The results showed that respiration synchronization yielded HbO levels that were </w:t>
      </w:r>
      <w:r w:rsidR="00C375DF">
        <w:t>less dispersed across trials</w:t>
      </w:r>
      <w:r>
        <w:t xml:space="preserve">, and </w:t>
      </w:r>
      <w:r w:rsidR="00C375DF">
        <w:t xml:space="preserve">a negative correlation between the dispersion index of </w:t>
      </w:r>
      <w:r>
        <w:t xml:space="preserve">HbO levels </w:t>
      </w:r>
      <w:r w:rsidR="00C375DF">
        <w:t xml:space="preserve">with </w:t>
      </w:r>
      <w:r>
        <w:t>MI decoding</w:t>
      </w:r>
      <w:r w:rsidR="00C375DF">
        <w:t xml:space="preserve"> accuracies was found across the 10 subjects</w:t>
      </w:r>
      <w:r>
        <w:t>. This show</w:t>
      </w:r>
      <w:r w:rsidR="00C375DF">
        <w:t>ed</w:t>
      </w:r>
      <w:r>
        <w:t xml:space="preserve"> that synchronizing motor imagery cue</w:t>
      </w:r>
      <w:r w:rsidR="003834C1">
        <w:t>s</w:t>
      </w:r>
      <w:r>
        <w:t xml:space="preserve"> to respiration can yield increased HbO level consistency</w:t>
      </w:r>
      <w:r w:rsidR="00C375DF">
        <w:t xml:space="preserve"> leading to better MI performance</w:t>
      </w:r>
      <w:r>
        <w:t>. Hence</w:t>
      </w:r>
      <w:r w:rsidR="003834C1">
        <w:t>,</w:t>
      </w:r>
      <w:r>
        <w:t xml:space="preserve"> the proposed method holds promise to improve the decoding performance of fNIRS-BCI by </w:t>
      </w:r>
      <w:r w:rsidR="003834C1">
        <w:t xml:space="preserve">reducing </w:t>
      </w:r>
      <w:r>
        <w:t>the confounding effect</w:t>
      </w:r>
      <w:r w:rsidR="003834C1">
        <w:t>s of respiration.</w:t>
      </w:r>
    </w:p>
    <w:p w14:paraId="03DD90A5" w14:textId="77777777" w:rsidR="00C2692F" w:rsidRDefault="00C2692F" w:rsidP="00C2692F">
      <w:pPr>
        <w:pStyle w:val="Heading1"/>
        <w:spacing w:before="120" w:after="120"/>
      </w:pPr>
      <w:r>
        <w:t>I</w:t>
      </w:r>
      <w:r>
        <w:rPr>
          <w:sz w:val="16"/>
          <w:szCs w:val="16"/>
        </w:rPr>
        <w:t>NTRODUCTION</w:t>
      </w:r>
    </w:p>
    <w:p w14:paraId="0D5B32A3" w14:textId="59D4DF26" w:rsidR="0009402B" w:rsidRDefault="00437695" w:rsidP="00C2692F">
      <w:pPr>
        <w:pStyle w:val="BodyText"/>
      </w:pPr>
      <w:r>
        <w:t>F</w:t>
      </w:r>
      <w:r w:rsidR="00D62136" w:rsidRPr="00D62136">
        <w:t>unctional near-infrared spectroscopy</w:t>
      </w:r>
      <w:r w:rsidR="00D62136">
        <w:t xml:space="preserve"> (fNIRS) </w:t>
      </w:r>
      <w:r>
        <w:t>is a</w:t>
      </w:r>
      <w:r w:rsidR="00CE2FEE">
        <w:t xml:space="preserve"> relatively </w:t>
      </w:r>
      <w:r w:rsidR="00D62136">
        <w:t xml:space="preserve">non-invasive </w:t>
      </w:r>
      <w:r w:rsidR="00CE2FEE">
        <w:t>method of functional neuroimaging, which</w:t>
      </w:r>
      <w:r>
        <w:t xml:space="preserve"> can be used </w:t>
      </w:r>
      <w:r w:rsidR="00D62136">
        <w:t xml:space="preserve">to </w:t>
      </w:r>
      <w:r w:rsidR="00F96620">
        <w:t xml:space="preserve">quantify </w:t>
      </w:r>
      <w:r w:rsidR="00D62136">
        <w:t>brain activity in real-time</w:t>
      </w:r>
      <w:r w:rsidR="00CE2FEE">
        <w:t xml:space="preserve"> by </w:t>
      </w:r>
      <w:r w:rsidR="00F96620">
        <w:t>measuring</w:t>
      </w:r>
      <w:r w:rsidR="002E797A">
        <w:t xml:space="preserve"> blood oxygenation in the brain </w:t>
      </w:r>
      <w:r w:rsidR="002E797A">
        <w:fldChar w:fldCharType="begin"/>
      </w:r>
      <w:r>
        <w:instrText xml:space="preserve"> ADDIN ZOTERO_ITEM CSL_CITATION {"citationID":"sJzf5iJI","properties":{"formattedCitation":"[1], [2]","plainCitation":"[1], [2]","noteIndex":0},"citationItems":[{"id":2173,"uris":["http://zotero.org/users/764649/items/DQXIRIEP"],"itemData":{"id":2173,"type":"article-journal","abstract":"Changes in the oxygenation state of brain hemoglobin during mental work were monitored in real time (time resolution: 1 s) using near-infrared spectrophotometry in 14 healthy volunteers. In a younger group (age range 22-30 years, n = 12), the subjects finding difficulty in solving a problem were accompanied by significant increases in both oxygenated hemoglobin and total hemoglobin, while the subjects making a correct answer without difficulty showed no significant changes in hemoglobin oxygenation. When compared with those younger subjects, observations on the older subject demonstrated a decrease in oxygenated hemoglobin and a reciprocal increase in deoxygenated hemoglobin, unaccompanied by changes in total hemoglobin.","container-title":"Neuroscience Letters","DOI":"10.1016/0304-3940(93)90094-2","ISSN":"0304-3940","issue":"1","journalAbbreviation":"Neurosci Lett","language":"eng","note":"PMID: 8469403","page":"5-8","source":"PubMed","title":"Detection of dynamic changes in cerebral oxygenation coupled to neuronal function during mental work in man","volume":"150","author":[{"family":"Hoshi","given":"Y."},{"family":"Tamura","given":"M."}],"issued":{"date-parts":[["1993",2,5]]}}},{"id":2170,"uris":["http://zotero.org/users/764649/items/ERUQI84E"],"itemData":{"id":2170,"type":"article-journal","abstract":"This review is aimed at celebrating the upcoming 20th anniversary of the birth of human functional near-infrared spectroscopy (fNIRS). After the discovery in 1992 that the functional activation of the human cerebral cortex (due to oxygenation and hemodynamic changes) can be explored by NIRS, human functional brain mapping research has gained a new dimension. fNIRS or optical topography, or near-infrared imaging or diffuse optical imaging is used mainly to detect simultaneous changes in optical properties of the human cortex from multiple measurement sites and displays the results in the form of a map or image over a specific area. In order to place current fNIRS research in its proper context, this paper presents a brief historical overview of the events that have shaped the present status of fNIRS. In particular, technological progresses of fNIRS are highlighted (i.e. from single-site to multi-site functional cortical measurements (images)), introduction of the commercial multi-channel systems, recent commercial wireless instrumentation and more advanced prototypes.","container-title":"NeuroImage","DOI":"10.1016/j.neuroimage.2012.03.049","ISSN":"1053-8119","issue":"2","journalAbbreviation":"NeuroImage","language":"en","page":"921-935","source":"ScienceDirect","title":"A brief review on the history of human functional near-infrared spectroscopy (fNIRS) development and fields of application","volume":"63","author":[{"family":"Ferrari","given":"Marco"},{"family":"Quaresima","given":"Valentina"}],"issued":{"date-parts":[["2012",11,1]]}}}],"schema":"https://github.com/citation-style-language/schema/raw/master/csl-citation.json"} </w:instrText>
      </w:r>
      <w:r w:rsidR="002E797A">
        <w:fldChar w:fldCharType="separate"/>
      </w:r>
      <w:r w:rsidRPr="00437695">
        <w:t>[1], [2]</w:t>
      </w:r>
      <w:r w:rsidR="002E797A">
        <w:fldChar w:fldCharType="end"/>
      </w:r>
      <w:r w:rsidR="002E797A">
        <w:t>.</w:t>
      </w:r>
      <w:r w:rsidR="00391CA4">
        <w:t xml:space="preserve"> </w:t>
      </w:r>
      <w:r w:rsidR="00E753F4">
        <w:t>L</w:t>
      </w:r>
      <w:r w:rsidR="0009402B">
        <w:t>iving tissue, including skin and bone, is relatively translucent to near-infrared light in the 700-1300 nm window</w:t>
      </w:r>
      <w:r w:rsidR="00044D11">
        <w:t xml:space="preserve"> as</w:t>
      </w:r>
      <w:r w:rsidR="007C7F9F">
        <w:t xml:space="preserve"> hemoglobin absorbs photons in that range</w:t>
      </w:r>
      <w:r w:rsidR="0009402B">
        <w:t xml:space="preserve"> </w:t>
      </w:r>
      <w:r w:rsidR="0009402B">
        <w:fldChar w:fldCharType="begin"/>
      </w:r>
      <w:r w:rsidR="0009402B">
        <w:instrText xml:space="preserve"> ADDIN ZOTERO_ITEM CSL_CITATION {"citationID":"ba0EZRyu","properties":{"formattedCitation":"[3]","plainCitation":"[3]","noteIndex":0},"citationItems":[{"id":2190,"uris":["http://zotero.org/users/764649/items/ZH7E9R3J"],"itemData":{"id":2190,"type":"article-journal","abstract":"Extension of optical monitoring of intact tissues from the visible and ultraviolet to the near-infrared (NIR) range (700-1300 nm) was first undertaken in 1977 for the purpose of monitoring the redox behavior of Cytochrome c oxidase (cyt c ox) in vivo. Soon it became evident that the much greater NIR translucency of skin and bone made it possible to reach brain and muscle tissue without surgical intervention. The presence of hemoglobin absorption led to complications forcing the construction of algorithms to separate the signals of the two molecular entities. It was also realized, however, that the hemoglobin signals provide information regarding the source of oxygen in the tissue, while the cyt c ox signals indicate the intracellular availability of oxygen for oxidative phosphorylation. This ability of recognizing the source/sink relationship greatly enhances the value of NIR spectrophotometry (NIRS) for research and clinical purposes. © 1999 Society of Photo-Optical Instrumentation Engineers.","container-title":"Journal of Biomedical Optics","DOI":"10.1117/1.429952","ISSN":"1083-3668","issue":"4","journalAbbreviation":"J Biomed Opt","language":"eng","note":"PMID: 23014610","page":"392-396","source":"PubMed","title":"Discovery of the near-infrared window into the body and the early development of near-infrared spectroscopy","volume":"4","author":[{"family":"Jo Bsis-Vandervliet","given":"F. F."}],"issued":{"date-parts":[["1999",10]]}}}],"schema":"https://github.com/citation-style-language/schema/raw/master/csl-citation.json"} </w:instrText>
      </w:r>
      <w:r w:rsidR="0009402B">
        <w:fldChar w:fldCharType="separate"/>
      </w:r>
      <w:r w:rsidR="0009402B" w:rsidRPr="0009402B">
        <w:t>[3]</w:t>
      </w:r>
      <w:r w:rsidR="0009402B">
        <w:fldChar w:fldCharType="end"/>
      </w:r>
      <w:r w:rsidR="0009402B">
        <w:t>.</w:t>
      </w:r>
      <w:r w:rsidR="007C7F9F">
        <w:t xml:space="preserve"> </w:t>
      </w:r>
      <w:r w:rsidR="00044D11">
        <w:t>Since</w:t>
      </w:r>
      <w:r w:rsidR="007C7F9F">
        <w:t xml:space="preserve"> oxygenated and deoxygenated hemoglobin have different absorption spectra in the near-infrared range</w:t>
      </w:r>
      <w:r w:rsidR="00E753F4">
        <w:t xml:space="preserve">, </w:t>
      </w:r>
      <w:r w:rsidR="00685E78">
        <w:t xml:space="preserve">fNIRS systems can </w:t>
      </w:r>
      <w:r w:rsidR="00E753F4">
        <w:t>measure changes in the absorption of near-infrared light u</w:t>
      </w:r>
      <w:r w:rsidR="00685E78">
        <w:t>s</w:t>
      </w:r>
      <w:r w:rsidR="00E753F4">
        <w:t>ing</w:t>
      </w:r>
      <w:r w:rsidR="00685E78">
        <w:t xml:space="preserve"> the </w:t>
      </w:r>
      <w:r w:rsidR="00685E78" w:rsidRPr="00685E78">
        <w:t>modified Beer–Lambert law</w:t>
      </w:r>
      <w:r w:rsidR="00685E78">
        <w:t xml:space="preserve"> to estimate changes in the concentrations of oxygenated hemoglobin (Hb</w:t>
      </w:r>
      <w:r w:rsidR="0069451D">
        <w:t>O</w:t>
      </w:r>
      <w:r w:rsidR="00685E78">
        <w:t>) and deoxygenated hemoglobin (HbR).</w:t>
      </w:r>
      <w:r w:rsidR="0069451D">
        <w:t xml:space="preserve"> Since neural activity in the brain leads to changes in HbO and HbR via the hemodynamic response, fNIRS </w:t>
      </w:r>
      <w:r w:rsidR="00044D11">
        <w:t xml:space="preserve">can </w:t>
      </w:r>
      <w:r w:rsidR="00E753F4">
        <w:t xml:space="preserve">measure </w:t>
      </w:r>
      <w:r w:rsidR="00F96620">
        <w:t>neural activity</w:t>
      </w:r>
      <w:r w:rsidR="00E753F4">
        <w:t xml:space="preserve"> indirectly</w:t>
      </w:r>
      <w:r w:rsidR="00F96620">
        <w:t xml:space="preserve">, albeit with a delay and lower temporal resolution than neural electrical activity </w:t>
      </w:r>
      <w:r w:rsidR="00E753F4">
        <w:t xml:space="preserve">measurements </w:t>
      </w:r>
      <w:r w:rsidR="00F96620">
        <w:t xml:space="preserve">such as </w:t>
      </w:r>
      <w:r w:rsidR="00E753F4">
        <w:t>electroencephalogram (</w:t>
      </w:r>
      <w:r w:rsidR="00F96620">
        <w:t>EEG</w:t>
      </w:r>
      <w:r w:rsidR="00E753F4">
        <w:t>)</w:t>
      </w:r>
      <w:r w:rsidR="00F96620">
        <w:t xml:space="preserve"> or microelectrode recordings </w:t>
      </w:r>
      <w:r w:rsidR="00F96620">
        <w:fldChar w:fldCharType="begin"/>
      </w:r>
      <w:r w:rsidR="00F96620">
        <w:instrText xml:space="preserve"> ADDIN ZOTERO_ITEM CSL_CITATION {"citationID":"A57ETEXh","properties":{"formattedCitation":"[4]","plainCitation":"[4]","noteIndex":0},"citationItems":[{"id":2188,"uris":["http://zotero.org/users/764649/items/ERCWCIFF"],"itemData":{"id":2188,"type":"article-journal","abstract":"Functional magnetic resonance imaging (fMRI) is currently combined with electrophysiological methods to identify the relationship between neuronal activity and the blood oxygenation level-dependent (BOLD) signal. Several processes like neuronal activity, synaptic activity, vascular dilation, blood volume and oxygenation changes underlie both response modalities, that is, the electrophysiological signal and the vascular response. However, accessing single process relationships is absolutely mandatory when aiming at a deeper understanding of neurovascular coupling and necessitates studies on the individual building blocks of the vascular response. Combined fMRI and functional near-infrared spectroscopy studies have been performed to validate the correlation of the BOLD signal to the hemodynamic changes in the brain. Here we review the current status of the integration of both technologies and judge these studies in the light of recent findings on neurovascular coupling.","container-title":"Magnetic Resonance Imaging","DOI":"10.1016/j.mri.2005.12.034","ISSN":"0730-725X","issue":"4","journalAbbreviation":"Magnetic Resonance Imaging","language":"en","page":"495-505","source":"ScienceDirect","title":"Illuminating the BOLD signal: combined fMRI–fNIRS studies","title-short":"Illuminating the BOLD signal","volume":"24","author":[{"family":"Steinbrink","given":"Jens"},{"family":"Villringer","given":"Arno"},{"family":"Kempf","given":"Florian"},{"family":"Haux","given":"Daniel"},{"family":"Boden","given":"Stefanie"},{"family":"Obrig","given":"Hellmuth"}],"issued":{"date-parts":[["2006",5,1]]}}}],"schema":"https://github.com/citation-style-language/schema/raw/master/csl-citation.json"} </w:instrText>
      </w:r>
      <w:r w:rsidR="00F96620">
        <w:fldChar w:fldCharType="separate"/>
      </w:r>
      <w:r w:rsidR="00F96620" w:rsidRPr="00F96620">
        <w:t>[4]</w:t>
      </w:r>
      <w:r w:rsidR="00F96620">
        <w:fldChar w:fldCharType="end"/>
      </w:r>
      <w:r w:rsidR="00F96620">
        <w:t>.</w:t>
      </w:r>
    </w:p>
    <w:p w14:paraId="6602B5EC" w14:textId="34BE06EB" w:rsidR="00C2692F" w:rsidRDefault="00E753F4" w:rsidP="00C2692F">
      <w:pPr>
        <w:pStyle w:val="BodyText"/>
      </w:pPr>
      <w:r>
        <w:t xml:space="preserve">Although </w:t>
      </w:r>
      <w:r w:rsidR="00391CA4">
        <w:t xml:space="preserve">fNIRS </w:t>
      </w:r>
      <w:r w:rsidR="00740C4D">
        <w:t xml:space="preserve">does not measure </w:t>
      </w:r>
      <w:r>
        <w:t xml:space="preserve">neural </w:t>
      </w:r>
      <w:r w:rsidR="00740C4D">
        <w:t>electrical signals</w:t>
      </w:r>
      <w:r>
        <w:t xml:space="preserve"> directly</w:t>
      </w:r>
      <w:r w:rsidR="00391CA4">
        <w:t xml:space="preserve">, </w:t>
      </w:r>
      <w:r w:rsidR="00740C4D">
        <w:t xml:space="preserve">it is </w:t>
      </w:r>
      <w:r w:rsidR="00391CA4">
        <w:t xml:space="preserve">more robust in the presence of the electrical noise sources that frequently plague EEG recordings, such as power lines and muscle movements </w:t>
      </w:r>
      <w:r w:rsidR="00391CA4">
        <w:fldChar w:fldCharType="begin"/>
      </w:r>
      <w:r w:rsidR="00F96620">
        <w:instrText xml:space="preserve"> ADDIN ZOTERO_ITEM CSL_CITATION {"citationID":"OMgW01c8","properties":{"formattedCitation":"[5]","plainCitation":"[5]","noteIndex":0},"citationItems":[{"id":2184,"uris":["http://zotero.org/users/764649/items/H2JCVJZN"],"itemData":{"id":2184,"type":"article-journal","abstract":"The aim of this study is to present some practical state-of-the-art considerations in acquiring satisfactory signals for electroencephalographic signal acquisition. These considerations are important for users and system designers. Especially choosing correct electrode and design strategy of the initial electronic circuitry front end plays an important role in improving the system's measurement performance. Considering the pitfalls in the design of biopotential measurement system and recording session conditions creates better accuracy. In electroencephalogram (EEG) recording electrodes, system electronics including filtering, amplifying, signal conversion, data storing, and environmental conditions affect the recording performance. In this paper, EEG electrode principles and main points of electronic noise reduction methods in EEG signal acquisition front end are discussed, and some suggestions for improving signal acquisition are presented.","container-title":"Computational Intelligence and Neuroscience","DOI":"10.1155/2010/630649","ISSN":"1687-5265","journalAbbreviation":"Comput Intell Neurosci","note":"PMID: 20148074\nPMCID: PMC2817545","page":"630649","source":"PubMed Central","title":"Improvement of EEG Signal Acquisition: An Electrical Aspect for State of the Art of Front End","title-short":"Improvement of EEG Signal Acquisition","volume":"2010","author":[{"family":"Usakli","given":"Ali Bulent"}],"issued":{"date-parts":[["2010"]]}}}],"schema":"https://github.com/citation-style-language/schema/raw/master/csl-citation.json"} </w:instrText>
      </w:r>
      <w:r w:rsidR="00391CA4">
        <w:fldChar w:fldCharType="separate"/>
      </w:r>
      <w:r w:rsidR="00F96620" w:rsidRPr="00F96620">
        <w:t>[5]</w:t>
      </w:r>
      <w:r w:rsidR="00391CA4">
        <w:fldChar w:fldCharType="end"/>
      </w:r>
      <w:r w:rsidR="00391CA4">
        <w:t xml:space="preserve">. </w:t>
      </w:r>
      <w:r>
        <w:t xml:space="preserve">Thus </w:t>
      </w:r>
      <w:r w:rsidR="00391CA4">
        <w:t>fNIRS can be used as a medium for a variety of functions, su</w:t>
      </w:r>
      <w:r w:rsidR="00166DAF">
        <w:t xml:space="preserve">ch as </w:t>
      </w:r>
      <w:r w:rsidR="003355B4">
        <w:t>B</w:t>
      </w:r>
      <w:r w:rsidR="00166DAF">
        <w:t>rain-</w:t>
      </w:r>
      <w:r w:rsidR="003355B4">
        <w:t>C</w:t>
      </w:r>
      <w:r w:rsidR="00A76E91">
        <w:t>omputer</w:t>
      </w:r>
      <w:r w:rsidR="00166DAF">
        <w:t xml:space="preserve"> </w:t>
      </w:r>
      <w:r w:rsidR="003355B4">
        <w:t>I</w:t>
      </w:r>
      <w:r w:rsidR="00166DAF">
        <w:t>nterfaces (B</w:t>
      </w:r>
      <w:r w:rsidR="00A76E91">
        <w:t>C</w:t>
      </w:r>
      <w:r w:rsidR="00166DAF">
        <w:t xml:space="preserve">Is), psychological </w:t>
      </w:r>
      <w:r w:rsidR="006C1F99">
        <w:t>studies on cognition</w:t>
      </w:r>
      <w:r w:rsidR="00166DAF">
        <w:t xml:space="preserve">, as well as neurophysiological studies </w:t>
      </w:r>
      <w:r w:rsidR="00166DAF">
        <w:fldChar w:fldCharType="begin"/>
      </w:r>
      <w:r w:rsidR="0018202F">
        <w:instrText xml:space="preserve"> ADDIN ZOTERO_ITEM CSL_CITATION {"citationID":"OygULSWT","properties":{"formattedCitation":"[2], [6]\\uc0\\u8211{}[9]","plainCitation":"[2], [6]–[9]","noteIndex":0},"citationItems":[{"id":2170,"uris":["http://zotero.org/users/764649/items/ERUQI84E"],"itemData":{"id":2170,"type":"article-journal","abstract":"This review is aimed at celebrating the upcoming 20th anniversary of the birth of human functional near-infrared spectroscopy (fNIRS). After the discovery in 1992 that the functional activation of the human cerebral cortex (due to oxygenation and hemodynamic changes) can be explored by NIRS, human functional brain mapping research has gained a new dimension. fNIRS or optical topography, or near-infrared imaging or diffuse optical imaging is used mainly to detect simultaneous changes in optical properties of the human cortex from multiple measurement sites and displays the results in the form of a map or image over a specific area. In order to place current fNIRS research in its proper context, this paper presents a brief historical overview of the events that have shaped the present status of fNIRS. In particular, technological progresses of fNIRS are highlighted (i.e. from single-site to multi-site functional cortical measurements (images)), introduction of the commercial multi-channel systems, recent commercial wireless instrumentation and more advanced prototypes.","container-title":"NeuroImage","DOI":"10.1016/j.neuroimage.2012.03.049","ISSN":"1053-8119","issue":"2","journalAbbreviation":"NeuroImage","language":"en","page":"921-935","source":"ScienceDirect","title":"A brief review on the history of human functional near-infrared spectroscopy (fNIRS) development and fields of application","volume":"63","author":[{"family":"Ferrari","given":"Marco"},{"family":"Quaresima","given":"Valentina"}],"issued":{"date-parts":[["2012",11,1]]}}},{"id":2186,"uris":["http://zotero.org/users/764649/items/MR95KWPX"],"itemData":{"id":2186,"type":"article-journal","abstract":"Preliminary studies examining brain function associated with social anxiety suggest the possibility of right-sided prefrontal activation associated with phobic stimulation. Although most existing neuroimaging techniques preclude participants from engaging in ecologically valid social tasks during assessment, functional near-infrared spectroscopy (fNIRS) is a promising new technique that permits such assessment. The present study investigated the utility of the fNIRS procedure and explored frontal asymmetry during in vivo social challenge tasks among female undergraduate students who scored in top and bottom percentiles on a social anxiety screening measure. Results revealed that participants in both groups experienced a significant increase in concentration of blood volume and oxygenated hemoglobin in the right hemisphere compared to the left hemisphere while giving a speech. Non-hemispheric effects were also observed. In addition, the high anxiety group showed a non-significant trend toward greater right frontal activity than the low anxiety group. This study highlights the utility of the fNIRS device in successfully assessing real-time changes in cerebrovascular response as a function of naturalistic social behavior, and supports the potential utility of this technology in the study of the neurophysiology of social anxiety.","container-title":"Brain Imaging and Behavior","DOI":"10.1007/s11682-012-9206-z","ISSN":"1931-7565","issue":"2","journalAbbreviation":"Brain Imaging Behav","language":"eng","note":"PMID: 23132684","page":"140-153","source":"PubMed","title":"Exploring frontal asymmetry using functional near-infrared spectroscopy: a preliminary study of the effects of social anxiety during interaction and performance tasks","title-short":"Exploring frontal asymmetry using functional near-infrared spectroscopy","volume":"7","author":[{"family":"Tuscan","given":"Lori-Ann"},{"family":"Herbert","given":"James D."},{"family":"Forman","given":"Evan M."},{"family":"Juarascio","given":"Adrienne S."},{"family":"Izzetoglu","given":"Meltem"},{"family":"Schultheis","given":"Maria"}],"issued":{"date-parts":[["2013",6]]}}},{"id":2154,"uris":["http://zotero.org/users/764649/items/5X953ENK"],"itemData":{"id":2154,"type":"article-journal","abstract":"Noninvasive Brain Computer Interfaces (BCI) have been promoted to be used for neuroprosthetics. However, reports on applications with electroencephalography (EEG) show a demand for a better accuracy and stability. Here we investigate whether near-infrared spectroscopy (NIRS) can be used to enhance the EEG approach. In our study both methods were applied simultaneously in a real-time Sensory Motor Rhythm (SMR)-based BCI paradigm, involving executed movements as well as motor imagery. We tested how the classiﬁcation of NIRS data can complement ongoing real-time EEG classiﬁcation. Our results show that simultaneous measurements of NIRS and EEG can signiﬁcantly improve the classiﬁcation accuracy of motor imagery in over 90% of considered subjects and increases performance by 5% on average (p b 0:01). However, the long time delay of the hemodynamic response may hinder an overall increase of bit-rates. Furthermore we ﬁnd that EEG and NIRS complement each other in terms of information content and are thus a viable multimodal imaging technique, suitable for BCI.","container-title":"NeuroImage","DOI":"10.1016/j.neuroimage.2011.07.084","ISSN":"10538119","issue":"1","journalAbbreviation":"NeuroImage","language":"en","page":"519-529","source":"DOI.org (Crossref)","title":"Enhanced performance by a hybrid NIRS–EEG brain computer interface","volume":"59","author":[{"family":"Fazli","given":"Siamac"},{"family":"Mehnert","given":"Jan"},{"family":"Steinbrink","given":"Jens"},{"family":"Curio","given":"Gabriel"},{"family":"Villringer","given":"Arno"},{"family":"Müller","given":"Klaus-Robert"},{"family":"Blankertz","given":"Benjamin"}],"issued":{"date-parts":[["2012",1]]}}},{"id":2205,"uris":["http://zotero.org/users/764649/items/BZTCPM8D"],"itemData":{"id":2205,"type":"article-journal","abstract":"Understanding the neural basis of arithmetic processes could play an important role in improving mathematical education. This study investigates the prefrontal cortical activation among subjects from different cultural backgrounds while performing two difficulty levels of mental arithmetic tasks. The prefrontal cortical activation is measured using a high density 206 channels fNIRS. 8 healthy subjects, consisting of 5 Asians and 3 Europeans, are included in this study. NIRS-SPM is used to compute hemoglobin response changes and generate brain activation map based on two contrasts defined as Easy versus Rest and Hard versus Rest. Differences between the Asian group and the European group are found in both contrasts of Easy versus Rest and Hard versus Rest. The results suggest people with different cultural backgrounds engage different neural pathways during arithmetic processing.","container-title":"Annual International Conference of the IEEE Engineering in Medicine and Biology Society. IEEE Engineering in Medicine and Biology Society. Annual International Conference","DOI":"10.1109/EMBC.2012.6347020","ISSN":"2694-0604","journalAbbreviation":"Annu Int Conf IEEE Eng Med Biol Soc","language":"eng","note":"PMID: 23366981","page":"4716-4719","source":"PubMed","title":"Prefrontal cortical activation during arithmetic processing differentiated by cultures: a preliminary fNIRS study","title-short":"Prefrontal cortical activation during arithmetic processing differentiated by cultures","volume":"2012","author":[{"family":"Yu","given":"Juanghong"},{"family":"Pan","given":"Yaozhang"},{"family":"Ang","given":"Kai Keng"},{"family":"Guan","given":"Cuntai"},{"family":"Leamy","given":"Darren J."}],"issued":{"date-parts":[["2012"]]}}},{"id":2210,"uris":["http://zotero.org/users/764649/items/B5ASMWNN"],"itemData":{"id":2210,"type":"article-journal","abstract":"Several functional neuroimaging studies had been performed to explore the sensorimotor function for motor imagery and passive movement, but there is scanty work that investigated the cortical activation pattern for passive movement using functional Near-Infrared Spectroscopy (fNIRS). This study investigated the cortical activation pattern from fNIRS data of 8 healthy subjects performing motor imagery and passive movement tasks using a Haptic Knob robot. Group averaged contrasts were defined as motor imagery versus idle and passive movement versus idle. The cortical activations for motor imagery appeared on the contralateral sensorimotor area, whereas the cortical activations for passive movement appeared on both contralateral and ipsilateral sensorimotor area. This result suggests that the performance of passive movement has a wider cortical activation compared to the performance of motor imagery.","container-title":"Annual International Conference of the IEEE Engineering in Medicine and Biology Society. IEEE Engineering in Medicine and Biology Society. Annual International Conference","DOI":"10.1109/EMBC.2014.6944030","ISSN":"2694-0604","journalAbbreviation":"Annu Int Conf IEEE Eng Med Biol Soc","language":"eng","note":"PMID: 25570398","page":"2097-2100","source":"PubMed","title":"Cortical activation of passive hand movement using Haptic Knob: a preliminary multi-channel fNIRS study","title-short":"Cortical activation of passive hand movement using Haptic Knob","volume":"2014","author":[{"family":"Yu","given":"Juanhong"},{"family":"Ang","given":"Kai Keng"},{"family":"Yang","given":"Huijuan"},{"family":"Guan","given":"Cuntai"}],"issued":{"date-parts":[["2014"]]}}}],"schema":"https://github.com/citation-style-language/schema/raw/master/csl-citation.json"} </w:instrText>
      </w:r>
      <w:r w:rsidR="00166DAF">
        <w:fldChar w:fldCharType="separate"/>
      </w:r>
      <w:r w:rsidR="008E27C2" w:rsidRPr="008E27C2">
        <w:rPr>
          <w:szCs w:val="24"/>
        </w:rPr>
        <w:t>[2], [6]–[9]</w:t>
      </w:r>
      <w:r w:rsidR="00166DAF">
        <w:fldChar w:fldCharType="end"/>
      </w:r>
      <w:r w:rsidR="00166DAF">
        <w:t>.</w:t>
      </w:r>
      <w:r w:rsidR="00685E78">
        <w:t xml:space="preserve"> </w:t>
      </w:r>
      <w:r>
        <w:t xml:space="preserve">Furthermore, </w:t>
      </w:r>
      <w:r w:rsidR="00685E78">
        <w:t xml:space="preserve">fNIRS can also complement EEG to produce multimodal recordings, allowing researchers to record neurophysiological phenomena which occur on different time scales </w:t>
      </w:r>
      <w:r w:rsidR="00685E78">
        <w:fldChar w:fldCharType="begin"/>
      </w:r>
      <w:r w:rsidR="008E27C2">
        <w:instrText xml:space="preserve"> ADDIN ZOTERO_ITEM CSL_CITATION {"citationID":"xOsVP3qw","properties":{"formattedCitation":"[10]\\uc0\\u8211{}[12]","plainCitation":"[10]–[12]","noteIndex":0},"citationItems":[{"id":2164,"uris":["http://zotero.org/users/764649/items/YJNUCPAQ"],"itemData":{"id":2164,"type":"article-journal","abstract":"BACKGROUND: Alzheimer's disease (AD) is projected to become one of the most expensive diseases in modern history, and yet diagnostic uncertainties exist that can only be confirmed by postmortem brain examination. Machine Learning (ML) algorithms have been proposed as a feasible alternative to the diagnosis of several neurological diseases and disorders, such as AD. An ideal ML-derived diagnosis should be inexpensive and noninvasive while retaining the accuracy and versatility that make ML techniques desirable for medical applications.\nNEW METHODS: Two portable modalities, Electroencephalography (EEG) and functional Near-Infrared Spectroscopy (fNIRS) have been widely employed in constructing hybrid classification models to compensate for each other's weaknesses. In this study, we present a hybrid EEG-fNIRS model for classifying four classes of subjects including one healthy control (HC) group, one mild cognitive impairment (MCI) group, and, two AD patient groups. A concurrent EEG-fNIRS setup was used to record data from 29 subjects during a random digit encoding-retrieval task. EEG-derived and fNIRS-derived features were sorted using a Pearson correlation coefficient-based feature selection (PCCFS) strategy and then fed into a linear discriminant analysis (LDA) classifier to evaluate their performance.\nRESULTS: The hybrid EEG-fNIRS feature set was able to achieve a higher accuracy (79.31 %) by integrating their complementary properties, compared to using EEG (65.52 %) or fNIRS alone (58.62 %). Moreover, our results indicate that the right prefrontal and left parietal regions are associated with the progression of AD.\nCOMPARISON WITH EXISTING METHODS: Our hybrid and portable system provided enhanced classification performance in multi-class classification of AD population.\nCONCLUSIONS: These findings suggest that hybrid EEG-fNIRS systems are a promising tool that may enhance the AD diagnosis and assessment process.","container-title":"Journal of Neuroscience Methods","DOI":"10.1016/j.jneumeth.2020.108618","ISSN":"1872-678X","journalAbbreviation":"J Neurosci Methods","language":"eng","note":"PMID: 32045572\nPMCID: PMC7376762","page":"108618","source":"PubMed","title":"An EEG-fNIRS hybridization technique in the four-class classification of alzheimer's disease","volume":"336","author":[{"family":"Cicalese","given":"Pietro A."},{"family":"Li","given":"Rihui"},{"family":"Ahmadi","given":"Mohammad B."},{"family":"Wang","given":"Chushan"},{"family":"Francis","given":"Joseph T."},{"family":"Selvaraj","given":"Sudhakar"},{"family":"Schulz","given":"Paul E."},{"family":"Zhang","given":"Yingchun"}],"issued":{"date-parts":[["2020",4,15]]}}},{"id":2148,"uris":["http://zotero.org/users/764649/items/N3QPRC6N"],"itemData":{"id":2148,"type":"paper-conference","abstract":"In this paper, we have combined electroencephalography (EEG) and functional near-infrared spectroscopy (fNRIS) to make a hybrid EEG-NIRS based system for brain-computer interface (BCI). The EEG electrodes were placed on the motor cortex region and the NIRS optodes were set on the prefrontal region. The data of four subjects was acquired using mental arithmetic tasks and motor imageries of the left- and right-hand. The EEG data were band-pass filtered to obtain the activity (8 18 Hz). The modified Beer-Lambert law (MBLL) was used to convert the fNIRS data into oxy- and deoxy-hemoglobin (HbO and HbR), respectively. A common threshold between the two modalities was established to define a common resting state. The support vector machines (SVM) was used for data classification. Three control commands were generated using the prefrontal and motor cortex data. The results show that EEG and fNIRS can be combined for better brain signal acquisition and classification for BCI.","container-title":"2014 14th International Conference on Control, Automation and Systems (ICCAS 2014)","DOI":"10.1109/ICCAS.2014.6988001","event-title":"2014 14th International Conference on Control, Automation and Systems (ICCAS 2014)","note":"ISSN: 2093-7121","page":"275-278","source":"IEEE Xplore","title":"A hybrid EEG-fNIRS BCI: Motor imagery for EEG and mental arithmetic for fNIRS","title-short":"A hybrid EEG-fNIRS BCI","author":[{"family":"Khan","given":"M. Jawad"},{"family":"Hong","given":"Keum-Shik"},{"family":"Naseer","given":"Noman"},{"family":"Bhutta","given":"M. Raheel"}],"issued":{"date-parts":[["2014",10]]}}},{"id":2207,"uris":["http://zotero.org/users/764649/items/7DQ63T8Q"],"itemData":{"id":2207,"type":"paper-conference","abstract":"In EEG-based motor imagery Brain-Computer interface (BCI), EEG data collected in the calibration phase is used as a subject-specific model to classify the EEG data in the evaluation phase. Previous study has shown the feasibility of calibrating EEG-based BCI from passive movement. This paper investigates the primary sensorimotor area activation from fNIRS on 4 subjects using multimodal NIRS and EEG-based BCI system while performing motor imagery and passive movement of the hand by a Haptic Knob robot. NIRS_SPM is used to compute the changes in hemoglobin response and to generate brain activation map based on the contrasts of motor imagery versus idle and passive movement versus idle. The results on the contrasts showed that passive movement versus idle yielded significant differences compared to motor imagery versus idle. In addition, the results of classifying the NIRS and EEG data separately also showed that the accuracies on classifying passive movement versus idle are better than that of motor imagery versus idle. The results suggest a potential of using passive movement data to calibrate motor imagery in a multimodal NIRS and EEG-based BCI.","container-title":"2013 6th International IEEE/EMBS Conference on Neural Engineering (NER)","DOI":"10.1109/NER.2013.6695857","event-title":"2013 6th International IEEE/EMBS Conference on Neural Engineering (NER)","note":"ISSN: 1948-3554","page":"5-8","source":"IEEE Xplore","title":"A multimodal fNIRS and EEG-based BCI study on motor imagery and passive movement","author":[{"family":"Yu","given":"Juanhong"},{"family":"Ang","given":"Kai Keng"},{"family":"Guan","given":"Cuntai"},{"family":"Wang","given":"Chuanchu"}],"issued":{"date-parts":[["2013",11]]}}}],"schema":"https://github.com/citation-style-language/schema/raw/master/csl-citation.json"} </w:instrText>
      </w:r>
      <w:r w:rsidR="00685E78">
        <w:fldChar w:fldCharType="separate"/>
      </w:r>
      <w:r w:rsidR="008E27C2" w:rsidRPr="008E27C2">
        <w:rPr>
          <w:szCs w:val="24"/>
        </w:rPr>
        <w:t>[10]–[12]</w:t>
      </w:r>
      <w:r w:rsidR="00685E78">
        <w:fldChar w:fldCharType="end"/>
      </w:r>
      <w:r w:rsidR="00685E78">
        <w:t>.</w:t>
      </w:r>
    </w:p>
    <w:p w14:paraId="0AB9D67C" w14:textId="61FA2CC9" w:rsidR="00166DAF" w:rsidRDefault="00166DAF" w:rsidP="00C2692F">
      <w:pPr>
        <w:pStyle w:val="BodyText"/>
      </w:pPr>
      <w:r>
        <w:t xml:space="preserve">However, relying on </w:t>
      </w:r>
      <w:r w:rsidR="00A76E91">
        <w:t>spectroscopic readings of blood oxygenation leads</w:t>
      </w:r>
      <w:r w:rsidR="0009402B">
        <w:t xml:space="preserve"> to other issues</w:t>
      </w:r>
      <w:r w:rsidR="005B0EC1">
        <w:t xml:space="preserve">. </w:t>
      </w:r>
      <w:r w:rsidR="0009402B">
        <w:t xml:space="preserve">Hemoglobin oxygenation (HbO) in the blood changes </w:t>
      </w:r>
      <w:r w:rsidR="005D029D">
        <w:t xml:space="preserve">periodically </w:t>
      </w:r>
      <w:r w:rsidR="0009402B">
        <w:t xml:space="preserve">over the course of the respiratory cycle, and such changes are reflected in fNIRS readings </w:t>
      </w:r>
      <w:r w:rsidR="0009402B">
        <w:fldChar w:fldCharType="begin"/>
      </w:r>
      <w:r w:rsidR="008E27C2">
        <w:instrText xml:space="preserve"> ADDIN ZOTERO_ITEM CSL_CITATION {"citationID":"SeJHZ9KZ","properties":{"formattedCitation":"[13]\\uc0\\u8211{}[15]","plainCitation":"[13]–[15]","noteIndex":0},"citationItems":[{"id":2179,"uris":["http://zotero.org/users/764649/items/6HRFWT5J"],"itemData":{"id":2179,"type":"article-journal","abstract":"Abstract\n            Functional near infrared spectroscopy (fNIRS) measurements are confounded by signal components originating from multiple physiological causes, whose activities may vary temporally and spatially (across tissue layers, and regions of the cortex). Furthermore, the stimuli can induce evoked effects, which may lead to over or underestimation of the actual effect of interest. Here, we conducted a temporal, spectral, and spatial analysis of fNIRS signals collected during cognitive and hypercapnic stimuli to characterize effects of functional versus systemic responses. We utilized wavelet analysis to discriminate physiological causes and employed long and short source-detector separation (SDS) channels to differentiate tissue layers. Multi-channel measures were analyzed further to distinguish hemispheric differences. The results highlight cardiac, respiratory, myogenic, and very low frequency (VLF) activities within fNIRS signals. Regardless of stimuli, activity within the VLF band had the largest contribution to the overall signal. The systemic activities dominated the measurements from the short SDS channels during cognitive stimulus, but not hypercapnic stimulus. Importantly, results indicate that characteristics of fNIRS signals vary with type of the stimuli administered as cognitive stimulus elicited variable responses between hemispheres in VLF band and task-evoked temporal effect in VLF, myogenic and respiratory bands, while hypercapnic stimulus induced a global response across both hemispheres.","container-title":"Scientific Reports","DOI":"10.1038/s41598-021-02076-7","ISSN":"2045-2322","issue":"1","journalAbbreviation":"Sci Rep","language":"en","page":"23457","source":"DOI.org (Crossref)","title":"Evaluation of fNIRS signal components elicited by cognitive and hypercapnic stimuli","volume":"11","author":[{"family":"Reddy","given":"Pratusha"},{"family":"Izzetoglu","given":"Meltem"},{"family":"Shewokis","given":"Patricia A."},{"family":"Sangobowale","given":"Michael"},{"family":"Diaz-Arrastia","given":"Ramon"},{"family":"Izzetoglu","given":"Kurtulus"}],"issued":{"date-parts":[["2021",12,6]]}}},{"id":2183,"uris":["http://zotero.org/users/764649/items/FIV24Y3S"],"itemData":{"id":2183,"type":"article-journal","abstract":"Objective: Respiration is recognized as a systematic physiological interference in functional near-infrared spectroscopy (fNIRS). However, it remains unanswered as to whether it is possible to estimate the respiratory rate (RR) from such interference. Undoubtedly, RR estimation from fNIRS can provide complementary information that can be used alongside the cerebral activity analysis, e.g., sport studies. Thus, the objective of this paper is to propose a method for RR estimation from fNIRS. Our primary presumption is that changes in the baseline wander of oxygenated hemoglobin concentration (O2 Hb) signal are related to RR. Methods: fNIRS and respiratory signals were concurrently collected from subjects during controlled breathing tasks at a constant rate from 0.1 Hz to 0.4 Hz. Firstly, the signal quality index algorithm is employed to select the best O2 Hb signal, and then a band-pass ﬁlter with cut-off frequencies from 0.05 to 2 Hz is used to remove very low- and high-frequency artifacts. Secondly, troughs of the ﬁltered O2 Hb signal are localized for synthesizing the baseline wander (S1) using cubic spline interpolation. Finally, the fast Fourier transform of the S1 signal is computed, and its dominant frequency is considered as RR. In this paper, two different datasets were employed, where the ﬁrst one was used for the parameter adjustment of the proposed method, and the second one was solely used for testing. Results: The low mean absolute error between the reference and estimated RRs for the ﬁrst and second datasets (2.6 and 1.3 breaths per minute, respectively) indicates the feasibility of the proposed method for RR estimation from fNIRS. Signiﬁcance: This paper provides a novel view on the respiration interference as a source of complementary information in fNIRS.","container-title":"Biosensors","DOI":"10.3390/bios12121170","ISSN":"2079-6374","issue":"12","journalAbbreviation":"Biosensors","language":"en","page":"1170","source":"DOI.org (Crossref)","title":"Estimation of Respiratory Rate from Functional Near-Infrared Spectroscopy (fNIRS): A New Perspective on Respiratory Interference","title-short":"Estimation of Respiratory Rate from Functional Near-Infrared Spectroscopy (fNIRS)","volume":"12","author":[{"family":"Hakimi","given":"Naser"},{"family":"Shahbakhti","given":"Mohammad"},{"family":"Sappia","given":"Sofia"},{"family":"Horschig","given":"Jörn M."},{"family":"Bronkhorst","given":"Mathijs"},{"family":"Floor-Westerdijk","given":"Marianne"},{"family":"Valenza","given":"Gaetano"},{"family":"Dudink","given":"Jeroen"},{"family":"Colier","given":"Willy N. J. M."}],"issued":{"date-parts":[["2022",12,14]]}}},{"id":2181,"uris":["http://zotero.org/users/764649/items/CEX99YDJ"],"itemData":{"id":2181,"type":"article-journal","abstract":"Abstract\n            Recent studies have established that cardiac and respiratory phases can modulate perception and related neural dynamics. While heart rate and respiratory sinus arrhythmia possibly affect interoception biomarkers, such as heartbeat-evoked potentials, the relative changes in heart rate and cardiorespiratory dynamics in interoceptive processes have not yet been investigated. In this study, we investigated the variation in heart and breathing rates, as well as higher functional dynamics including cardiorespiratory correlation and frontal hemodynamics measured with fNIRS, during a heartbeat counting task. To further investigate the functional physiology linked to changes in vagal activity caused by specific breathing rates, we performed the heartbeat counting task together with a controlled breathing rate task. The results demonstrate that focusing on heartbeats decreases breathing and heart rates in comparison, which may be part of the physiological mechanisms related to “listening” to the heart, the focus of attention, and self-awareness. Focusing on heartbeats was also observed to increase frontal connectivity, supporting the role of frontal structures in the neural monitoring of visceral inputs. However, cardiorespiratory correlation is affected by both heartbeats counting and controlled breathing tasks. Based on these results, we concluded that variations in heart and breathing rates are confounding factors in the assessment of interoceptive abilities and relative fluctuations in breathing and heart rates should be considered to be a mode of covariate measurement of interoceptive processes.","container-title":"Scientific Reports","DOI":"10.1038/s41598-022-25119-z","ISSN":"2045-2322","issue":"1","journalAbbreviation":"Sci Rep","language":"en","page":"20701","source":"DOI.org (Crossref)","title":"Confounding effects of heart rate, breathing rate, and frontal fNIRS on interoception","volume":"12","author":[{"family":"Candia-Rivera","given":"Diego"},{"family":"Sappia","given":"M. Sofía"},{"family":"Horschig","given":"Jörn M."},{"family":"Colier","given":"Willy N. J. M."},{"family":"Valenza","given":"Gaetano"}],"issued":{"date-parts":[["2022",11,30]]}}}],"schema":"https://github.com/citation-style-language/schema/raw/master/csl-citation.json"} </w:instrText>
      </w:r>
      <w:r w:rsidR="0009402B">
        <w:fldChar w:fldCharType="separate"/>
      </w:r>
      <w:r w:rsidR="008E27C2" w:rsidRPr="008E27C2">
        <w:rPr>
          <w:szCs w:val="24"/>
        </w:rPr>
        <w:t>[13]–[15]</w:t>
      </w:r>
      <w:r w:rsidR="0009402B">
        <w:fldChar w:fldCharType="end"/>
      </w:r>
      <w:r w:rsidR="0009402B">
        <w:t>.</w:t>
      </w:r>
      <w:r w:rsidR="00F07C76">
        <w:t xml:space="preserve"> Since many applications of fNIRS measure changes</w:t>
      </w:r>
      <w:r w:rsidR="00104092">
        <w:t xml:space="preserve"> in HbO/</w:t>
      </w:r>
      <w:r w:rsidR="00F07C76">
        <w:t xml:space="preserve">HbR </w:t>
      </w:r>
      <w:r w:rsidR="00104092">
        <w:t xml:space="preserve">from a baseline calculated by the experimenter </w:t>
      </w:r>
      <w:r w:rsidR="00F07C76">
        <w:t xml:space="preserve">rather than </w:t>
      </w:r>
      <w:r w:rsidR="00104092">
        <w:t xml:space="preserve">their absolute quantities, respiration-induced changes in HbO/HbR </w:t>
      </w:r>
      <w:r w:rsidR="00E753F4">
        <w:t xml:space="preserve">can </w:t>
      </w:r>
      <w:r w:rsidR="00104092">
        <w:t xml:space="preserve">result in inconsistent baselines, and potentially </w:t>
      </w:r>
      <w:r w:rsidR="00FB5218">
        <w:t xml:space="preserve">spurious </w:t>
      </w:r>
      <w:r w:rsidR="00104092">
        <w:t>results</w:t>
      </w:r>
      <w:r w:rsidR="00FB5218">
        <w:t xml:space="preserve"> such as false positives and false negatives </w:t>
      </w:r>
      <w:r w:rsidR="00FB5218">
        <w:fldChar w:fldCharType="begin"/>
      </w:r>
      <w:r w:rsidR="008E27C2">
        <w:instrText xml:space="preserve"> ADDIN ZOTERO_ITEM CSL_CITATION {"citationID":"CcUjh1Xu","properties":{"formattedCitation":"[16]","plainCitation":"[16]","noteIndex":0},"citationItems":[{"id":2196,"uris":["http://zotero.org/users/764649/items/6VTSVUR2"],"itemData":{"id":2196,"type":"article-journal","abstract":"We highlight a significant problem that needs to be considered and addressed when performing functional near-infrared spectroscopy (fNIRS) studies, namely the possibility of inadvertently measuring fNIRS hemodynamic responses that are not due to neurovascular coupling. These can be misinterpreted as brain activity, i.e., “false positives” (errors caused by wrongly assigning a detected hemodynamic response to functional brain activity), or mask brain activity, i.e., “false negatives” (errors caused by wrongly assigning a not observed hemodynamic response in the presence of functional brain activity). Here, we summarize the possible physiological origins of these issues and suggest ways to avoid and remove them.","container-title":"Neurophotonics","DOI":"10.1117/1.NPh.3.3.031405","ISSN":"2329-423X","issue":"3","journalAbbreviation":"Neurophotonics","note":"PMID: 27054143\nPMCID: PMC4791590","page":"031405","source":"PubMed Central","title":"False positives and false negatives in functional near-infrared spectroscopy: issues, challenges, and the way forward","title-short":"False positives and false negatives in functional near-infrared spectroscopy","volume":"3","author":[{"family":"Tachtsidis","given":"Ilias"},{"family":"Scholkmann","given":"Felix"}],"issued":{"date-parts":[["2016",7]]}}}],"schema":"https://github.com/citation-style-language/schema/raw/master/csl-citation.json"} </w:instrText>
      </w:r>
      <w:r w:rsidR="00FB5218">
        <w:fldChar w:fldCharType="separate"/>
      </w:r>
      <w:r w:rsidR="008E27C2" w:rsidRPr="008E27C2">
        <w:t>[16]</w:t>
      </w:r>
      <w:r w:rsidR="00FB5218">
        <w:fldChar w:fldCharType="end"/>
      </w:r>
      <w:r w:rsidR="00104092">
        <w:t>.</w:t>
      </w:r>
      <w:r w:rsidR="00201110">
        <w:t xml:space="preserve"> To complicate matters further, respiration-related oscillations in HbO/HbR occur at a similar frequency range as hemodynamic response functions, meaning that they cannot simply be removed using a band-pass filter </w:t>
      </w:r>
      <w:r w:rsidR="00201110">
        <w:fldChar w:fldCharType="begin"/>
      </w:r>
      <w:r w:rsidR="008E27C2">
        <w:instrText xml:space="preserve"> ADDIN ZOTERO_ITEM CSL_CITATION {"citationID":"algqFRkQ","properties":{"formattedCitation":"[17]","plainCitation":"[17]","noteIndex":0},"citationItems":[{"id":2194,"uris":["http://zotero.org/users/764649/items/M85Y7WSV"],"itemData":{"id":2194,"type":"article-journal","abstract":"Analysis of cerebral hemodynamics reveals a wide spectrum of oscillations ranging from 0.0095 to 2 Hz. While most of these oscillations can be filtered out during analysis of functional near-infrared spectroscopy (fNIRS) signals when estimating stimulus evoked hemodynamic responses, oscillations around 0.1 Hz are an exception. This is due to the fact that they share a common spectral range with typical stimulus evoked hemodynamic responses from the brain. Here we investigate the effect of hemodynamic oscillations around 0.1 Hz on the estimation of hemodynamic response functions from fNIRS data. Our results show that for an expected response of ~1 µM in oxygenated hemoglobin concentration (HbO), Mayer wave oscillations with an amplitude &gt; ~1 µM at 0.1 Hz reduce the accuracy of the estimated response as quantified by a 3 fold increase in the mean squared error and decrease in correlation (R2 below 0.78) when compared to the true HRF. These results indicate that the amplitude of oscillations at 0.1 Hz can serve as an objective metric of the expected HRF estimation accuracy. In addition, we investigated the effect of short separation regression on the recovered HRF, and found that this improves the recovered HRF when large amplitude 0.1 Hz oscillations are present in fNIRS data. We suspect that the development of other filtering strategies may provide even further improvement.","container-title":"Biomedical Optics Express","DOI":"10.1364/BOE.7.003078","ISSN":"2156-7085","issue":"8","journalAbbreviation":"Biomed Opt Express","note":"PMID: 27570699\nPMCID: PMC4986815","page":"3078-3088","source":"PubMed Central","title":"Mayer waves reduce the accuracy of estimated hemodynamic response functions in functional near-infrared spectroscopy","volume":"7","author":[{"family":"Yücel","given":"Meryem A."},{"family":"Selb","given":"Juliette"},{"family":"Aasted","given":"Christopher M."},{"family":"Lin","given":"Pei-Yi"},{"family":"Borsook","given":"David"},{"family":"Becerra","given":"Lino"},{"family":"Boas","given":"David A."}],"issued":{"date-parts":[["2016",7,22]]}}}],"schema":"https://github.com/citation-style-language/schema/raw/master/csl-citation.json"} </w:instrText>
      </w:r>
      <w:r w:rsidR="00201110">
        <w:fldChar w:fldCharType="separate"/>
      </w:r>
      <w:r w:rsidR="008E27C2" w:rsidRPr="008E27C2">
        <w:t>[17]</w:t>
      </w:r>
      <w:r w:rsidR="00201110">
        <w:fldChar w:fldCharType="end"/>
      </w:r>
      <w:r w:rsidR="00201110">
        <w:t>.</w:t>
      </w:r>
      <w:r w:rsidR="00FB5218">
        <w:t xml:space="preserve"> One potential approach to circumvent this problem is to instruct subjects to breath in a specific manner while performing the task </w:t>
      </w:r>
      <w:r w:rsidR="00FB5218">
        <w:fldChar w:fldCharType="begin"/>
      </w:r>
      <w:r w:rsidR="008E27C2">
        <w:instrText xml:space="preserve"> ADDIN ZOTERO_ITEM CSL_CITATION {"citationID":"g8wCEL2C","properties":{"formattedCitation":"[18]","plainCitation":"[18]","noteIndex":0},"citationItems":[{"id":2177,"uris":["http://zotero.org/users/764649/items/QJXNS5D3"],"itemData":{"id":2177,"type":"article-journal","abstract":"Sustained attention is a fundamental ability ensuring effective cognitive processing and can be enhanced by meditation practice. However, keeping a focused meditative state is challenging for novices because involuntary mind-wandering frequently occurs during their practice. Inspired by the potential of force-control tasks in invoking internal somatic attention, we proposed a haptics-assisted meditation (HAM) to help reduce mindwandering and enhance attention. During HAM, participants were instructed to maintain awareness on the respiration and meanwhile adjust bimanual ﬁngertip pressures to keep synchronized with the respiration. This paradigm required somatosensory attention as a physiological foundation, aiming to help novices meditate starting with the body and gradually gain essential meditation skills. A cross-sectional study on 12 novices indicated that the participants reported less mind-wandering during HAM compared with the classic breath-counting meditation (BCM). In a further longitudinal study, the experimental group with 10 novices showed signiﬁcantly improved performance in several attentional tests after 5 days’ practice of HAM. They tended to show more signiﬁcant improvements in a few tests than did the control group performing the 5-day BCM practice. To investigate the brain activities related to HAM, we applied functional near-infrared spectroscopy (fNIRS) to record cerebral hemodynamic responses from the prefrontal and sensorimotor cortices when performing HAM, and we assessed the changes in cerebral activation and functional connectivity (FC) after the 5-day HAM practice. The prefrontal and sensorimotor regions demonstrated a uniform activation when performing HAM, and there was a signiﬁcant increase in the right prefrontal activation after the practice. We also observed signiﬁcant changes in the FC between the brain regions related to the attention networks. These behavioral and neural ﬁndings together provided preliminary evidence for the effectiveness of HAM on attention enhancement in the early stage of meditation learning.","container-title":"Frontiers in Neuroscience","DOI":"10.3389/fnins.2019.01209","ISSN":"1662-453X","journalAbbreviation":"Front. Neurosci.","language":"en","page":"1209","source":"DOI.org (Crossref)","title":"Enhancing Attention by Synchronizing Respiration and Fingertip Pressure: A Pilot Study Using Functional Near-Infrared Spectroscopy","title-short":"Enhancing Attention by Synchronizing Respiration and Fingertip Pressure","volume":"13","author":[{"family":"Zheng","given":"Yi-Lei"},{"family":"Wang","given":"Dang-Xiao"},{"family":"Zhang","given":"Yu-Ru"},{"family":"Tang","given":"Yi-Yuan"}],"issued":{"date-parts":[["2019",11,12]]}}}],"schema":"https://github.com/citation-style-language/schema/raw/master/csl-citation.json"} </w:instrText>
      </w:r>
      <w:r w:rsidR="00FB5218">
        <w:fldChar w:fldCharType="separate"/>
      </w:r>
      <w:r w:rsidR="008E27C2" w:rsidRPr="008E27C2">
        <w:t>[18]</w:t>
      </w:r>
      <w:r w:rsidR="00FB5218">
        <w:fldChar w:fldCharType="end"/>
      </w:r>
      <w:r w:rsidR="00FB5218">
        <w:t xml:space="preserve">. </w:t>
      </w:r>
      <w:r w:rsidR="00E753F4">
        <w:t xml:space="preserve">Hence we propose an </w:t>
      </w:r>
      <w:r w:rsidR="00FB5218">
        <w:t xml:space="preserve">approach: </w:t>
      </w:r>
      <w:r w:rsidR="00A05F5A">
        <w:t>by</w:t>
      </w:r>
      <w:r w:rsidR="00FB5218">
        <w:t xml:space="preserve"> us</w:t>
      </w:r>
      <w:r w:rsidR="00A05F5A">
        <w:t>ing</w:t>
      </w:r>
      <w:r w:rsidR="00FB5218">
        <w:t xml:space="preserve"> a breathing sensor to the trigger the initiation of each trial</w:t>
      </w:r>
      <w:r w:rsidR="00E753F4">
        <w:t xml:space="preserve"> to ensure </w:t>
      </w:r>
      <w:r w:rsidR="00FB5218">
        <w:t xml:space="preserve">that each trial </w:t>
      </w:r>
      <w:r w:rsidR="00E753F4">
        <w:t xml:space="preserve">is </w:t>
      </w:r>
      <w:r w:rsidR="00181640">
        <w:t>synchronized with</w:t>
      </w:r>
      <w:r w:rsidR="00FB5218">
        <w:t xml:space="preserve"> the same phase of the </w:t>
      </w:r>
      <w:r w:rsidR="00E753F4">
        <w:t xml:space="preserve">subject’s </w:t>
      </w:r>
      <w:r w:rsidR="00FB5218">
        <w:t>respiratory cycle.</w:t>
      </w:r>
    </w:p>
    <w:p w14:paraId="18E35D10" w14:textId="3FF857E8" w:rsidR="00476E25" w:rsidRPr="005B520E" w:rsidRDefault="00476E25" w:rsidP="00C2692F">
      <w:pPr>
        <w:pStyle w:val="BodyText"/>
      </w:pPr>
      <w:r>
        <w:t xml:space="preserve">In this paper, we </w:t>
      </w:r>
      <w:r w:rsidR="00A76E91">
        <w:t xml:space="preserve">investigated </w:t>
      </w:r>
      <w:r w:rsidR="00E753F4">
        <w:t xml:space="preserve">the effects of </w:t>
      </w:r>
      <w:r w:rsidR="00A76E91">
        <w:t xml:space="preserve">synchronizing respiration trial onset timings </w:t>
      </w:r>
      <w:r w:rsidR="00E753F4">
        <w:t xml:space="preserve">using the proposed approach on </w:t>
      </w:r>
      <w:r w:rsidR="00A76E91">
        <w:t xml:space="preserve">the HbO </w:t>
      </w:r>
      <w:r w:rsidR="00E753F4">
        <w:t xml:space="preserve">changes </w:t>
      </w:r>
      <w:r w:rsidR="00A76E91">
        <w:t>in the context of a left</w:t>
      </w:r>
      <w:r w:rsidR="00181640">
        <w:t>-</w:t>
      </w:r>
      <w:r w:rsidR="00A76E91">
        <w:t>v</w:t>
      </w:r>
      <w:r w:rsidR="00181640">
        <w:t>ersus-</w:t>
      </w:r>
      <w:r w:rsidR="00A76E91">
        <w:t xml:space="preserve">right motor imagery </w:t>
      </w:r>
      <w:r w:rsidR="00851088">
        <w:t xml:space="preserve">(MI) </w:t>
      </w:r>
      <w:r w:rsidR="00A76E91">
        <w:t>task. We also explored how the stability</w:t>
      </w:r>
      <w:r w:rsidR="00230DA8">
        <w:t xml:space="preserve"> or dispersion</w:t>
      </w:r>
      <w:r w:rsidR="00A76E91">
        <w:t xml:space="preserve"> of HbO </w:t>
      </w:r>
      <w:r w:rsidR="00230DA8">
        <w:t xml:space="preserve">signals </w:t>
      </w:r>
      <w:r w:rsidR="00A76E91">
        <w:t xml:space="preserve">could potentially affect decoding accuracy across subjects, </w:t>
      </w:r>
      <w:r w:rsidR="00230DA8">
        <w:t xml:space="preserve">and discussed the </w:t>
      </w:r>
      <w:r w:rsidR="00A76E91">
        <w:t xml:space="preserve">implications in situations where </w:t>
      </w:r>
      <w:r w:rsidR="00E92EC8">
        <w:t>f</w:t>
      </w:r>
      <w:r w:rsidR="00A76E91">
        <w:t>NIRS</w:t>
      </w:r>
      <w:r w:rsidR="00230DA8">
        <w:t xml:space="preserve">-based </w:t>
      </w:r>
      <w:r w:rsidR="00A76E91">
        <w:t>BCIs</w:t>
      </w:r>
      <w:r w:rsidR="00230DA8">
        <w:t xml:space="preserve"> are used</w:t>
      </w:r>
      <w:r>
        <w:t>.</w:t>
      </w:r>
    </w:p>
    <w:p w14:paraId="10F340DA" w14:textId="77777777" w:rsidR="002C7565" w:rsidRDefault="002C7565" w:rsidP="00FB5218">
      <w:pPr>
        <w:pStyle w:val="Heading1"/>
        <w:spacing w:before="120" w:after="120"/>
      </w:pPr>
      <w:r>
        <w:t>Methods</w:t>
      </w:r>
    </w:p>
    <w:p w14:paraId="58E0D9C3" w14:textId="77777777" w:rsidR="0093184E" w:rsidRDefault="0093184E" w:rsidP="0093184E">
      <w:pPr>
        <w:pStyle w:val="Heading2"/>
        <w:keepLines/>
        <w:tabs>
          <w:tab w:val="num" w:pos="288"/>
        </w:tabs>
        <w:autoSpaceDE/>
        <w:autoSpaceDN/>
        <w:ind w:left="288" w:hanging="288"/>
      </w:pPr>
      <w:r>
        <w:t>Experiment procedure</w:t>
      </w:r>
    </w:p>
    <w:p w14:paraId="670EB910" w14:textId="7721E927" w:rsidR="0093184E" w:rsidRDefault="0093184E" w:rsidP="000C1331">
      <w:pPr>
        <w:pStyle w:val="BodyText"/>
        <w:spacing w:after="60"/>
      </w:pPr>
      <w:r>
        <w:t xml:space="preserve">The study was approved by the Institutional Review Board at the A*STAR (Agency for Science, Technology and Research), Singapore. Ten healthy </w:t>
      </w:r>
      <w:r w:rsidR="00211B8A">
        <w:t xml:space="preserve">adult </w:t>
      </w:r>
      <w:r>
        <w:t>subjects (</w:t>
      </w:r>
      <w:r w:rsidR="00261E24">
        <w:t>4</w:t>
      </w:r>
      <w:r w:rsidRPr="00261E24">
        <w:t xml:space="preserve"> </w:t>
      </w:r>
      <w:r w:rsidR="00261E24">
        <w:t>fe</w:t>
      </w:r>
      <w:r w:rsidRPr="00261E24">
        <w:t xml:space="preserve">males, </w:t>
      </w:r>
      <w:r w:rsidR="00261E24">
        <w:t>6</w:t>
      </w:r>
      <w:r w:rsidRPr="00261E24">
        <w:t xml:space="preserve"> males</w:t>
      </w:r>
      <w:r>
        <w:t xml:space="preserve">) gave informed consent and </w:t>
      </w:r>
      <w:r w:rsidR="0086478B">
        <w:t xml:space="preserve">participated </w:t>
      </w:r>
      <w:r>
        <w:t xml:space="preserve">in the </w:t>
      </w:r>
      <w:proofErr w:type="spellStart"/>
      <w:proofErr w:type="gramStart"/>
      <w:r>
        <w:t>experiment.We</w:t>
      </w:r>
      <w:proofErr w:type="spellEnd"/>
      <w:proofErr w:type="gramEnd"/>
      <w:r>
        <w:t xml:space="preserve"> used a multichannel NIRS instrument NIRSport2 (</w:t>
      </w:r>
      <w:proofErr w:type="spellStart"/>
      <w:r w:rsidRPr="00681367">
        <w:t>NIRx</w:t>
      </w:r>
      <w:proofErr w:type="spellEnd"/>
      <w:r w:rsidRPr="00681367">
        <w:t xml:space="preserve"> </w:t>
      </w:r>
      <w:proofErr w:type="spellStart"/>
      <w:r w:rsidRPr="00681367">
        <w:t>Medizintechnik</w:t>
      </w:r>
      <w:proofErr w:type="spellEnd"/>
      <w:r w:rsidRPr="00681367">
        <w:t xml:space="preserve"> GmbH</w:t>
      </w:r>
      <w:r>
        <w:t xml:space="preserve">) for fNIRS data collection. The device includes 8 illuminator and 8 detector optodes. </w:t>
      </w:r>
      <w:r w:rsidR="00423DBF">
        <w:t xml:space="preserve">We </w:t>
      </w:r>
      <w:r w:rsidR="00242D67">
        <w:t xml:space="preserve">used </w:t>
      </w:r>
      <w:r w:rsidR="00423DBF">
        <w:t xml:space="preserve">a customized cap to collect </w:t>
      </w:r>
      <w:r w:rsidR="00242D67">
        <w:t xml:space="preserve">multimodal </w:t>
      </w:r>
      <w:r w:rsidR="00423DBF">
        <w:t xml:space="preserve">EEG and fNIRS data simultaneously. Each </w:t>
      </w:r>
      <w:proofErr w:type="spellStart"/>
      <w:r w:rsidR="00242D67">
        <w:t>optode</w:t>
      </w:r>
      <w:proofErr w:type="spellEnd"/>
      <w:r w:rsidR="00242D67">
        <w:t xml:space="preserve"> </w:t>
      </w:r>
      <w:r w:rsidR="00423DBF">
        <w:t>pair</w:t>
      </w:r>
      <w:r>
        <w:t xml:space="preserve"> w</w:t>
      </w:r>
      <w:r w:rsidR="00AF6662">
        <w:t>as</w:t>
      </w:r>
      <w:r>
        <w:t xml:space="preserve"> </w:t>
      </w:r>
      <w:r w:rsidR="00423DBF">
        <w:t xml:space="preserve">placed </w:t>
      </w:r>
      <w:r>
        <w:t xml:space="preserve">at a </w:t>
      </w:r>
      <w:r w:rsidR="00423DBF">
        <w:t xml:space="preserve">fixed </w:t>
      </w:r>
      <w:r w:rsidR="00361150">
        <w:t xml:space="preserve">distance of </w:t>
      </w:r>
      <w:r w:rsidR="00423DBF">
        <w:t>3</w:t>
      </w:r>
      <w:r w:rsidR="00361150">
        <w:t xml:space="preserve"> </w:t>
      </w:r>
      <w:r w:rsidR="00423DBF">
        <w:t>cm.</w:t>
      </w:r>
      <w:r>
        <w:t xml:space="preserve"> The optodes were arranged on the left and right hemisphere above the motor cortex, around C3 </w:t>
      </w:r>
      <w:r w:rsidR="00242D67">
        <w:lastRenderedPageBreak/>
        <w:t xml:space="preserve">on the </w:t>
      </w:r>
      <w:r>
        <w:t xml:space="preserve">left hemisphere and C4 </w:t>
      </w:r>
      <w:r w:rsidR="00242D67">
        <w:t xml:space="preserve">on the </w:t>
      </w:r>
      <w:r>
        <w:t xml:space="preserve">right hemisphere </w:t>
      </w:r>
      <w:r w:rsidR="00242D67">
        <w:t xml:space="preserve">following the </w:t>
      </w:r>
      <w:r>
        <w:t xml:space="preserve">International 10-20 system. </w:t>
      </w:r>
      <w:r w:rsidR="00DE1BCA">
        <w:t>As each detector-illuminator pair formed one channel, f</w:t>
      </w:r>
      <w:r>
        <w:t xml:space="preserve">our </w:t>
      </w:r>
      <w:r w:rsidR="00423DBF">
        <w:t xml:space="preserve">pairs of </w:t>
      </w:r>
      <w:r>
        <w:t xml:space="preserve">illuminator and detector optodes </w:t>
      </w:r>
      <w:r w:rsidR="00091D4C">
        <w:t xml:space="preserve">constituted </w:t>
      </w:r>
      <w:r>
        <w:t xml:space="preserve">10 channels on each hemisphere. Near-infrared light </w:t>
      </w:r>
      <w:r w:rsidR="00423DBF">
        <w:t>emitted from</w:t>
      </w:r>
      <w:r>
        <w:t xml:space="preserve"> illuminator</w:t>
      </w:r>
      <w:r w:rsidR="003924A2">
        <w:t>s</w:t>
      </w:r>
      <w:r>
        <w:t xml:space="preserve"> passed through the </w:t>
      </w:r>
      <w:r w:rsidR="00361150">
        <w:t>cranium</w:t>
      </w:r>
      <w:r>
        <w:t xml:space="preserve"> and </w:t>
      </w:r>
      <w:r w:rsidR="00361150">
        <w:t>cortical</w:t>
      </w:r>
      <w:r>
        <w:t xml:space="preserve"> </w:t>
      </w:r>
      <w:r w:rsidR="003924A2">
        <w:t xml:space="preserve">tissue </w:t>
      </w:r>
      <w:r>
        <w:t xml:space="preserve">before </w:t>
      </w:r>
      <w:r w:rsidR="00423DBF">
        <w:t>reaching the</w:t>
      </w:r>
      <w:r>
        <w:t xml:space="preserve"> detector optodes. The </w:t>
      </w:r>
      <w:r w:rsidR="003924A2">
        <w:t xml:space="preserve">fNIRS </w:t>
      </w:r>
      <w:r>
        <w:t>data were</w:t>
      </w:r>
      <w:r w:rsidR="00361150">
        <w:t xml:space="preserve"> </w:t>
      </w:r>
      <w:r>
        <w:t xml:space="preserve">acquired at a sampling rate of 8.72 Hz. </w:t>
      </w:r>
      <w:r w:rsidR="00242D67">
        <w:t xml:space="preserve">This paper focused on the fNIRS </w:t>
      </w:r>
      <w:proofErr w:type="gramStart"/>
      <w:r w:rsidR="00242D67">
        <w:t>data</w:t>
      </w:r>
      <w:proofErr w:type="gramEnd"/>
      <w:r w:rsidR="00242D67">
        <w:t xml:space="preserve"> and the </w:t>
      </w:r>
      <w:r>
        <w:t>EEG data collected</w:t>
      </w:r>
      <w:r w:rsidR="00242D67">
        <w:t xml:space="preserve"> were not included in this </w:t>
      </w:r>
      <w:r w:rsidR="00CA5975">
        <w:t>investigation</w:t>
      </w:r>
      <w:r>
        <w:t xml:space="preserve"> </w:t>
      </w:r>
      <w:r w:rsidRPr="00E92EC8">
        <w:rPr>
          <w:sz w:val="16"/>
          <w:szCs w:val="16"/>
        </w:rPr>
        <w:t xml:space="preserve"> </w:t>
      </w:r>
      <w:r w:rsidR="00CF45B8" w:rsidRPr="006F1FC6">
        <w:rPr>
          <w:noProof/>
          <w:lang w:val="en-SG" w:eastAsia="en-SG"/>
        </w:rPr>
        <w:drawing>
          <wp:inline distT="0" distB="0" distL="0" distR="0" wp14:anchorId="0CDDB62B" wp14:editId="0A5EEFCB">
            <wp:extent cx="3105785" cy="2906636"/>
            <wp:effectExtent l="0" t="0" r="0" b="8255"/>
            <wp:docPr id="1" name="Picture 1" descr="C:\Users\brianp\Documents\Actually documents\Papers\2023 IEEE EMBC breathing and NIRS paper\Figures\1 Overview\1.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p\Documents\Actually documents\Papers\2023 IEEE EMBC breathing and NIRS paper\Figures\1 Overview\1. Overview.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854" b="2257"/>
                    <a:stretch/>
                  </pic:blipFill>
                  <pic:spPr bwMode="auto">
                    <a:xfrm>
                      <a:off x="0" y="0"/>
                      <a:ext cx="3106800" cy="2907586"/>
                    </a:xfrm>
                    <a:prstGeom prst="rect">
                      <a:avLst/>
                    </a:prstGeom>
                    <a:noFill/>
                    <a:ln>
                      <a:noFill/>
                    </a:ln>
                    <a:extLst>
                      <a:ext uri="{53640926-AAD7-44D8-BBD7-CCE9431645EC}">
                        <a14:shadowObscured xmlns:a14="http://schemas.microsoft.com/office/drawing/2010/main"/>
                      </a:ext>
                    </a:extLst>
                  </pic:spPr>
                </pic:pic>
              </a:graphicData>
            </a:graphic>
          </wp:inline>
        </w:drawing>
      </w:r>
    </w:p>
    <w:p w14:paraId="420D3690" w14:textId="67E95451" w:rsidR="0093184E" w:rsidRDefault="0093184E" w:rsidP="000C1331">
      <w:pPr>
        <w:pStyle w:val="FigureCaption0"/>
      </w:pPr>
      <w:r w:rsidRPr="00F069D9">
        <w:t xml:space="preserve">Figure 1. </w:t>
      </w:r>
      <w:r w:rsidR="00403D04">
        <w:t>Overview of the e</w:t>
      </w:r>
      <w:r>
        <w:t>xperimental set-up</w:t>
      </w:r>
      <w:r w:rsidRPr="00F069D9">
        <w:t>.</w:t>
      </w:r>
    </w:p>
    <w:p w14:paraId="7D549066" w14:textId="77777777" w:rsidR="00CF45B8" w:rsidRDefault="00CF45B8" w:rsidP="000C1331">
      <w:pPr>
        <w:pStyle w:val="FigureCaption0"/>
        <w:rPr>
          <w:i/>
        </w:rPr>
      </w:pPr>
    </w:p>
    <w:p w14:paraId="0C6F1E41" w14:textId="70C29C45" w:rsidR="002F71D6" w:rsidRPr="002F71D6" w:rsidRDefault="002F71D6" w:rsidP="000C1331">
      <w:pPr>
        <w:pStyle w:val="BodyText"/>
      </w:pPr>
      <w:r>
        <w:t>During the experiment</w:t>
      </w:r>
      <w:r w:rsidR="00242D67">
        <w:t xml:space="preserve"> data collection</w:t>
      </w:r>
      <w:r>
        <w:t>, the subjects sat on a chair in a quiet room, in front of a computer screen that displayed the stimuli. A respiration strain s</w:t>
      </w:r>
      <w:r w:rsidRPr="00615B68">
        <w:t xml:space="preserve">ensor </w:t>
      </w:r>
      <w:r>
        <w:t>(</w:t>
      </w:r>
      <w:r w:rsidRPr="00615B68">
        <w:t>SA9311M</w:t>
      </w:r>
      <w:r>
        <w:t xml:space="preserve">, </w:t>
      </w:r>
      <w:proofErr w:type="spellStart"/>
      <w:r>
        <w:t>ThoughtTech</w:t>
      </w:r>
      <w:proofErr w:type="spellEnd"/>
      <w:r>
        <w:t>) was mounted</w:t>
      </w:r>
      <w:r w:rsidRPr="00CC4604">
        <w:t xml:space="preserve"> on </w:t>
      </w:r>
      <w:r>
        <w:t xml:space="preserve">the subject’s </w:t>
      </w:r>
      <w:r w:rsidRPr="00CC4604">
        <w:t>abdomen</w:t>
      </w:r>
      <w:r>
        <w:t xml:space="preserve">. A single trial </w:t>
      </w:r>
      <w:r w:rsidR="00424C49">
        <w:t xml:space="preserve">contained </w:t>
      </w:r>
      <w:r>
        <w:t>a preparation period, an MI period</w:t>
      </w:r>
      <w:r w:rsidR="0096609D">
        <w:t>, and an inter-trial interval (ITI)</w:t>
      </w:r>
      <w:r>
        <w:t xml:space="preserve">. Each trial started with a 2 s preparation period, where an audio cue alerted the subject to get ready for the MI task. Following this, when the breathing sensor detected an </w:t>
      </w:r>
      <w:r w:rsidR="00242D67">
        <w:t>inhalation</w:t>
      </w:r>
      <w:r>
        <w:t xml:space="preserve">, a cue </w:t>
      </w:r>
      <w:r w:rsidR="0096609D">
        <w:t>was</w:t>
      </w:r>
      <w:r w:rsidR="00242D67">
        <w:t xml:space="preserve"> displayed </w:t>
      </w:r>
      <w:r>
        <w:t>on the screen</w:t>
      </w:r>
      <w:r w:rsidR="00242D67">
        <w:t xml:space="preserve"> to </w:t>
      </w:r>
      <w:r>
        <w:t>instruct the subject to perform left</w:t>
      </w:r>
      <w:r w:rsidR="00424C49">
        <w:t xml:space="preserve">- </w:t>
      </w:r>
      <w:r w:rsidR="00245152">
        <w:t>or</w:t>
      </w:r>
      <w:r>
        <w:t xml:space="preserve"> right</w:t>
      </w:r>
      <w:r w:rsidR="00424C49">
        <w:t>-</w:t>
      </w:r>
      <w:r w:rsidR="00261E24">
        <w:t xml:space="preserve">hand </w:t>
      </w:r>
      <w:r w:rsidR="00407C61">
        <w:t>MI for 10 s</w:t>
      </w:r>
      <w:r>
        <w:t xml:space="preserve">. </w:t>
      </w:r>
      <w:r w:rsidR="0096609D">
        <w:t xml:space="preserve">Finally, there was an ITI period, during which the subject fixated on a cross displayed on the screen for 10 s. </w:t>
      </w:r>
      <w:r>
        <w:t xml:space="preserve">Each subject </w:t>
      </w:r>
      <w:r w:rsidR="002E1587">
        <w:t xml:space="preserve">performed trials in </w:t>
      </w:r>
      <w:r>
        <w:t>four experimental blocks containing 40 trials</w:t>
      </w:r>
      <w:r w:rsidR="00245152">
        <w:t xml:space="preserve"> </w:t>
      </w:r>
      <w:r w:rsidR="00407C61">
        <w:t xml:space="preserve">each </w:t>
      </w:r>
      <w:r w:rsidR="00245152">
        <w:t>with equal numbers of left and right trials</w:t>
      </w:r>
      <w:r w:rsidR="00407C61">
        <w:t xml:space="preserve">. A total of </w:t>
      </w:r>
      <w:r>
        <w:t xml:space="preserve">160 trials </w:t>
      </w:r>
      <w:r w:rsidR="00407C61">
        <w:t xml:space="preserve">were collected from each </w:t>
      </w:r>
      <w:r>
        <w:t>subject.</w:t>
      </w:r>
    </w:p>
    <w:p w14:paraId="5033AABC" w14:textId="77777777" w:rsidR="0093184E" w:rsidRDefault="0093184E" w:rsidP="000C1331">
      <w:pPr>
        <w:pStyle w:val="Heading2"/>
        <w:ind w:hanging="144"/>
      </w:pPr>
      <w:r>
        <w:t>Breathing detection</w:t>
      </w:r>
    </w:p>
    <w:p w14:paraId="6929BD45" w14:textId="31F3E0DE" w:rsidR="0093184E" w:rsidRPr="00D4244B" w:rsidRDefault="00407C61" w:rsidP="000C1331">
      <w:pPr>
        <w:ind w:firstLine="144"/>
        <w:jc w:val="both"/>
      </w:pPr>
      <w:r>
        <w:t xml:space="preserve">Figure 2 illustrates the protocol of using the </w:t>
      </w:r>
      <w:r w:rsidR="0093184E">
        <w:t xml:space="preserve">breathing sensor in </w:t>
      </w:r>
      <w:r>
        <w:t xml:space="preserve">the experiment </w:t>
      </w:r>
      <w:r w:rsidR="0093184E">
        <w:t xml:space="preserve">setup. </w:t>
      </w:r>
      <w:r>
        <w:t>In our protocol, the cue to perform MI were triggered by the</w:t>
      </w:r>
      <w:r w:rsidR="00571B4F">
        <w:t xml:space="preserve"> inhalation phase of the</w:t>
      </w:r>
      <w:r>
        <w:t xml:space="preserve"> respiration cycle</w:t>
      </w:r>
      <w:r w:rsidR="00571B4F">
        <w:t>,</w:t>
      </w:r>
      <w:r>
        <w:t xml:space="preserve"> whereas</w:t>
      </w:r>
      <w:r w:rsidR="0093184E">
        <w:t xml:space="preserve"> </w:t>
      </w:r>
      <w:r>
        <w:t xml:space="preserve">MI cues </w:t>
      </w:r>
      <w:r w:rsidR="004C4CE1">
        <w:t xml:space="preserve">are not </w:t>
      </w:r>
      <w:r>
        <w:t xml:space="preserve">triggered by the </w:t>
      </w:r>
      <w:r w:rsidR="004C4CE1">
        <w:t>respiratory patterns</w:t>
      </w:r>
      <w:r>
        <w:t xml:space="preserve"> in commonly used BCI experimental protocols. </w:t>
      </w:r>
      <w:r w:rsidR="0093184E">
        <w:t xml:space="preserve">The respiration sensor </w:t>
      </w:r>
      <w:r>
        <w:t xml:space="preserve">is used to </w:t>
      </w:r>
      <w:r w:rsidR="0093184E">
        <w:t>detec</w:t>
      </w:r>
      <w:r w:rsidR="004C4CE1">
        <w:t>t</w:t>
      </w:r>
      <w:r w:rsidR="0093184E">
        <w:t xml:space="preserve"> abdominal expansion</w:t>
      </w:r>
      <w:r>
        <w:t xml:space="preserve"> or </w:t>
      </w:r>
      <w:r w:rsidR="0093184E">
        <w:t>contraction</w:t>
      </w:r>
      <w:r w:rsidR="004C4CE1">
        <w:t>,</w:t>
      </w:r>
      <w:r w:rsidR="0093184E">
        <w:t xml:space="preserve"> and </w:t>
      </w:r>
      <w:r>
        <w:t xml:space="preserve">the </w:t>
      </w:r>
      <w:r w:rsidR="0093184E">
        <w:t xml:space="preserve">output </w:t>
      </w:r>
      <w:r>
        <w:t xml:space="preserve">of this </w:t>
      </w:r>
      <w:r w:rsidR="0093184E">
        <w:t xml:space="preserve">respiration </w:t>
      </w:r>
      <w:r>
        <w:t xml:space="preserve">cycle is sent </w:t>
      </w:r>
      <w:r w:rsidR="0093184E">
        <w:t xml:space="preserve">to the computer </w:t>
      </w:r>
      <w:r>
        <w:t xml:space="preserve">via </w:t>
      </w:r>
      <w:r w:rsidR="0093184E">
        <w:t xml:space="preserve">a USB port. </w:t>
      </w:r>
      <w:r w:rsidR="004C4CE1">
        <w:t xml:space="preserve">We </w:t>
      </w:r>
      <w:r>
        <w:t xml:space="preserve">developed </w:t>
      </w:r>
      <w:r w:rsidR="004C4CE1">
        <w:t>a</w:t>
      </w:r>
      <w:r w:rsidR="0093184E">
        <w:t xml:space="preserve"> real-time peak detection algorithm to detect </w:t>
      </w:r>
      <w:r>
        <w:t xml:space="preserve">inhalation </w:t>
      </w:r>
      <w:r w:rsidR="0093184E">
        <w:t xml:space="preserve">and </w:t>
      </w:r>
      <w:r>
        <w:t xml:space="preserve">exhalation </w:t>
      </w:r>
      <w:r w:rsidR="004C4CE1">
        <w:t>during the respiratory cycle</w:t>
      </w:r>
      <w:r w:rsidR="0093184E">
        <w:t xml:space="preserve">. The cue for MI </w:t>
      </w:r>
      <w:r w:rsidR="004C4CE1">
        <w:t xml:space="preserve">was </w:t>
      </w:r>
      <w:r w:rsidR="0093184E">
        <w:t xml:space="preserve">displayed on the screen </w:t>
      </w:r>
      <w:r w:rsidR="004C4CE1">
        <w:t xml:space="preserve">when </w:t>
      </w:r>
      <w:r>
        <w:t xml:space="preserve">inhalation is detected by the algorithm </w:t>
      </w:r>
      <w:r w:rsidR="004C4CE1">
        <w:t>after the preparatory period</w:t>
      </w:r>
      <w:r w:rsidR="0093184E">
        <w:t>.</w:t>
      </w:r>
    </w:p>
    <w:p w14:paraId="5066C502" w14:textId="0139B0D2" w:rsidR="0084428E" w:rsidRDefault="000C1331" w:rsidP="000C1331">
      <w:r w:rsidRPr="000C1331">
        <w:rPr>
          <w:noProof/>
          <w:lang w:val="en-SG" w:eastAsia="en-SG"/>
        </w:rPr>
        <w:drawing>
          <wp:inline distT="0" distB="0" distL="0" distR="0" wp14:anchorId="156E6278" wp14:editId="132AAA8E">
            <wp:extent cx="3108960" cy="1514104"/>
            <wp:effectExtent l="0" t="0" r="0" b="0"/>
            <wp:docPr id="4" name="Picture 4" descr="C:\Users\brianp\Documents\Actually documents\Papers\2023 IEEE EMBC breathing and NIRS paper\Figures\2 MI trial timelines\2. MI trial tim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p\Documents\Actually documents\Papers\2023 IEEE EMBC breathing and NIRS paper\Figures\2 MI trial timelines\2. MI trial timelines.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941"/>
                    <a:stretch/>
                  </pic:blipFill>
                  <pic:spPr bwMode="auto">
                    <a:xfrm>
                      <a:off x="0" y="0"/>
                      <a:ext cx="3108960" cy="1514104"/>
                    </a:xfrm>
                    <a:prstGeom prst="rect">
                      <a:avLst/>
                    </a:prstGeom>
                    <a:noFill/>
                    <a:ln>
                      <a:noFill/>
                    </a:ln>
                    <a:extLst>
                      <a:ext uri="{53640926-AAD7-44D8-BBD7-CCE9431645EC}">
                        <a14:shadowObscured xmlns:a14="http://schemas.microsoft.com/office/drawing/2010/main"/>
                      </a:ext>
                    </a:extLst>
                  </pic:spPr>
                </pic:pic>
              </a:graphicData>
            </a:graphic>
          </wp:inline>
        </w:drawing>
      </w:r>
    </w:p>
    <w:p w14:paraId="258EC3EF" w14:textId="77777777" w:rsidR="00CA5975" w:rsidRDefault="00CA5975" w:rsidP="000C1331">
      <w:pPr>
        <w:pStyle w:val="FigureCaption0"/>
      </w:pPr>
    </w:p>
    <w:p w14:paraId="4B9F8D35" w14:textId="6AFA7606" w:rsidR="0093184E" w:rsidRDefault="004C4CE1" w:rsidP="000C1331">
      <w:pPr>
        <w:pStyle w:val="FigureCaption0"/>
      </w:pPr>
      <w:r w:rsidRPr="004C4CE1">
        <w:t xml:space="preserve">Figure 2. </w:t>
      </w:r>
      <w:r w:rsidR="00290212">
        <w:t xml:space="preserve">Timelines of </w:t>
      </w:r>
      <w:r w:rsidR="0084428E">
        <w:t xml:space="preserve">motor imagery (MI) </w:t>
      </w:r>
      <w:r w:rsidR="00290212">
        <w:t>trials</w:t>
      </w:r>
      <w:r w:rsidR="00B44AB6">
        <w:t>, not to scale</w:t>
      </w:r>
      <w:r w:rsidRPr="004C4CE1">
        <w:t>.</w:t>
      </w:r>
      <w:r w:rsidR="002F71D6">
        <w:t xml:space="preserve"> </w:t>
      </w:r>
      <w:r w:rsidR="0084428E">
        <w:t xml:space="preserve">After a 2 s preparation period, a cue </w:t>
      </w:r>
      <w:r w:rsidR="00B44AB6">
        <w:t>wa</w:t>
      </w:r>
      <w:r w:rsidR="0084428E">
        <w:t xml:space="preserve">s delivered for </w:t>
      </w:r>
      <w:r w:rsidR="00B44AB6">
        <w:t>10</w:t>
      </w:r>
      <w:r w:rsidR="0084428E">
        <w:t xml:space="preserve"> s, and subjects </w:t>
      </w:r>
      <w:r w:rsidR="00B44AB6">
        <w:t>wer</w:t>
      </w:r>
      <w:r w:rsidR="0084428E">
        <w:t xml:space="preserve">e instructed to perform MI while the cue </w:t>
      </w:r>
      <w:r w:rsidR="00B44AB6">
        <w:t>wa</w:t>
      </w:r>
      <w:r w:rsidR="0084428E">
        <w:t xml:space="preserve">s visible. Afterwards, there </w:t>
      </w:r>
      <w:r w:rsidR="00B44AB6">
        <w:t>wa</w:t>
      </w:r>
      <w:r w:rsidR="0084428E">
        <w:t xml:space="preserve">s a </w:t>
      </w:r>
      <w:r w:rsidR="00B44AB6">
        <w:t>10</w:t>
      </w:r>
      <w:r w:rsidR="0084428E">
        <w:t xml:space="preserve"> s inter-trial interval (ITI) before the next trial beg</w:t>
      </w:r>
      <w:r w:rsidR="00B44AB6">
        <w:t>a</w:t>
      </w:r>
      <w:r w:rsidR="0084428E">
        <w:t xml:space="preserve">n. </w:t>
      </w:r>
      <w:r w:rsidR="002F71D6" w:rsidRPr="00290212">
        <w:rPr>
          <w:b/>
        </w:rPr>
        <w:t>A)</w:t>
      </w:r>
      <w:r w:rsidR="002F71D6">
        <w:t xml:space="preserve"> In most</w:t>
      </w:r>
      <w:r w:rsidR="00403D04">
        <w:t xml:space="preserve"> other</w:t>
      </w:r>
      <w:r w:rsidR="002F71D6">
        <w:t xml:space="preserve"> fNIRS </w:t>
      </w:r>
      <w:r w:rsidR="0084428E">
        <w:t xml:space="preserve">MI </w:t>
      </w:r>
      <w:r w:rsidR="002F71D6">
        <w:t>experiments, trial timings are not synchronized with the subject’s respirat</w:t>
      </w:r>
      <w:r w:rsidR="0084428E">
        <w:t>ion</w:t>
      </w:r>
      <w:r w:rsidR="002F71D6">
        <w:t xml:space="preserve">. </w:t>
      </w:r>
      <w:r w:rsidR="0084428E" w:rsidRPr="0084428E">
        <w:t>B</w:t>
      </w:r>
      <w:r w:rsidR="0084428E">
        <w:t xml:space="preserve"> indicates the 2 s baseline period for fNIRS measurements. </w:t>
      </w:r>
      <w:r w:rsidR="002F71D6" w:rsidRPr="00290212">
        <w:rPr>
          <w:b/>
        </w:rPr>
        <w:t>B)</w:t>
      </w:r>
      <w:r w:rsidR="002F71D6">
        <w:t xml:space="preserve"> For our </w:t>
      </w:r>
      <w:r w:rsidR="0084428E">
        <w:t>fNIRS MI experiment</w:t>
      </w:r>
      <w:r w:rsidR="002F71D6">
        <w:t xml:space="preserve">, the cue to begin performing MI was only delivered when </w:t>
      </w:r>
      <w:r w:rsidR="0084428E">
        <w:t xml:space="preserve">inhalation </w:t>
      </w:r>
      <w:r w:rsidR="002F71D6">
        <w:t>was detected after the preparation period.</w:t>
      </w:r>
      <w:r w:rsidR="0084428E">
        <w:t xml:space="preserve"> In this example, there was a wait of x seconds. </w:t>
      </w:r>
      <w:r w:rsidR="0084428E" w:rsidRPr="0084428E">
        <w:t>B</w:t>
      </w:r>
      <w:r w:rsidR="0084428E" w:rsidRPr="0084428E">
        <w:rPr>
          <w:vertAlign w:val="subscript"/>
        </w:rPr>
        <w:t>2</w:t>
      </w:r>
      <w:r w:rsidR="0084428E">
        <w:t xml:space="preserve"> indicates the 2 s baseline period for fNIRS measurements. To determine if synchronizing trials with respiration resulted in more consistent baselines, we compared </w:t>
      </w:r>
      <w:r w:rsidR="0084428E" w:rsidRPr="0084428E">
        <w:t>B</w:t>
      </w:r>
      <w:r w:rsidR="0084428E" w:rsidRPr="0084428E">
        <w:rPr>
          <w:vertAlign w:val="subscript"/>
        </w:rPr>
        <w:t>2</w:t>
      </w:r>
      <w:r w:rsidR="0084428E">
        <w:t xml:space="preserve"> with </w:t>
      </w:r>
      <w:r w:rsidR="0084428E" w:rsidRPr="0084428E">
        <w:t>B</w:t>
      </w:r>
      <w:r w:rsidR="0084428E">
        <w:rPr>
          <w:vertAlign w:val="subscript"/>
        </w:rPr>
        <w:t>1</w:t>
      </w:r>
      <w:r w:rsidR="0084428E">
        <w:t>, the latter being the fNIRS baseline period if there were no respiration synchronization.</w:t>
      </w:r>
    </w:p>
    <w:p w14:paraId="68003CCC" w14:textId="77777777" w:rsidR="00CF45B8" w:rsidRPr="004C4CE1" w:rsidRDefault="00CF45B8" w:rsidP="000C1331">
      <w:pPr>
        <w:pStyle w:val="FigureCaption0"/>
      </w:pPr>
    </w:p>
    <w:p w14:paraId="667D44B0" w14:textId="550D288E" w:rsidR="00AA451F" w:rsidRDefault="00390DF2" w:rsidP="000C1331">
      <w:pPr>
        <w:ind w:firstLine="202"/>
        <w:jc w:val="both"/>
      </w:pPr>
      <w:r>
        <w:t xml:space="preserve">By performing the experiment using </w:t>
      </w:r>
      <w:r w:rsidR="00E56742">
        <w:t xml:space="preserve">respiration-synchronized </w:t>
      </w:r>
      <w:r w:rsidR="0093184E" w:rsidRPr="0062711F">
        <w:t>MI cue</w:t>
      </w:r>
      <w:r w:rsidR="00E56742">
        <w:t>s</w:t>
      </w:r>
      <w:r w:rsidR="0093184E" w:rsidRPr="0062711F">
        <w:t>, we expect</w:t>
      </w:r>
      <w:r w:rsidR="00A70003">
        <w:t>ed</w:t>
      </w:r>
      <w:r w:rsidR="0093184E" w:rsidRPr="0062711F">
        <w:t xml:space="preserve"> </w:t>
      </w:r>
      <w:r w:rsidR="00D57F1E">
        <w:t xml:space="preserve">to see </w:t>
      </w:r>
      <w:r w:rsidR="0093184E" w:rsidRPr="0062711F">
        <w:t xml:space="preserve">more consistent </w:t>
      </w:r>
      <w:r w:rsidR="006C1F99">
        <w:t>HbO levels at the start of the MI period (i.e.</w:t>
      </w:r>
      <w:r>
        <w:t xml:space="preserve"> less </w:t>
      </w:r>
      <w:r w:rsidR="00A70003">
        <w:t xml:space="preserve">HbO </w:t>
      </w:r>
      <w:r>
        <w:t>dispersion</w:t>
      </w:r>
      <w:r w:rsidR="006C1F99">
        <w:t>)</w:t>
      </w:r>
      <w:r>
        <w:t xml:space="preserve"> across the 160 single trials, which we hypothesize that will</w:t>
      </w:r>
      <w:r w:rsidR="0093184E" w:rsidRPr="0062711F">
        <w:t xml:space="preserve"> improve the </w:t>
      </w:r>
      <w:r>
        <w:t>MI decoding performance</w:t>
      </w:r>
      <w:r w:rsidR="0093184E" w:rsidRPr="0062711F">
        <w:t xml:space="preserve">. </w:t>
      </w:r>
      <w:r w:rsidR="00A70003">
        <w:t>To quantify this</w:t>
      </w:r>
      <w:r>
        <w:t xml:space="preserve"> objectively</w:t>
      </w:r>
      <w:r w:rsidR="00A70003">
        <w:t xml:space="preserve">, we compared </w:t>
      </w:r>
      <w:r w:rsidR="0093184E" w:rsidRPr="0062711F">
        <w:t xml:space="preserve">the distribution of </w:t>
      </w:r>
      <w:r w:rsidR="00A70003">
        <w:t xml:space="preserve">HbO </w:t>
      </w:r>
      <w:r w:rsidR="0093184E" w:rsidRPr="0062711F">
        <w:t>value</w:t>
      </w:r>
      <w:r w:rsidR="00A70003">
        <w:t>s</w:t>
      </w:r>
      <w:r w:rsidR="0093184E" w:rsidRPr="0062711F">
        <w:t xml:space="preserve"> for the 2 s </w:t>
      </w:r>
      <w:r w:rsidR="00A70003">
        <w:t xml:space="preserve">periods </w:t>
      </w:r>
      <w:r w:rsidR="00245152" w:rsidRPr="00245152">
        <w:rPr>
          <w:i/>
        </w:rPr>
        <w:t>B</w:t>
      </w:r>
      <w:r w:rsidR="00245152" w:rsidRPr="00245152">
        <w:rPr>
          <w:i/>
          <w:vertAlign w:val="subscript"/>
        </w:rPr>
        <w:t>1</w:t>
      </w:r>
      <w:r w:rsidR="0093184E" w:rsidRPr="0062711F">
        <w:t xml:space="preserve"> and </w:t>
      </w:r>
      <w:r w:rsidR="00245152" w:rsidRPr="00245152">
        <w:rPr>
          <w:i/>
        </w:rPr>
        <w:t>B</w:t>
      </w:r>
      <w:r w:rsidR="00245152">
        <w:rPr>
          <w:i/>
          <w:vertAlign w:val="subscript"/>
        </w:rPr>
        <w:t>2</w:t>
      </w:r>
      <w:r w:rsidR="0093184E" w:rsidRPr="0062711F">
        <w:t xml:space="preserve"> shown in Fig</w:t>
      </w:r>
      <w:r w:rsidR="00245152">
        <w:t>ure</w:t>
      </w:r>
      <w:r w:rsidR="0093184E" w:rsidRPr="0062711F">
        <w:t xml:space="preserve"> 2</w:t>
      </w:r>
      <w:r w:rsidR="00A70003">
        <w:t>(</w:t>
      </w:r>
      <w:r w:rsidR="00245152" w:rsidRPr="00245152">
        <w:rPr>
          <w:b/>
        </w:rPr>
        <w:t>B</w:t>
      </w:r>
      <w:r w:rsidR="00A70003">
        <w:t>)</w:t>
      </w:r>
      <w:r w:rsidR="0093184E" w:rsidRPr="0062711F">
        <w:t xml:space="preserve">. </w:t>
      </w:r>
      <w:r w:rsidR="00737A6E" w:rsidRPr="00245152">
        <w:rPr>
          <w:i/>
        </w:rPr>
        <w:t>B</w:t>
      </w:r>
      <w:r w:rsidR="00737A6E" w:rsidRPr="00245152">
        <w:rPr>
          <w:i/>
          <w:vertAlign w:val="subscript"/>
        </w:rPr>
        <w:t>1</w:t>
      </w:r>
      <w:r w:rsidR="00737A6E">
        <w:t xml:space="preserve"> </w:t>
      </w:r>
      <w:r>
        <w:t xml:space="preserve">yields </w:t>
      </w:r>
      <w:r w:rsidR="0093184E" w:rsidRPr="0062711F">
        <w:t xml:space="preserve">the </w:t>
      </w:r>
      <w:r w:rsidR="00A70003">
        <w:t>HbO</w:t>
      </w:r>
      <w:r w:rsidR="0093184E" w:rsidRPr="0062711F">
        <w:t xml:space="preserve"> </w:t>
      </w:r>
      <w:r>
        <w:t xml:space="preserve">values </w:t>
      </w:r>
      <w:r w:rsidR="00C65883">
        <w:t xml:space="preserve">for respiration-unsynchronized case </w:t>
      </w:r>
      <w:r>
        <w:t xml:space="preserve">commonly used </w:t>
      </w:r>
      <w:r w:rsidR="00C65883">
        <w:t xml:space="preserve">in </w:t>
      </w:r>
      <w:r>
        <w:t xml:space="preserve">BCI </w:t>
      </w:r>
      <w:r w:rsidR="0093184E" w:rsidRPr="0062711F">
        <w:t>protocol</w:t>
      </w:r>
      <w:r w:rsidR="00A70003">
        <w:t xml:space="preserve"> </w:t>
      </w:r>
      <w:r>
        <w:t xml:space="preserve">whereby the MI cues were not triggered by the respiration cycle. </w:t>
      </w:r>
      <w:r w:rsidR="00737A6E" w:rsidRPr="00245152">
        <w:rPr>
          <w:i/>
        </w:rPr>
        <w:t>B</w:t>
      </w:r>
      <w:r w:rsidR="00737A6E">
        <w:rPr>
          <w:i/>
          <w:vertAlign w:val="subscript"/>
        </w:rPr>
        <w:t>2</w:t>
      </w:r>
      <w:r w:rsidR="0093184E" w:rsidRPr="0062711F">
        <w:t xml:space="preserve"> </w:t>
      </w:r>
      <w:r>
        <w:t xml:space="preserve">yields </w:t>
      </w:r>
      <w:r w:rsidR="0093184E" w:rsidRPr="0062711F">
        <w:t xml:space="preserve">the </w:t>
      </w:r>
      <w:r w:rsidR="00A70003">
        <w:t>HbO</w:t>
      </w:r>
      <w:r w:rsidR="0093184E" w:rsidRPr="0062711F">
        <w:t xml:space="preserve"> </w:t>
      </w:r>
      <w:r>
        <w:t xml:space="preserve">values </w:t>
      </w:r>
      <w:r w:rsidR="00C65883">
        <w:t xml:space="preserve">for respiration-synchronized case </w:t>
      </w:r>
      <w:r>
        <w:t xml:space="preserve">that were obtained in our experiment whereby the MI cues were triggered by the respiration cycle. </w:t>
      </w:r>
      <w:r w:rsidR="0093184E">
        <w:t xml:space="preserve">We </w:t>
      </w:r>
      <w:r>
        <w:t xml:space="preserve">then </w:t>
      </w:r>
      <w:r w:rsidR="0093184E">
        <w:t>quantif</w:t>
      </w:r>
      <w:r w:rsidR="00A70003">
        <w:t>ied</w:t>
      </w:r>
      <w:r w:rsidR="0093184E">
        <w:t xml:space="preserve"> the difference </w:t>
      </w:r>
      <w:r>
        <w:t xml:space="preserve">between these two </w:t>
      </w:r>
      <w:r w:rsidR="00C65883">
        <w:t xml:space="preserve">cases </w:t>
      </w:r>
      <w:r w:rsidR="0093184E">
        <w:t xml:space="preserve">by comparing the </w:t>
      </w:r>
      <w:r w:rsidR="00C711B3">
        <w:t xml:space="preserve">HbO </w:t>
      </w:r>
      <w:r w:rsidR="00AE08B9">
        <w:t xml:space="preserve">variance </w:t>
      </w:r>
      <w:r w:rsidR="00C711B3">
        <w:t xml:space="preserve">in </w:t>
      </w:r>
      <w:r w:rsidR="00737A6E" w:rsidRPr="00245152">
        <w:rPr>
          <w:i/>
        </w:rPr>
        <w:t>B</w:t>
      </w:r>
      <w:r w:rsidR="00737A6E" w:rsidRPr="00245152">
        <w:rPr>
          <w:i/>
          <w:vertAlign w:val="subscript"/>
        </w:rPr>
        <w:t>1</w:t>
      </w:r>
      <w:r w:rsidR="0093184E">
        <w:t xml:space="preserve"> </w:t>
      </w:r>
      <w:r w:rsidR="00C711B3">
        <w:t xml:space="preserve">versus </w:t>
      </w:r>
      <w:r w:rsidR="00737A6E" w:rsidRPr="00245152">
        <w:rPr>
          <w:i/>
        </w:rPr>
        <w:t>B</w:t>
      </w:r>
      <w:r w:rsidR="00737A6E">
        <w:rPr>
          <w:i/>
          <w:vertAlign w:val="subscript"/>
        </w:rPr>
        <w:t>2</w:t>
      </w:r>
      <w:r w:rsidR="00C711B3">
        <w:t xml:space="preserve"> across 160 trials</w:t>
      </w:r>
      <w:r w:rsidR="00AA451F">
        <w:t>, defining it as the dispersion index</w:t>
      </w:r>
      <w:r w:rsidR="006B357A">
        <w:t xml:space="preserve"> </w:t>
      </w:r>
      <w:r w:rsidR="006B357A" w:rsidRPr="002C6F17">
        <w:rPr>
          <w:i/>
          <w:iCs/>
        </w:rPr>
        <w:t>D</w:t>
      </w:r>
      <w:r w:rsidR="006B357A">
        <w:t xml:space="preserve"> in equation (1) given by</w:t>
      </w:r>
    </w:p>
    <w:p w14:paraId="74D9C286" w14:textId="77777777" w:rsidR="005D63D1" w:rsidRDefault="005D63D1" w:rsidP="00AA451F">
      <w:pPr>
        <w:ind w:firstLine="202"/>
        <w:jc w:val="both"/>
      </w:pPr>
    </w:p>
    <w:p w14:paraId="637FE1AE" w14:textId="59C01A53" w:rsidR="00203831" w:rsidRDefault="00203831" w:rsidP="002C6F17">
      <w:pPr>
        <w:keepNext/>
        <w:tabs>
          <w:tab w:val="center" w:pos="2410"/>
          <w:tab w:val="right" w:pos="4820"/>
        </w:tabs>
        <w:ind w:right="76"/>
      </w:pPr>
      <w:r>
        <w:rPr>
          <w:iCs/>
        </w:rPr>
        <w:tab/>
      </w:r>
      <m:oMath>
        <m:r>
          <w:rPr>
            <w:rFonts w:ascii="Cambria Math" w:hAnsi="Cambria Math"/>
          </w:rPr>
          <m:t>D</m:t>
        </m: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t</m:t>
                    </m:r>
                  </m:sub>
                </m:sSub>
              </m:sup>
              <m:e>
                <m:sSup>
                  <m:sSupPr>
                    <m:ctrlPr>
                      <w:rPr>
                        <w:rFonts w:ascii="Cambria Math" w:hAnsi="Cambria Math"/>
                        <w:i/>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sSub>
                              <m:sSubPr>
                                <m:ctrlPr>
                                  <w:rPr>
                                    <w:rFonts w:ascii="Cambria Math" w:hAnsi="Cambria Math"/>
                                  </w:rPr>
                                </m:ctrlPr>
                              </m:sSubPr>
                              <m:e>
                                <m:r>
                                  <w:rPr>
                                    <w:rFonts w:ascii="Cambria Math" w:hAnsi="Cambria Math"/>
                                  </w:rPr>
                                  <m:t>B</m:t>
                                </m:r>
                              </m:e>
                              <m:sub>
                                <m:r>
                                  <m:rPr>
                                    <m:sty m:val="p"/>
                                  </m:rPr>
                                  <w:rPr>
                                    <w:rFonts w:ascii="Cambria Math" w:hAnsi="Cambria Math"/>
                                  </w:rPr>
                                  <m:t>2</m:t>
                                </m:r>
                              </m:sub>
                            </m:sSub>
                          </m:sup>
                        </m:sSubSup>
                        <m:r>
                          <m:rPr>
                            <m:sty m:val="p"/>
                          </m:rP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sSub>
                              <m:sSubPr>
                                <m:ctrlPr>
                                  <w:rPr>
                                    <w:rFonts w:ascii="Cambria Math" w:hAnsi="Cambria Math"/>
                                  </w:rPr>
                                </m:ctrlPr>
                              </m:sSubPr>
                              <m:e>
                                <m:r>
                                  <w:rPr>
                                    <w:rFonts w:ascii="Cambria Math" w:hAnsi="Cambria Math"/>
                                  </w:rPr>
                                  <m:t>B</m:t>
                                </m:r>
                              </m:e>
                              <m:sub>
                                <m:r>
                                  <m:rPr>
                                    <m:sty m:val="p"/>
                                  </m:rPr>
                                  <w:rPr>
                                    <w:rFonts w:ascii="Cambria Math" w:hAnsi="Cambria Math"/>
                                  </w:rPr>
                                  <m:t>2</m:t>
                                </m:r>
                              </m:sub>
                            </m:sSub>
                          </m:sup>
                        </m:sSup>
                      </m:e>
                    </m:d>
                  </m:e>
                  <m:sup>
                    <m:r>
                      <w:rPr>
                        <w:rFonts w:ascii="Cambria Math" w:hAnsi="Cambria Math"/>
                      </w:rPr>
                      <m:t>2</m:t>
                    </m:r>
                  </m:sup>
                </m:sSup>
              </m:e>
            </m:nary>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t</m:t>
                    </m:r>
                  </m:sub>
                </m:sSub>
              </m:sup>
              <m:e>
                <m:sSup>
                  <m:sSupPr>
                    <m:ctrlPr>
                      <w:rPr>
                        <w:rFonts w:ascii="Cambria Math" w:hAnsi="Cambria Math"/>
                        <w:i/>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sSub>
                              <m:sSubPr>
                                <m:ctrlPr>
                                  <w:rPr>
                                    <w:rFonts w:ascii="Cambria Math" w:hAnsi="Cambria Math"/>
                                  </w:rPr>
                                </m:ctrlPr>
                              </m:sSubPr>
                              <m:e>
                                <m:r>
                                  <w:rPr>
                                    <w:rFonts w:ascii="Cambria Math" w:hAnsi="Cambria Math"/>
                                  </w:rPr>
                                  <m:t>B</m:t>
                                </m:r>
                              </m:e>
                              <m:sub>
                                <m:r>
                                  <m:rPr>
                                    <m:sty m:val="p"/>
                                  </m:rPr>
                                  <w:rPr>
                                    <w:rFonts w:ascii="Cambria Math" w:hAnsi="Cambria Math"/>
                                  </w:rPr>
                                  <m:t>1</m:t>
                                </m:r>
                              </m:sub>
                            </m:sSub>
                          </m:sup>
                        </m:sSubSup>
                        <m:r>
                          <m:rPr>
                            <m:sty m:val="p"/>
                          </m:rP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sSub>
                              <m:sSubPr>
                                <m:ctrlPr>
                                  <w:rPr>
                                    <w:rFonts w:ascii="Cambria Math" w:hAnsi="Cambria Math"/>
                                  </w:rPr>
                                </m:ctrlPr>
                              </m:sSubPr>
                              <m:e>
                                <m:r>
                                  <w:rPr>
                                    <w:rFonts w:ascii="Cambria Math" w:hAnsi="Cambria Math"/>
                                  </w:rPr>
                                  <m:t>B</m:t>
                                </m:r>
                              </m:e>
                              <m:sub>
                                <m:r>
                                  <m:rPr>
                                    <m:sty m:val="p"/>
                                  </m:rPr>
                                  <w:rPr>
                                    <w:rFonts w:ascii="Cambria Math" w:hAnsi="Cambria Math"/>
                                  </w:rPr>
                                  <m:t>1</m:t>
                                </m:r>
                              </m:sub>
                            </m:sSub>
                          </m:sup>
                        </m:sSup>
                      </m:e>
                    </m:d>
                  </m:e>
                  <m:sup>
                    <m:r>
                      <w:rPr>
                        <w:rFonts w:ascii="Cambria Math" w:hAnsi="Cambria Math"/>
                      </w:rPr>
                      <m:t>2</m:t>
                    </m:r>
                  </m:sup>
                </m:sSup>
              </m:e>
            </m:nary>
          </m:den>
        </m:f>
      </m:oMath>
      <w:r>
        <w:tab/>
        <w:t xml:space="preserve">( </w:t>
      </w:r>
      <w:fldSimple w:instr=" SEQ ( \* ARABIC ">
        <w:r w:rsidR="00CA5975">
          <w:rPr>
            <w:noProof/>
          </w:rPr>
          <w:t>1</w:t>
        </w:r>
      </w:fldSimple>
      <w:r>
        <w:t xml:space="preserve"> )</w:t>
      </w:r>
    </w:p>
    <w:p w14:paraId="7BD2F834" w14:textId="77777777" w:rsidR="00203831" w:rsidRDefault="00203831" w:rsidP="000A6EF1">
      <w:pPr>
        <w:jc w:val="both"/>
      </w:pPr>
    </w:p>
    <w:p w14:paraId="070AE9C8" w14:textId="3B31AD52" w:rsidR="00AA451F" w:rsidRDefault="000A6EF1" w:rsidP="002C6F17">
      <w:pPr>
        <w:jc w:val="both"/>
      </w:pPr>
      <w:r>
        <w:t xml:space="preserve">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t xml:space="preserve"> is the number of trials, </w:t>
      </w:r>
      <m:oMath>
        <m:sSubSup>
          <m:sSubSupPr>
            <m:ctrlPr>
              <w:rPr>
                <w:rFonts w:ascii="Cambria Math" w:hAnsi="Cambria Math"/>
                <w:i/>
              </w:rPr>
            </m:ctrlPr>
          </m:sSubSupPr>
          <m:e>
            <m:r>
              <w:rPr>
                <w:rFonts w:ascii="Cambria Math" w:hAnsi="Cambria Math"/>
              </w:rPr>
              <m:t>x</m:t>
            </m:r>
          </m:e>
          <m:sub>
            <m:r>
              <w:rPr>
                <w:rFonts w:ascii="Cambria Math" w:hAnsi="Cambria Math"/>
              </w:rPr>
              <m:t>i</m:t>
            </m:r>
          </m:sub>
          <m:sup>
            <m:sSub>
              <m:sSubPr>
                <m:ctrlPr>
                  <w:rPr>
                    <w:rFonts w:ascii="Cambria Math" w:hAnsi="Cambria Math"/>
                    <w:i/>
                  </w:rPr>
                </m:ctrlPr>
              </m:sSubPr>
              <m:e>
                <m:r>
                  <w:rPr>
                    <w:rFonts w:ascii="Cambria Math" w:hAnsi="Cambria Math"/>
                  </w:rPr>
                  <m:t>B</m:t>
                </m:r>
              </m:e>
              <m:sub>
                <m:r>
                  <w:rPr>
                    <w:rFonts w:ascii="Cambria Math" w:hAnsi="Cambria Math"/>
                  </w:rPr>
                  <m:t>1</m:t>
                </m:r>
              </m:sub>
            </m:sSub>
          </m:sup>
        </m:sSubSup>
      </m:oMath>
      <w:r>
        <w:t xml:space="preserve"> is the HbO values of the </w:t>
      </w:r>
      <w:proofErr w:type="spellStart"/>
      <w:r w:rsidRPr="002C6F17">
        <w:rPr>
          <w:i/>
          <w:iCs/>
        </w:rPr>
        <w:t>i</w:t>
      </w:r>
      <w:r w:rsidRPr="002C6F17">
        <w:rPr>
          <w:vertAlign w:val="superscript"/>
        </w:rPr>
        <w:t>th</w:t>
      </w:r>
      <w:proofErr w:type="spellEnd"/>
      <w:r>
        <w:t xml:space="preserve"> trial from segment </w:t>
      </w:r>
      <w:r w:rsidRPr="002C6F17">
        <w:rPr>
          <w:i/>
          <w:iCs/>
        </w:rPr>
        <w:t>B</w:t>
      </w:r>
      <w:r w:rsidRPr="002C6F17">
        <w:rPr>
          <w:vertAlign w:val="subscript"/>
        </w:rPr>
        <w:t>1</w:t>
      </w:r>
      <w: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i</m:t>
            </m:r>
          </m:sub>
          <m:sup>
            <m:sSub>
              <m:sSubPr>
                <m:ctrlPr>
                  <w:rPr>
                    <w:rFonts w:ascii="Cambria Math" w:hAnsi="Cambria Math"/>
                    <w:i/>
                  </w:rPr>
                </m:ctrlPr>
              </m:sSubPr>
              <m:e>
                <m:r>
                  <w:rPr>
                    <w:rFonts w:ascii="Cambria Math" w:hAnsi="Cambria Math"/>
                  </w:rPr>
                  <m:t>B</m:t>
                </m:r>
              </m:e>
              <m:sub>
                <m:r>
                  <w:rPr>
                    <w:rFonts w:ascii="Cambria Math" w:hAnsi="Cambria Math"/>
                  </w:rPr>
                  <m:t>2</m:t>
                </m:r>
              </m:sub>
            </m:sSub>
          </m:sup>
        </m:sSubSup>
      </m:oMath>
      <w:r>
        <w:t xml:space="preserve"> is the HbO values of the </w:t>
      </w:r>
      <w:proofErr w:type="spellStart"/>
      <w:r w:rsidRPr="00C0164E">
        <w:rPr>
          <w:i/>
          <w:iCs/>
        </w:rPr>
        <w:t>i</w:t>
      </w:r>
      <w:r w:rsidRPr="00C0164E">
        <w:rPr>
          <w:vertAlign w:val="superscript"/>
        </w:rPr>
        <w:t>th</w:t>
      </w:r>
      <w:proofErr w:type="spellEnd"/>
      <w:r>
        <w:t xml:space="preserve"> trial from segment </w:t>
      </w:r>
      <w:r w:rsidRPr="00C0164E">
        <w:rPr>
          <w:i/>
          <w:iCs/>
        </w:rPr>
        <w:t>B</w:t>
      </w:r>
      <w:r w:rsidRPr="00C0164E">
        <w:rPr>
          <w:vertAlign w:val="subscript"/>
        </w:rPr>
        <w:t>1</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sSub>
              <m:sSubPr>
                <m:ctrlPr>
                  <w:rPr>
                    <w:rFonts w:ascii="Cambria Math" w:hAnsi="Cambria Math"/>
                    <w:i/>
                  </w:rPr>
                </m:ctrlPr>
              </m:sSubPr>
              <m:e>
                <m:r>
                  <w:rPr>
                    <w:rFonts w:ascii="Cambria Math" w:hAnsi="Cambria Math"/>
                  </w:rPr>
                  <m:t>B</m:t>
                </m:r>
              </m:e>
              <m:sub>
                <m:r>
                  <w:rPr>
                    <w:rFonts w:ascii="Cambria Math" w:hAnsi="Cambria Math"/>
                  </w:rPr>
                  <m:t>1</m:t>
                </m:r>
              </m:sub>
            </m:sSub>
          </m:sup>
        </m:sSup>
      </m:oMath>
      <w:r>
        <w:t xml:space="preserve"> is the mean of the HbO values from segment B</w:t>
      </w:r>
      <w:r>
        <w:rPr>
          <w:vertAlign w:val="subscript"/>
        </w:rPr>
        <w:t>1</w:t>
      </w:r>
      <w:r>
        <w:t xml:space="preserve">, and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sSub>
              <m:sSubPr>
                <m:ctrlPr>
                  <w:rPr>
                    <w:rFonts w:ascii="Cambria Math" w:hAnsi="Cambria Math"/>
                    <w:i/>
                  </w:rPr>
                </m:ctrlPr>
              </m:sSubPr>
              <m:e>
                <m:r>
                  <w:rPr>
                    <w:rFonts w:ascii="Cambria Math" w:hAnsi="Cambria Math"/>
                  </w:rPr>
                  <m:t>B</m:t>
                </m:r>
              </m:e>
              <m:sub>
                <m:r>
                  <w:rPr>
                    <w:rFonts w:ascii="Cambria Math" w:hAnsi="Cambria Math"/>
                  </w:rPr>
                  <m:t>2</m:t>
                </m:r>
              </m:sub>
            </m:sSub>
          </m:sup>
        </m:sSup>
      </m:oMath>
      <w:r>
        <w:t xml:space="preserve"> is the mean of the HbO values from segment B</w:t>
      </w:r>
      <w:r w:rsidRPr="002C6F17">
        <w:rPr>
          <w:vertAlign w:val="subscript"/>
        </w:rPr>
        <w:t>2</w:t>
      </w:r>
    </w:p>
    <w:p w14:paraId="67BCD73B" w14:textId="77777777" w:rsidR="0093184E" w:rsidRDefault="0093184E" w:rsidP="0093184E">
      <w:pPr>
        <w:pStyle w:val="Heading2"/>
        <w:keepLines/>
        <w:tabs>
          <w:tab w:val="num" w:pos="288"/>
        </w:tabs>
        <w:autoSpaceDE/>
        <w:autoSpaceDN/>
        <w:ind w:left="288" w:hanging="288"/>
      </w:pPr>
      <w:r>
        <w:t>Data analysis</w:t>
      </w:r>
    </w:p>
    <w:p w14:paraId="5299D82F" w14:textId="7CFDB5CC" w:rsidR="0093184E" w:rsidRDefault="0025275F" w:rsidP="0093184E">
      <w:pPr>
        <w:pStyle w:val="BodyText"/>
      </w:pPr>
      <w:r>
        <w:t>C</w:t>
      </w:r>
      <w:r w:rsidR="0093184E">
        <w:t>hanges in</w:t>
      </w:r>
      <w:r w:rsidR="0093184E" w:rsidRPr="007F155D">
        <w:t xml:space="preserve"> </w:t>
      </w:r>
      <w:r w:rsidR="00E56742">
        <w:t>HbO and HbR</w:t>
      </w:r>
      <w:r w:rsidR="0093184E" w:rsidRPr="007F155D">
        <w:t xml:space="preserve"> </w:t>
      </w:r>
      <w:r w:rsidR="00E56742">
        <w:t xml:space="preserve">concentrations </w:t>
      </w:r>
      <w:r w:rsidR="00390DF2">
        <w:t xml:space="preserve">can be computed from </w:t>
      </w:r>
      <w:r w:rsidR="00E56742">
        <w:t>changes in optical density</w:t>
      </w:r>
      <w:r>
        <w:t xml:space="preserve"> </w:t>
      </w:r>
      <w:r w:rsidR="0020357D">
        <w:t>(</w:t>
      </w:r>
      <w:r>
        <w:t xml:space="preserve">denoted by </w:t>
      </w:r>
      <w:r w:rsidR="0093184E" w:rsidRPr="007F155D">
        <w:t>ΔOD</w:t>
      </w:r>
      <w:r w:rsidR="0020357D">
        <w:t>)</w:t>
      </w:r>
      <w:r>
        <w:t xml:space="preserve"> </w:t>
      </w:r>
      <w:r w:rsidR="0093184E" w:rsidRPr="00726DAA">
        <w:t>by applying</w:t>
      </w:r>
      <w:r w:rsidR="0093184E">
        <w:t xml:space="preserve"> the modified Beer–Lambert law</w:t>
      </w:r>
      <w:r w:rsidR="00E56742">
        <w:t>.</w:t>
      </w:r>
      <w:r w:rsidR="0093184E" w:rsidRPr="00726DAA">
        <w:t xml:space="preserve"> </w:t>
      </w:r>
      <w:r>
        <w:t>In this work, w</w:t>
      </w:r>
      <w:r w:rsidR="00E56742">
        <w:t xml:space="preserve">e </w:t>
      </w:r>
      <w:r>
        <w:t xml:space="preserve">only </w:t>
      </w:r>
      <w:r w:rsidR="00E56742">
        <w:t>used Hb</w:t>
      </w:r>
      <w:r w:rsidR="0093184E">
        <w:t>O</w:t>
      </w:r>
      <w:r w:rsidR="0093184E" w:rsidRPr="00726DAA">
        <w:t xml:space="preserve"> </w:t>
      </w:r>
      <w:r>
        <w:t xml:space="preserve">values </w:t>
      </w:r>
      <w:r w:rsidR="00E56742">
        <w:t xml:space="preserve">for our analyses </w:t>
      </w:r>
      <w:r w:rsidR="0093184E" w:rsidRPr="00726DAA">
        <w:t xml:space="preserve">because of their superior predictive performance compared to </w:t>
      </w:r>
      <w:r w:rsidR="00E56742">
        <w:t xml:space="preserve">HbR </w:t>
      </w:r>
      <w:r>
        <w:t>values</w:t>
      </w:r>
      <w:r w:rsidR="00AE08B9">
        <w:rPr>
          <w:color w:val="000000"/>
        </w:rPr>
        <w:t xml:space="preserve"> </w:t>
      </w:r>
      <w:r w:rsidR="00AE08B9">
        <w:rPr>
          <w:color w:val="000000"/>
        </w:rPr>
        <w:fldChar w:fldCharType="begin"/>
      </w:r>
      <w:r w:rsidR="008E27C2">
        <w:rPr>
          <w:color w:val="000000"/>
        </w:rPr>
        <w:instrText xml:space="preserve"> ADDIN ZOTERO_ITEM CSL_CITATION {"citationID":"8jOafwVB","properties":{"formattedCitation":"[19]","plainCitation":"[19]","noteIndex":0},"citationItems":[{"id":2199,"uris":["http://zotero.org/users/764649/items/3ZZANWDQ"],"itemData":{"id":2199,"type":"article","abstract":"Continuous-wave functional near-infrared spectroscopy (fNIRS) neuroimaging provides an estimate of relative changes in oxygenated and de-oxygenated hemoglobin content, from which regional neural activity is inferred. The relation between both signals is governed by neurovascular coupling mechanisms. However, the magnitude of concentration changes and the contribution of noise sources to each chromophore is unique. Subsequently, it is not apparent if either chromophore signal practically provides greater information about the underlying neural state and relation to an experimental condition. To assess this question objectively, we applied a machine-learning approach to four datasets and evaluated which hemoglobin signal best differentiated between experimental conditions. To further ensure the objective nature of the analysis, the algorithm utilized all samples from the epoched data rather than pre-selected features. Regardless of experimental task, brain region, or stimulus, the oxygenated hemoglobin signal was better able to differentiate between conditions than the de-oxygenated signal. Incorporating both signals into the analysis provided no additional improvement over oxygenated hemoglobin alone. These results indicate that oxyhemoglobin is the most informative fNIRS signal in relation to experimental condition.","DOI":"10.1101/2021.11.19.469225","language":"en","license":"© 2021, Posted by Cold Spring Harbor Laboratory. This pre-print is available under a Creative Commons License (Attribution-NonCommercial-NoDerivs 4.0 International), CC BY-NC-ND 4.0, as described at http://creativecommons.org/licenses/by-nc-nd/4.0/","note":"page: 2021.11.19.469225\nsection: New Results","publisher":"bioRxiv","source":"bioRxiv","title":"Oxygenated hemoglobin signal provides greater predictive performance of experimental condition than de-oxygenated","URL":"https://www.biorxiv.org/content/10.1101/2021.11.19.469225v1","author":[{"family":"Luke","given":"Robert"},{"family":"Shader","given":"Maureen J."},{"family":"Gramfort","given":"Alexandre"},{"family":"Larson","given":"Eric"},{"family":"Lee","given":"Adrian KC"},{"family":"McAlpine","given":"David"}],"accessed":{"date-parts":[["2023",1,20]]},"issued":{"date-parts":[["2021",11,20]]}}}],"schema":"https://github.com/citation-style-language/schema/raw/master/csl-citation.json"} </w:instrText>
      </w:r>
      <w:r w:rsidR="00AE08B9">
        <w:rPr>
          <w:color w:val="000000"/>
        </w:rPr>
        <w:fldChar w:fldCharType="separate"/>
      </w:r>
      <w:r w:rsidR="008E27C2" w:rsidRPr="008E27C2">
        <w:t>[19]</w:t>
      </w:r>
      <w:r w:rsidR="00AE08B9">
        <w:rPr>
          <w:color w:val="000000"/>
        </w:rPr>
        <w:fldChar w:fldCharType="end"/>
      </w:r>
      <w:r w:rsidR="0093184E" w:rsidRPr="00726DAA">
        <w:t>. The fNIRS data were band</w:t>
      </w:r>
      <w:r w:rsidR="0093184E">
        <w:t>-</w:t>
      </w:r>
      <w:r w:rsidR="0093184E" w:rsidRPr="00726DAA">
        <w:t xml:space="preserve">pass filtered with a Butterworth </w:t>
      </w:r>
      <w:r w:rsidR="00E56742" w:rsidRPr="00726DAA">
        <w:t>filter of</w:t>
      </w:r>
      <w:r w:rsidR="0093184E" w:rsidRPr="00726DAA">
        <w:t xml:space="preserve"> order 3 between 0.05 and 0.6</w:t>
      </w:r>
      <w:r w:rsidR="00E56742">
        <w:t>0</w:t>
      </w:r>
      <w:r w:rsidR="0093184E" w:rsidRPr="00726DAA">
        <w:t xml:space="preserve"> Hz to </w:t>
      </w:r>
      <w:r>
        <w:t xml:space="preserve">remove </w:t>
      </w:r>
      <w:r w:rsidR="0093184E" w:rsidRPr="00726DAA">
        <w:t xml:space="preserve">systemic </w:t>
      </w:r>
      <w:r w:rsidR="00E56742">
        <w:t>a</w:t>
      </w:r>
      <w:r w:rsidR="0093184E" w:rsidRPr="00726DAA">
        <w:t>rtifacts associated with pulses and very slow oscillations.</w:t>
      </w:r>
      <w:r w:rsidR="0093184E">
        <w:t xml:space="preserve"> </w:t>
      </w:r>
      <w:r>
        <w:t>The HbO data were then separately analy</w:t>
      </w:r>
      <w:r w:rsidR="0020357D">
        <w:t>z</w:t>
      </w:r>
      <w:r>
        <w:t xml:space="preserve">ed for </w:t>
      </w:r>
      <w:r w:rsidR="00E56742">
        <w:t>left</w:t>
      </w:r>
      <w:r>
        <w:t xml:space="preserve"> and </w:t>
      </w:r>
      <w:r w:rsidR="00E56742">
        <w:t>right MI.</w:t>
      </w:r>
    </w:p>
    <w:p w14:paraId="73077689" w14:textId="239EA631" w:rsidR="0093184E" w:rsidRDefault="00E56742" w:rsidP="0093184E">
      <w:pPr>
        <w:pStyle w:val="Heading2"/>
        <w:ind w:hanging="144"/>
      </w:pPr>
      <w:r>
        <w:lastRenderedPageBreak/>
        <w:t>Motor imagery classification</w:t>
      </w:r>
    </w:p>
    <w:p w14:paraId="4CDCB935" w14:textId="19CAA506" w:rsidR="0093184E" w:rsidRDefault="0093184E" w:rsidP="00211B8A">
      <w:pPr>
        <w:ind w:firstLine="144"/>
        <w:jc w:val="both"/>
      </w:pPr>
      <w:r>
        <w:t>H</w:t>
      </w:r>
      <w:r w:rsidR="00737A6E">
        <w:t>b</w:t>
      </w:r>
      <w:r>
        <w:t xml:space="preserve">O values from multiple channels along the time axis of an epoch </w:t>
      </w:r>
      <w:r w:rsidR="00FB7F7F">
        <w:t xml:space="preserve">can be used to </w:t>
      </w:r>
      <w:r>
        <w:t xml:space="preserve">form </w:t>
      </w:r>
      <w:r w:rsidRPr="0047053E">
        <w:t xml:space="preserve">a </w:t>
      </w:r>
      <w:r>
        <w:t xml:space="preserve">spatial-temporal feature space representing blood saturation changes in the brain. </w:t>
      </w:r>
      <w:r w:rsidR="00E56742">
        <w:t xml:space="preserve">We </w:t>
      </w:r>
      <w:r w:rsidR="00FB7F7F">
        <w:t xml:space="preserve">thus </w:t>
      </w:r>
      <w:r w:rsidR="00E56742">
        <w:t xml:space="preserve">constructed </w:t>
      </w:r>
      <w:r w:rsidR="00FB7F7F">
        <w:t xml:space="preserve">a simple </w:t>
      </w:r>
      <w:r>
        <w:t xml:space="preserve">MI detection </w:t>
      </w:r>
      <w:r w:rsidR="00FB7F7F">
        <w:t>algorithm using this feature</w:t>
      </w:r>
      <w:r>
        <w:t xml:space="preserve">. The </w:t>
      </w:r>
      <w:r w:rsidR="00FB7F7F">
        <w:t xml:space="preserve">algorithm employed </w:t>
      </w:r>
      <w:r>
        <w:t>a feature scaling</w:t>
      </w:r>
      <w:r w:rsidR="00FB7F7F">
        <w:t xml:space="preserve"> and </w:t>
      </w:r>
      <w:r>
        <w:t xml:space="preserve">normalization </w:t>
      </w:r>
      <w:r w:rsidR="00FB7F7F">
        <w:t>part</w:t>
      </w:r>
      <w:r>
        <w:t xml:space="preserve">, a vectorization </w:t>
      </w:r>
      <w:r w:rsidR="00FB7F7F">
        <w:t>part</w:t>
      </w:r>
      <w:r w:rsidR="00E56742">
        <w:t>,</w:t>
      </w:r>
      <w:r>
        <w:t xml:space="preserve"> and </w:t>
      </w:r>
      <w:r w:rsidR="00FB7F7F">
        <w:t>employed L</w:t>
      </w:r>
      <w:r>
        <w:t xml:space="preserve">inear </w:t>
      </w:r>
      <w:r w:rsidR="00FB7F7F">
        <w:t>D</w:t>
      </w:r>
      <w:r>
        <w:t xml:space="preserve">iscriminant </w:t>
      </w:r>
      <w:r w:rsidR="00FB7F7F">
        <w:t>A</w:t>
      </w:r>
      <w:r>
        <w:t>nalysis (LDA)</w:t>
      </w:r>
      <w:r w:rsidR="00741BB4">
        <w:t xml:space="preserve"> model as a classifier</w:t>
      </w:r>
      <w:r>
        <w:t xml:space="preserve">. We </w:t>
      </w:r>
      <w:r w:rsidR="0025275F">
        <w:t xml:space="preserve">then </w:t>
      </w:r>
      <w:r w:rsidR="00FB7F7F">
        <w:t xml:space="preserve">performed </w:t>
      </w:r>
      <w:r>
        <w:t xml:space="preserve">10-fold cross validation with </w:t>
      </w:r>
      <w:r w:rsidR="00E56742">
        <w:t xml:space="preserve">a </w:t>
      </w:r>
      <w:r>
        <w:t xml:space="preserve">random seed to evaluate the performance of </w:t>
      </w:r>
      <w:r w:rsidR="00FB7F7F">
        <w:t>each subject data</w:t>
      </w:r>
      <w:r>
        <w:t xml:space="preserve">. </w:t>
      </w:r>
      <w:r w:rsidR="00FB7F7F">
        <w:t xml:space="preserve">We evaluated the MI performance for </w:t>
      </w:r>
      <w:r w:rsidR="00E56742">
        <w:t xml:space="preserve">the respiration-synchronized </w:t>
      </w:r>
      <w:r w:rsidR="0020357D">
        <w:t>protocol</w:t>
      </w:r>
      <w:r w:rsidR="00FB7F7F">
        <w:t xml:space="preserve"> and not the </w:t>
      </w:r>
      <w:r w:rsidR="00C65883">
        <w:t xml:space="preserve">commonly used </w:t>
      </w:r>
      <w:r w:rsidR="00FB7F7F">
        <w:t xml:space="preserve">respiration-unsynchronized </w:t>
      </w:r>
      <w:r w:rsidR="00C65883">
        <w:t xml:space="preserve">protocol </w:t>
      </w:r>
      <w:r w:rsidR="0025275F">
        <w:t>sin</w:t>
      </w:r>
      <w:r w:rsidR="00FB7F7F">
        <w:t>c</w:t>
      </w:r>
      <w:r w:rsidR="0025275F">
        <w:t xml:space="preserve">e the experiment were performed </w:t>
      </w:r>
      <w:r w:rsidR="00C65883">
        <w:t>in</w:t>
      </w:r>
      <w:r w:rsidR="0025275F">
        <w:t xml:space="preserve"> </w:t>
      </w:r>
      <w:r w:rsidR="00FB7F7F">
        <w:t>the former</w:t>
      </w:r>
      <w:r w:rsidR="0020357D">
        <w:t>.</w:t>
      </w:r>
    </w:p>
    <w:p w14:paraId="747A683F" w14:textId="37B5655F" w:rsidR="00C2692F" w:rsidRDefault="002C7565" w:rsidP="00C2692F">
      <w:pPr>
        <w:pStyle w:val="Heading1"/>
        <w:spacing w:before="120" w:after="120"/>
      </w:pPr>
      <w:r>
        <w:t>Results</w:t>
      </w:r>
    </w:p>
    <w:p w14:paraId="0589703F" w14:textId="09D1A51D" w:rsidR="00361C84" w:rsidRDefault="008F6453" w:rsidP="00361C84">
      <w:pPr>
        <w:pStyle w:val="BodyText"/>
        <w:ind w:firstLine="0"/>
        <w:jc w:val="center"/>
      </w:pPr>
      <w:r>
        <w:rPr>
          <w:noProof/>
        </w:rPr>
        <w:drawing>
          <wp:inline distT="0" distB="0" distL="0" distR="0" wp14:anchorId="4FC0FCC0" wp14:editId="06A1EAB2">
            <wp:extent cx="2942512" cy="6441743"/>
            <wp:effectExtent l="0" t="0" r="0" b="0"/>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742" r="26471"/>
                    <a:stretch/>
                  </pic:blipFill>
                  <pic:spPr bwMode="auto">
                    <a:xfrm>
                      <a:off x="0" y="0"/>
                      <a:ext cx="2969483" cy="6500788"/>
                    </a:xfrm>
                    <a:prstGeom prst="rect">
                      <a:avLst/>
                    </a:prstGeom>
                    <a:noFill/>
                    <a:ln>
                      <a:noFill/>
                    </a:ln>
                    <a:extLst>
                      <a:ext uri="{53640926-AAD7-44D8-BBD7-CCE9431645EC}">
                        <a14:shadowObscured xmlns:a14="http://schemas.microsoft.com/office/drawing/2010/main"/>
                      </a:ext>
                    </a:extLst>
                  </pic:spPr>
                </pic:pic>
              </a:graphicData>
            </a:graphic>
          </wp:inline>
        </w:drawing>
      </w:r>
    </w:p>
    <w:p w14:paraId="5F8C055D" w14:textId="5A32D586" w:rsidR="0008323E" w:rsidRDefault="000810DE" w:rsidP="00CF45B8">
      <w:pPr>
        <w:pStyle w:val="FigureCaption0"/>
      </w:pPr>
      <w:r w:rsidRPr="00F069D9">
        <w:t xml:space="preserve">Figure </w:t>
      </w:r>
      <w:r w:rsidR="002D1CD0">
        <w:t>3</w:t>
      </w:r>
      <w:r w:rsidRPr="00F069D9">
        <w:t xml:space="preserve">. </w:t>
      </w:r>
      <w:r w:rsidR="00F92629" w:rsidRPr="00FE1A53">
        <w:rPr>
          <w:b/>
        </w:rPr>
        <w:t>A)</w:t>
      </w:r>
      <w:r w:rsidR="00F92629">
        <w:t xml:space="preserve"> </w:t>
      </w:r>
      <w:r w:rsidR="00C65883">
        <w:t xml:space="preserve">Plot of </w:t>
      </w:r>
      <w:r w:rsidR="00D57F1E">
        <w:t xml:space="preserve">HbO </w:t>
      </w:r>
      <w:r w:rsidR="00C65883">
        <w:t xml:space="preserve">values from </w:t>
      </w:r>
      <w:r w:rsidR="00D57F1E">
        <w:t>subject S</w:t>
      </w:r>
      <w:r w:rsidR="00025159">
        <w:t>07</w:t>
      </w:r>
      <w:r w:rsidR="00D57F1E">
        <w:t xml:space="preserve"> across 80 trials of left-MI</w:t>
      </w:r>
      <w:r w:rsidR="00C65883">
        <w:t xml:space="preserve"> in </w:t>
      </w:r>
      <w:r w:rsidR="00D57F1E">
        <w:t>respiration</w:t>
      </w:r>
      <w:r w:rsidR="00C65883">
        <w:t>-synchronized case</w:t>
      </w:r>
      <w:r w:rsidR="00D57F1E">
        <w:t>. Each horizontal line represents 1 trial with HbO levels quantified by color (units are 10</w:t>
      </w:r>
      <w:r w:rsidR="00D57F1E" w:rsidRPr="00D57F1E">
        <w:rPr>
          <w:vertAlign w:val="superscript"/>
        </w:rPr>
        <w:t>-7</w:t>
      </w:r>
      <w:r w:rsidR="00D57F1E">
        <w:t xml:space="preserve"> mol/L).</w:t>
      </w:r>
      <w:r w:rsidR="00F92629">
        <w:t xml:space="preserve"> </w:t>
      </w:r>
      <w:r w:rsidR="00D57F1E" w:rsidRPr="00D57F1E">
        <w:rPr>
          <w:b/>
        </w:rPr>
        <w:t>B)</w:t>
      </w:r>
      <w:r w:rsidR="00D57F1E">
        <w:t xml:space="preserve"> Same as A, but </w:t>
      </w:r>
      <w:r w:rsidR="00820FA0">
        <w:t xml:space="preserve">for </w:t>
      </w:r>
      <w:r w:rsidR="00D57F1E">
        <w:t xml:space="preserve">right-MI. </w:t>
      </w:r>
      <w:r w:rsidR="00D57F1E" w:rsidRPr="00D57F1E">
        <w:rPr>
          <w:b/>
        </w:rPr>
        <w:t>C</w:t>
      </w:r>
      <w:r w:rsidR="00820FA0">
        <w:rPr>
          <w:b/>
        </w:rPr>
        <w:t>-D</w:t>
      </w:r>
      <w:r w:rsidR="00D57F1E" w:rsidRPr="00D57F1E">
        <w:rPr>
          <w:b/>
        </w:rPr>
        <w:t>)</w:t>
      </w:r>
      <w:r w:rsidR="00D57F1E">
        <w:t xml:space="preserve"> Same as A</w:t>
      </w:r>
      <w:r w:rsidR="00820FA0">
        <w:t>-B respectively</w:t>
      </w:r>
      <w:r w:rsidR="00D57F1E">
        <w:t xml:space="preserve">, but </w:t>
      </w:r>
      <w:r w:rsidR="00820FA0">
        <w:t>for respiration-</w:t>
      </w:r>
      <w:r w:rsidR="00D57F1E">
        <w:t>unsynchronized</w:t>
      </w:r>
      <w:r w:rsidR="00820FA0">
        <w:t xml:space="preserve"> case</w:t>
      </w:r>
      <w:r w:rsidR="00D57F1E">
        <w:t xml:space="preserve">. </w:t>
      </w:r>
      <w:r w:rsidR="00D57F1E" w:rsidRPr="00D57F1E">
        <w:rPr>
          <w:b/>
        </w:rPr>
        <w:t>E-H)</w:t>
      </w:r>
      <w:r w:rsidR="00D57F1E">
        <w:t xml:space="preserve"> Same as A-D, </w:t>
      </w:r>
      <w:r w:rsidR="00820FA0">
        <w:t xml:space="preserve">but from </w:t>
      </w:r>
      <w:r w:rsidR="00D57F1E">
        <w:t>subject S</w:t>
      </w:r>
      <w:r w:rsidR="00025159">
        <w:t>09</w:t>
      </w:r>
      <w:r w:rsidR="00D57F1E">
        <w:t xml:space="preserve">. </w:t>
      </w:r>
      <w:r w:rsidR="00D57F1E" w:rsidRPr="00D57F1E">
        <w:rPr>
          <w:b/>
        </w:rPr>
        <w:t>I)</w:t>
      </w:r>
      <w:r w:rsidR="00F92629">
        <w:t xml:space="preserve"> </w:t>
      </w:r>
      <w:r w:rsidR="00361C84">
        <w:t>Dispersion index a</w:t>
      </w:r>
      <w:r w:rsidR="00EE3D65">
        <w:t>cross subjects</w:t>
      </w:r>
      <w:r w:rsidR="00361C84">
        <w:t xml:space="preserve">. Synchronizing trials with respiration resulted in </w:t>
      </w:r>
      <w:r w:rsidR="008E27C2">
        <w:t xml:space="preserve">dispersion indices </w:t>
      </w:r>
      <w:r w:rsidR="00322B08">
        <w:t xml:space="preserve">below 1.00 </w:t>
      </w:r>
      <w:r w:rsidR="008E27C2">
        <w:t xml:space="preserve">(i.e. more consistent HbO values) </w:t>
      </w:r>
      <w:r w:rsidR="00EE3D65">
        <w:t>in</w:t>
      </w:r>
      <w:r w:rsidR="00F92629">
        <w:t xml:space="preserve"> 8 out of 10 subjects</w:t>
      </w:r>
      <w:r>
        <w:t>.</w:t>
      </w:r>
    </w:p>
    <w:p w14:paraId="7BD4FAC9" w14:textId="77777777" w:rsidR="00CF45B8" w:rsidRDefault="00CF45B8" w:rsidP="008C133E">
      <w:pPr>
        <w:pStyle w:val="FigureCaption0"/>
      </w:pPr>
    </w:p>
    <w:p w14:paraId="58343461" w14:textId="4B9283B7" w:rsidR="005D63D1" w:rsidRDefault="00571B4F" w:rsidP="00CF45B8">
      <w:pPr>
        <w:pStyle w:val="BodyText"/>
      </w:pPr>
      <w:r>
        <w:t xml:space="preserve">Figure </w:t>
      </w:r>
      <w:r w:rsidRPr="00571B4F">
        <w:t>3</w:t>
      </w:r>
      <w:r>
        <w:t xml:space="preserve"> sh</w:t>
      </w:r>
      <w:r w:rsidRPr="00571B4F">
        <w:t xml:space="preserve">ows the multi-trial HbO values along the </w:t>
      </w:r>
      <w:r w:rsidR="007C2959" w:rsidRPr="00571B4F">
        <w:t>timeline</w:t>
      </w:r>
      <w:r w:rsidRPr="00571B4F">
        <w:t xml:space="preserve"> for subject</w:t>
      </w:r>
      <w:r>
        <w:t>s</w:t>
      </w:r>
      <w:r w:rsidRPr="00571B4F">
        <w:t xml:space="preserve"> S</w:t>
      </w:r>
      <w:r w:rsidR="007C2959">
        <w:t>07</w:t>
      </w:r>
      <w:r w:rsidRPr="00571B4F">
        <w:t xml:space="preserve"> and S</w:t>
      </w:r>
      <w:r w:rsidR="007C2959">
        <w:t>09</w:t>
      </w:r>
      <w:r w:rsidRPr="00571B4F">
        <w:t>. From Fig</w:t>
      </w:r>
      <w:r>
        <w:t>ure</w:t>
      </w:r>
      <w:r w:rsidRPr="00571B4F">
        <w:t xml:space="preserve"> 3A</w:t>
      </w:r>
      <w:r>
        <w:t>-D,</w:t>
      </w:r>
      <w:r w:rsidRPr="00571B4F">
        <w:t xml:space="preserve"> we </w:t>
      </w:r>
      <w:r>
        <w:t xml:space="preserve">can observe </w:t>
      </w:r>
      <w:r w:rsidRPr="00571B4F">
        <w:t xml:space="preserve">effect of </w:t>
      </w:r>
      <w:r>
        <w:t xml:space="preserve">respiration </w:t>
      </w:r>
      <w:r w:rsidRPr="00571B4F">
        <w:t xml:space="preserve">synchronization, where the pattern of HbO changes </w:t>
      </w:r>
      <w:r>
        <w:t>is</w:t>
      </w:r>
      <w:r w:rsidRPr="00571B4F">
        <w:t xml:space="preserve"> more consistent across MI trials</w:t>
      </w:r>
      <w:r>
        <w:t xml:space="preserve"> in the synchronized case</w:t>
      </w:r>
      <w:r w:rsidRPr="00571B4F">
        <w:t>. To quantify the respiration-synchronization effect, we introduced dispersion index, as shown in the bottom plot of Fig</w:t>
      </w:r>
      <w:r>
        <w:t>ure</w:t>
      </w:r>
      <w:r w:rsidRPr="00571B4F">
        <w:t xml:space="preserve"> 3</w:t>
      </w:r>
      <w:r>
        <w:t>.</w:t>
      </w:r>
    </w:p>
    <w:p w14:paraId="248BDAFF" w14:textId="3614D4CB" w:rsidR="00CF45B8" w:rsidRPr="0008323E" w:rsidRDefault="00FB7F7F" w:rsidP="00CF45B8">
      <w:pPr>
        <w:pStyle w:val="BodyText"/>
      </w:pPr>
      <w:r>
        <w:t xml:space="preserve">The results showed that in </w:t>
      </w:r>
      <w:r w:rsidR="00C65883">
        <w:t xml:space="preserve">the respiration-unsynchronized </w:t>
      </w:r>
      <w:r w:rsidR="00820FA0">
        <w:t xml:space="preserve">case, </w:t>
      </w:r>
      <w:r w:rsidR="00322B08">
        <w:t xml:space="preserve">the </w:t>
      </w:r>
      <w:r w:rsidR="00CF45B8">
        <w:t xml:space="preserve">variance in HbO decreased in 8 </w:t>
      </w:r>
      <w:r w:rsidR="00322B08">
        <w:t xml:space="preserve">out of </w:t>
      </w:r>
      <w:r w:rsidR="00CF45B8">
        <w:t xml:space="preserve">10 subjects </w:t>
      </w:r>
      <w:r w:rsidR="00322B08">
        <w:t>whereby the</w:t>
      </w:r>
      <w:r w:rsidR="00CF45B8">
        <w:t xml:space="preserve"> dispersion index </w:t>
      </w:r>
      <w:r w:rsidR="00322B08">
        <w:t>is less than 1.00, and the variance in HbO increased</w:t>
      </w:r>
      <w:r w:rsidR="00CF45B8">
        <w:t xml:space="preserve"> in 2 subjects</w:t>
      </w:r>
      <w:r w:rsidR="00CF45B8" w:rsidRPr="00C81D3A">
        <w:t>.</w:t>
      </w:r>
      <w:r w:rsidR="00CF45B8">
        <w:t xml:space="preserve"> </w:t>
      </w:r>
      <w:r w:rsidR="00322B08">
        <w:t xml:space="preserve">Since </w:t>
      </w:r>
      <w:r w:rsidR="00CF45B8">
        <w:t xml:space="preserve">the </w:t>
      </w:r>
      <w:r w:rsidR="00322B08">
        <w:t xml:space="preserve">HbO </w:t>
      </w:r>
      <w:r w:rsidR="00CF45B8">
        <w:t xml:space="preserve">variance was </w:t>
      </w:r>
      <w:r w:rsidR="00322B08">
        <w:t xml:space="preserve">significantly </w:t>
      </w:r>
      <w:r w:rsidR="00CF45B8">
        <w:t xml:space="preserve">increased in 2 subjects, this was not statistically significant (mean dispersion index was 0.985, </w:t>
      </w:r>
      <w:r w:rsidR="00CF45B8" w:rsidRPr="00C5683C">
        <w:rPr>
          <w:i/>
        </w:rPr>
        <w:t>t</w:t>
      </w:r>
      <w:r w:rsidR="00CF45B8">
        <w:t>-test differen</w:t>
      </w:r>
      <w:r w:rsidR="00322B08">
        <w:t xml:space="preserve">ce from 1.00 </w:t>
      </w:r>
      <w:r w:rsidR="00CF45B8" w:rsidRPr="0020357D">
        <w:rPr>
          <w:i/>
          <w:iCs/>
        </w:rPr>
        <w:t>p</w:t>
      </w:r>
      <w:r w:rsidR="00CF45B8">
        <w:t xml:space="preserve"> = 0.91).</w:t>
      </w:r>
    </w:p>
    <w:p w14:paraId="245D25B5" w14:textId="77777777" w:rsidR="00CF45B8" w:rsidRDefault="00CF45B8" w:rsidP="00CF45B8">
      <w:pPr>
        <w:pStyle w:val="Heading2"/>
        <w:keepLines/>
        <w:numPr>
          <w:ilvl w:val="1"/>
          <w:numId w:val="0"/>
        </w:numPr>
        <w:tabs>
          <w:tab w:val="num" w:pos="360"/>
        </w:tabs>
        <w:autoSpaceDE/>
        <w:autoSpaceDN/>
        <w:ind w:left="288" w:hanging="288"/>
      </w:pPr>
      <w:r>
        <w:t xml:space="preserve">B. </w:t>
      </w:r>
      <w:r>
        <w:tab/>
        <w:t>MI decoding accuracy and dispersion index</w:t>
      </w:r>
    </w:p>
    <w:p w14:paraId="79A2D9DB" w14:textId="05ACE6FB" w:rsidR="00B83831" w:rsidRDefault="00CF45B8" w:rsidP="007C2959">
      <w:pPr>
        <w:pStyle w:val="BodyText"/>
      </w:pPr>
      <w:r>
        <w:t xml:space="preserve">We found that in most subjects, </w:t>
      </w:r>
      <w:r w:rsidR="00322B08">
        <w:t xml:space="preserve">respiration synchronization </w:t>
      </w:r>
      <w:r>
        <w:t xml:space="preserve">resulted in more consistent HbO </w:t>
      </w:r>
      <w:r w:rsidR="00322B08">
        <w:t xml:space="preserve">values </w:t>
      </w:r>
      <w:r>
        <w:t xml:space="preserve">as quantified by dispersion index. </w:t>
      </w:r>
      <w:r w:rsidR="008F6453">
        <w:t>Hence,</w:t>
      </w:r>
      <w:r w:rsidR="00322B08">
        <w:t xml:space="preserve"> we also </w:t>
      </w:r>
      <w:r>
        <w:t xml:space="preserve">investigated </w:t>
      </w:r>
      <w:r w:rsidR="00322B08">
        <w:t xml:space="preserve">the correlation between </w:t>
      </w:r>
      <w:r>
        <w:t xml:space="preserve">dispersion index </w:t>
      </w:r>
      <w:r w:rsidR="00CA7B43">
        <w:t>and</w:t>
      </w:r>
      <w:r w:rsidR="00322B08">
        <w:t xml:space="preserve"> </w:t>
      </w:r>
      <w:r>
        <w:t>BCI decoding accuracy.</w:t>
      </w:r>
      <w:r w:rsidR="007C2959">
        <w:rPr>
          <w:noProof/>
        </w:rPr>
        <w:drawing>
          <wp:inline distT="0" distB="0" distL="0" distR="0" wp14:anchorId="16928E36" wp14:editId="3E6E3FBF">
            <wp:extent cx="3106800" cy="2970370"/>
            <wp:effectExtent l="0" t="0" r="0" b="190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6800" cy="2970370"/>
                    </a:xfrm>
                    <a:prstGeom prst="rect">
                      <a:avLst/>
                    </a:prstGeom>
                    <a:noFill/>
                    <a:ln>
                      <a:noFill/>
                    </a:ln>
                  </pic:spPr>
                </pic:pic>
              </a:graphicData>
            </a:graphic>
          </wp:inline>
        </w:drawing>
      </w:r>
    </w:p>
    <w:p w14:paraId="65494BEE" w14:textId="2E1B94B9" w:rsidR="003D6592" w:rsidRDefault="003D6592" w:rsidP="0020357D">
      <w:pPr>
        <w:pStyle w:val="FigureCaption0"/>
      </w:pPr>
      <w:r w:rsidRPr="00F069D9">
        <w:t xml:space="preserve">Figure </w:t>
      </w:r>
      <w:r w:rsidR="002D1CD0">
        <w:t>4</w:t>
      </w:r>
      <w:r w:rsidRPr="00F069D9">
        <w:t xml:space="preserve">. </w:t>
      </w:r>
      <w:r w:rsidR="004707CA" w:rsidRPr="004707CA">
        <w:rPr>
          <w:b/>
        </w:rPr>
        <w:t>A)</w:t>
      </w:r>
      <w:r w:rsidR="004707CA">
        <w:t xml:space="preserve"> </w:t>
      </w:r>
      <w:r w:rsidR="00234DC3">
        <w:t>Blue bars plot mean accuracy for each subject, with standard deviations as error bars. The red line represents the chance</w:t>
      </w:r>
      <w:r w:rsidR="00322B08">
        <w:t xml:space="preserve"> accuracy of </w:t>
      </w:r>
      <w:r w:rsidR="00234DC3">
        <w:t xml:space="preserve">0.5. An asterisk indicates that </w:t>
      </w:r>
      <w:r w:rsidR="007B68CB">
        <w:t xml:space="preserve">MI accuracy is </w:t>
      </w:r>
      <w:r w:rsidR="00234DC3">
        <w:t xml:space="preserve">better than chance level for that subject (one-tailed </w:t>
      </w:r>
      <w:r w:rsidR="00234DC3" w:rsidRPr="00234DC3">
        <w:t>t</w:t>
      </w:r>
      <w:r w:rsidR="00234DC3">
        <w:t>-test, α</w:t>
      </w:r>
      <w:r w:rsidR="00BF327A">
        <w:t xml:space="preserve"> </w:t>
      </w:r>
      <w:r w:rsidR="00234DC3">
        <w:t>=</w:t>
      </w:r>
      <w:r w:rsidR="00BF327A">
        <w:t xml:space="preserve"> </w:t>
      </w:r>
      <w:r w:rsidR="00234DC3">
        <w:t xml:space="preserve">0.005 after </w:t>
      </w:r>
      <w:r w:rsidR="00234DC3" w:rsidRPr="00234DC3">
        <w:t>Bonferroni correction</w:t>
      </w:r>
      <w:r w:rsidR="00234DC3">
        <w:t xml:space="preserve">). 8 </w:t>
      </w:r>
      <w:r w:rsidR="007B68CB">
        <w:t xml:space="preserve">out </w:t>
      </w:r>
      <w:r w:rsidR="00234DC3">
        <w:t>of 10 subjects</w:t>
      </w:r>
      <w:r w:rsidR="007B68CB">
        <w:t xml:space="preserve"> performed better than chance level</w:t>
      </w:r>
      <w:r w:rsidR="00234DC3">
        <w:t>.</w:t>
      </w:r>
      <w:r w:rsidR="004707CA">
        <w:t xml:space="preserve"> </w:t>
      </w:r>
      <w:r w:rsidR="004707CA" w:rsidRPr="004707CA">
        <w:rPr>
          <w:b/>
        </w:rPr>
        <w:t>B)</w:t>
      </w:r>
      <w:r w:rsidR="004707CA">
        <w:t xml:space="preserve"> </w:t>
      </w:r>
      <w:r w:rsidR="007B68CB">
        <w:t xml:space="preserve">Plot of MI accuracy of </w:t>
      </w:r>
      <w:proofErr w:type="gramStart"/>
      <w:r w:rsidR="007B68CB">
        <w:t>subjects</w:t>
      </w:r>
      <w:proofErr w:type="gramEnd"/>
      <w:r w:rsidR="007B68CB">
        <w:t xml:space="preserve"> vs dispersion index.</w:t>
      </w:r>
      <w:r w:rsidR="00BF327A">
        <w:t xml:space="preserve"> </w:t>
      </w:r>
      <w:r w:rsidR="007B68CB">
        <w:t>MI a</w:t>
      </w:r>
      <w:r w:rsidR="004707CA">
        <w:t>ccuracy was</w:t>
      </w:r>
      <w:r w:rsidR="00592907">
        <w:t xml:space="preserve"> </w:t>
      </w:r>
      <w:r w:rsidR="004707CA">
        <w:t xml:space="preserve">negatively correlated with </w:t>
      </w:r>
      <w:r w:rsidR="00BF327A">
        <w:t xml:space="preserve">dispersion index </w:t>
      </w:r>
      <w:r w:rsidR="00DB3014">
        <w:t xml:space="preserve">(Pearson’s correlation </w:t>
      </w:r>
      <w:r w:rsidR="00BF327A">
        <w:t xml:space="preserve">coefficient </w:t>
      </w:r>
      <w:r w:rsidR="00DB3014">
        <w:t>=</w:t>
      </w:r>
      <w:r w:rsidR="00BF327A">
        <w:t xml:space="preserve"> </w:t>
      </w:r>
      <w:r w:rsidR="00DB3014">
        <w:t>-0.548)</w:t>
      </w:r>
      <w:r w:rsidR="004707CA">
        <w:t>.</w:t>
      </w:r>
    </w:p>
    <w:p w14:paraId="31DD3C5F" w14:textId="77777777" w:rsidR="00CF45B8" w:rsidRPr="0020357D" w:rsidRDefault="00CF45B8" w:rsidP="0020357D">
      <w:pPr>
        <w:rPr>
          <w:i/>
          <w:sz w:val="16"/>
          <w:szCs w:val="16"/>
        </w:rPr>
      </w:pPr>
    </w:p>
    <w:p w14:paraId="1901F668" w14:textId="70734F14" w:rsidR="0008323E" w:rsidRDefault="007B68CB" w:rsidP="004C16B2">
      <w:pPr>
        <w:pStyle w:val="BodyText"/>
      </w:pPr>
      <w:r>
        <w:t xml:space="preserve">Figure 4 </w:t>
      </w:r>
      <w:r w:rsidR="0039784B">
        <w:t xml:space="preserve">shows </w:t>
      </w:r>
      <w:r>
        <w:t>the results of correlating the MI accuracy of the subjects with the dispersion index. The results showed that 8 out of 10 subjects performed better than chance level. W</w:t>
      </w:r>
      <w:r w:rsidR="00FE1A53">
        <w:t xml:space="preserve">e </w:t>
      </w:r>
      <w:r>
        <w:t xml:space="preserve">also </w:t>
      </w:r>
      <w:r w:rsidR="00FE1A53">
        <w:t xml:space="preserve">found a negative correlation between </w:t>
      </w:r>
      <w:r w:rsidR="00BF327A">
        <w:t xml:space="preserve">decoder </w:t>
      </w:r>
      <w:r w:rsidR="00FE1A53">
        <w:t xml:space="preserve">accuracy and </w:t>
      </w:r>
      <w:r w:rsidR="00BF327A">
        <w:t>dispersion index</w:t>
      </w:r>
      <w:r w:rsidR="00FE1A53">
        <w:t xml:space="preserve">. </w:t>
      </w:r>
      <w:r>
        <w:t xml:space="preserve">Thus the results showed that </w:t>
      </w:r>
      <w:r w:rsidR="00FE1A53">
        <w:lastRenderedPageBreak/>
        <w:t xml:space="preserve">subjects with higher </w:t>
      </w:r>
      <w:r>
        <w:t xml:space="preserve">dispersion in their </w:t>
      </w:r>
      <w:r w:rsidR="00FE1A53">
        <w:t xml:space="preserve">HbO </w:t>
      </w:r>
      <w:r w:rsidR="008E27C2">
        <w:t xml:space="preserve">readings </w:t>
      </w:r>
      <w:r>
        <w:t xml:space="preserve">tend to have lower MI </w:t>
      </w:r>
      <w:r w:rsidR="00FE1A53">
        <w:t>accuracy</w:t>
      </w:r>
      <w:r>
        <w:t>.</w:t>
      </w:r>
    </w:p>
    <w:p w14:paraId="6EC6421D" w14:textId="52E40639" w:rsidR="00C2692F" w:rsidRDefault="008D1615" w:rsidP="00C2692F">
      <w:pPr>
        <w:pStyle w:val="Heading1"/>
        <w:spacing w:before="120" w:after="120"/>
      </w:pPr>
      <w:r>
        <w:t>Discussion</w:t>
      </w:r>
    </w:p>
    <w:p w14:paraId="2C0D93C0" w14:textId="7F82B6E0" w:rsidR="00570EC3" w:rsidRDefault="00310EC4" w:rsidP="0008323E">
      <w:pPr>
        <w:pStyle w:val="BodyText"/>
      </w:pPr>
      <w:r>
        <w:t>In the respiration</w:t>
      </w:r>
      <w:r w:rsidR="007B68CB">
        <w:t>-</w:t>
      </w:r>
      <w:r>
        <w:t xml:space="preserve">synchronization </w:t>
      </w:r>
      <w:r w:rsidR="007B68CB">
        <w:t>case</w:t>
      </w:r>
      <w:r>
        <w:t xml:space="preserve">, </w:t>
      </w:r>
      <w:r w:rsidR="00FE1A53">
        <w:t xml:space="preserve">HbO </w:t>
      </w:r>
      <w:r w:rsidR="007B68CB">
        <w:t>values</w:t>
      </w:r>
      <w:r w:rsidR="00FE1A53">
        <w:t xml:space="preserve"> were visibly more consistent in </w:t>
      </w:r>
      <w:r>
        <w:t xml:space="preserve">the </w:t>
      </w:r>
      <w:r w:rsidR="007B68CB">
        <w:t xml:space="preserve">most of the </w:t>
      </w:r>
      <w:r>
        <w:t xml:space="preserve">subjects, and the </w:t>
      </w:r>
      <w:r w:rsidR="00F93595">
        <w:t xml:space="preserve">dispersion index and thus </w:t>
      </w:r>
      <w:r>
        <w:t>variance in HbO was lower</w:t>
      </w:r>
      <w:r w:rsidR="007B68CB">
        <w:t xml:space="preserve"> across the trials</w:t>
      </w:r>
      <w:r w:rsidR="00F93595">
        <w:t xml:space="preserve"> in 8 out of 10 subjects</w:t>
      </w:r>
      <w:r>
        <w:t>.</w:t>
      </w:r>
      <w:r w:rsidR="00570EC3">
        <w:t xml:space="preserve"> This was </w:t>
      </w:r>
      <w:r w:rsidR="007B68CB">
        <w:t xml:space="preserve">consistent with our hypothesis and showed promise that </w:t>
      </w:r>
      <w:r w:rsidR="007B68CB" w:rsidRPr="007B68CB">
        <w:t>synchronizing motor imagery cues to respiration can yield increased HbO level consistency</w:t>
      </w:r>
      <w:r w:rsidR="00812D0F">
        <w:t>.</w:t>
      </w:r>
    </w:p>
    <w:p w14:paraId="6DDA4CC7" w14:textId="4C09FEB3" w:rsidR="00C2692F" w:rsidRDefault="007B68CB" w:rsidP="0008323E">
      <w:pPr>
        <w:pStyle w:val="BodyText"/>
      </w:pPr>
      <w:r>
        <w:t xml:space="preserve">Nonetheless, while </w:t>
      </w:r>
      <w:r w:rsidR="00FE1A53">
        <w:t>we expected to observe lower in HbO variance in the respiration</w:t>
      </w:r>
      <w:r>
        <w:t>-</w:t>
      </w:r>
      <w:r w:rsidR="00FE1A53">
        <w:t>synchroniz</w:t>
      </w:r>
      <w:r>
        <w:t>ed case</w:t>
      </w:r>
      <w:r w:rsidR="00FE1A53">
        <w:t xml:space="preserve">, we </w:t>
      </w:r>
      <w:r>
        <w:t xml:space="preserve">observed increased in </w:t>
      </w:r>
      <w:r w:rsidR="00F93595">
        <w:t xml:space="preserve">the dispersion index </w:t>
      </w:r>
      <w:r w:rsidR="00FE1A53">
        <w:t xml:space="preserve">in 2 of the 10 subjects. Currently, we are </w:t>
      </w:r>
      <w:r w:rsidR="00F93595">
        <w:t>still investigating this in more detail</w:t>
      </w:r>
      <w:r w:rsidR="00570EC3">
        <w:t xml:space="preserve">. </w:t>
      </w:r>
      <w:r w:rsidR="0071491E">
        <w:t xml:space="preserve">Potential reasons include the possibility that </w:t>
      </w:r>
      <w:r w:rsidR="00570EC3">
        <w:t xml:space="preserve">these </w:t>
      </w:r>
      <w:r w:rsidR="00F93595">
        <w:t xml:space="preserve">two </w:t>
      </w:r>
      <w:r w:rsidR="00570EC3">
        <w:t xml:space="preserve">subjects </w:t>
      </w:r>
      <w:r w:rsidR="0071491E">
        <w:t xml:space="preserve">had </w:t>
      </w:r>
      <w:r w:rsidR="00570EC3">
        <w:t xml:space="preserve">inherently </w:t>
      </w:r>
      <w:r w:rsidR="00F93595">
        <w:t>irregular breathing</w:t>
      </w:r>
      <w:r w:rsidR="0071491E">
        <w:t>,</w:t>
      </w:r>
      <w:r w:rsidR="00F93595">
        <w:t xml:space="preserve"> </w:t>
      </w:r>
      <w:r w:rsidR="00570EC3">
        <w:t xml:space="preserve">or that </w:t>
      </w:r>
      <w:r w:rsidR="00BF327A">
        <w:t xml:space="preserve">the breathing sensor was </w:t>
      </w:r>
      <w:r w:rsidR="00F93595">
        <w:t xml:space="preserve">reading erroneous data due to artifacts such as </w:t>
      </w:r>
      <w:r w:rsidR="00BF327A">
        <w:t>physical movements</w:t>
      </w:r>
      <w:r w:rsidR="00570EC3">
        <w:t xml:space="preserve">. </w:t>
      </w:r>
      <w:r w:rsidR="00F93595">
        <w:t xml:space="preserve">We will have to </w:t>
      </w:r>
      <w:r w:rsidR="00570EC3">
        <w:t xml:space="preserve">analyze the breathing sensor </w:t>
      </w:r>
      <w:r w:rsidR="00F93595">
        <w:t xml:space="preserve">data in more detail </w:t>
      </w:r>
      <w:r w:rsidR="00570EC3">
        <w:t xml:space="preserve">and instruct subjects to breathe deeply and regularly, </w:t>
      </w:r>
      <w:r w:rsidR="0071491E">
        <w:t xml:space="preserve">improve our inhalation detection algorithm, </w:t>
      </w:r>
      <w:r w:rsidR="00850422">
        <w:t>use different a different sensor to monitor breathing (such as an a</w:t>
      </w:r>
      <w:r w:rsidR="00850422" w:rsidRPr="00850422">
        <w:t xml:space="preserve">coustic </w:t>
      </w:r>
      <w:r w:rsidR="00850422">
        <w:t>r</w:t>
      </w:r>
      <w:r w:rsidR="00850422" w:rsidRPr="00850422">
        <w:t xml:space="preserve">espiration </w:t>
      </w:r>
      <w:r w:rsidR="00850422">
        <w:t>s</w:t>
      </w:r>
      <w:r w:rsidR="00850422" w:rsidRPr="00850422">
        <w:t>ensor</w:t>
      </w:r>
      <w:r w:rsidR="00850422">
        <w:t xml:space="preserve">) </w:t>
      </w:r>
      <w:r w:rsidR="0071491E">
        <w:t>and/</w:t>
      </w:r>
      <w:r w:rsidR="00570EC3">
        <w:t xml:space="preserve">or implement </w:t>
      </w:r>
      <w:r w:rsidR="00F93595">
        <w:t xml:space="preserve">experimental </w:t>
      </w:r>
      <w:r w:rsidR="00570EC3">
        <w:t xml:space="preserve">exclusion criteria </w:t>
      </w:r>
      <w:r w:rsidR="00F93595">
        <w:t xml:space="preserve">to exclude </w:t>
      </w:r>
      <w:r w:rsidR="00570EC3">
        <w:t>subjects with excessively irregular breathing patterns.</w:t>
      </w:r>
    </w:p>
    <w:p w14:paraId="1B6C46B0" w14:textId="026FB4CB" w:rsidR="00CF63D5" w:rsidRDefault="00812D0F" w:rsidP="00812D0F">
      <w:pPr>
        <w:pStyle w:val="BodyText"/>
      </w:pPr>
      <w:r>
        <w:t xml:space="preserve">Nevertheless, </w:t>
      </w:r>
      <w:r w:rsidR="00CF63D5">
        <w:t xml:space="preserve">we found that higher </w:t>
      </w:r>
      <w:r>
        <w:t xml:space="preserve">dispersion index </w:t>
      </w:r>
      <w:r w:rsidR="00CF63D5">
        <w:t xml:space="preserve">was </w:t>
      </w:r>
      <w:r>
        <w:t xml:space="preserve">somewhat </w:t>
      </w:r>
      <w:r w:rsidR="00CF63D5">
        <w:t xml:space="preserve">correlated with poorer </w:t>
      </w:r>
      <w:r>
        <w:t xml:space="preserve">MI </w:t>
      </w:r>
      <w:r w:rsidR="00CF63D5">
        <w:t xml:space="preserve">performance. This suggests that consistent HbO </w:t>
      </w:r>
      <w:r>
        <w:t xml:space="preserve">readings without confounding effects of respiration </w:t>
      </w:r>
      <w:r w:rsidR="00CF63D5">
        <w:t xml:space="preserve">are indeed important </w:t>
      </w:r>
      <w:r>
        <w:t xml:space="preserve">for </w:t>
      </w:r>
      <w:r w:rsidR="008C133E">
        <w:t>f</w:t>
      </w:r>
      <w:r w:rsidR="00CF63D5">
        <w:t xml:space="preserve">NIRS-based BCI. </w:t>
      </w:r>
      <w:r>
        <w:t xml:space="preserve">Hence the </w:t>
      </w:r>
      <w:r w:rsidRPr="007B68CB">
        <w:t xml:space="preserve">proposed method </w:t>
      </w:r>
      <w:r>
        <w:t xml:space="preserve">of </w:t>
      </w:r>
      <w:r w:rsidRPr="007B68CB">
        <w:t>synchronizing the motor imagery cue timing with the subject’s respiration cycle holds promise to improve the decoding performance of fNIRS-BCI by reducing the confounding effects of respiration.</w:t>
      </w:r>
      <w:r>
        <w:t xml:space="preserve"> We hope that the preliminary evidence provided in this paper can </w:t>
      </w:r>
      <w:r w:rsidR="008C133E">
        <w:t>help fNIRS</w:t>
      </w:r>
      <w:r>
        <w:t>-BCI</w:t>
      </w:r>
      <w:r w:rsidR="00CF63D5">
        <w:t xml:space="preserve"> researchers to </w:t>
      </w:r>
      <w:r>
        <w:t>deploy similar experimental protocol</w:t>
      </w:r>
      <w:r w:rsidR="006C1F99">
        <w:t>s</w:t>
      </w:r>
      <w:r>
        <w:t xml:space="preserve"> to reduce confounding effects of respiration.</w:t>
      </w:r>
    </w:p>
    <w:p w14:paraId="41CB96BB" w14:textId="77777777" w:rsidR="00C2692F" w:rsidRDefault="00C2692F">
      <w:pPr>
        <w:pStyle w:val="ReferenceHead"/>
      </w:pPr>
      <w:r>
        <w:t>Acknowledgment</w:t>
      </w:r>
    </w:p>
    <w:p w14:paraId="3A6255D5" w14:textId="3F898E06" w:rsidR="00C2692F" w:rsidRDefault="003834C1" w:rsidP="001A13E6">
      <w:pPr>
        <w:pStyle w:val="Text"/>
        <w:spacing w:after="120" w:line="228" w:lineRule="auto"/>
        <w:ind w:firstLine="288"/>
      </w:pPr>
      <w:r w:rsidRPr="003834C1">
        <w:t xml:space="preserve">Research </w:t>
      </w:r>
      <w:r>
        <w:t xml:space="preserve">was </w:t>
      </w:r>
      <w:r w:rsidRPr="003834C1">
        <w:t xml:space="preserve">supported by </w:t>
      </w:r>
      <w:r>
        <w:t xml:space="preserve">the </w:t>
      </w:r>
      <w:r w:rsidRPr="003834C1">
        <w:t>Institute for Infocomm Research (I2R), Agency for Science, Technology and Research (A*STAR) Singapore, and the Rehabilitation Research Institute of Singapore Research Grant RRG4/2008</w:t>
      </w:r>
      <w:r>
        <w:t>.</w:t>
      </w:r>
    </w:p>
    <w:p w14:paraId="07F48AFA" w14:textId="77777777" w:rsidR="00C2692F" w:rsidRDefault="00C2692F">
      <w:pPr>
        <w:pStyle w:val="ReferenceHead"/>
      </w:pPr>
      <w:r>
        <w:t>References</w:t>
      </w:r>
    </w:p>
    <w:p w14:paraId="177BD947" w14:textId="77777777" w:rsidR="0018202F" w:rsidRPr="0018202F" w:rsidRDefault="00476E25" w:rsidP="0018202F">
      <w:pPr>
        <w:pStyle w:val="Bibliography"/>
        <w:rPr>
          <w:sz w:val="16"/>
        </w:rPr>
      </w:pPr>
      <w:r w:rsidRPr="005F624C">
        <w:rPr>
          <w:sz w:val="16"/>
          <w:szCs w:val="16"/>
        </w:rPr>
        <w:fldChar w:fldCharType="begin"/>
      </w:r>
      <w:r w:rsidR="0018202F">
        <w:rPr>
          <w:sz w:val="16"/>
          <w:szCs w:val="16"/>
        </w:rPr>
        <w:instrText xml:space="preserve"> ADDIN ZOTERO_BIBL {"uncited":[],"omitted":[],"custom":[]} CSL_BIBLIOGRAPHY </w:instrText>
      </w:r>
      <w:r w:rsidRPr="005F624C">
        <w:rPr>
          <w:sz w:val="16"/>
          <w:szCs w:val="16"/>
        </w:rPr>
        <w:fldChar w:fldCharType="separate"/>
      </w:r>
      <w:r w:rsidR="0018202F" w:rsidRPr="0018202F">
        <w:rPr>
          <w:sz w:val="16"/>
        </w:rPr>
        <w:t>[1]</w:t>
      </w:r>
      <w:r w:rsidR="0018202F" w:rsidRPr="0018202F">
        <w:rPr>
          <w:sz w:val="16"/>
        </w:rPr>
        <w:tab/>
        <w:t xml:space="preserve">Y. Hoshi and M. Tamura, “Detection of dynamic changes in cerebral oxygenation coupled to neuronal function during mental work in man,” </w:t>
      </w:r>
      <w:r w:rsidR="0018202F" w:rsidRPr="0018202F">
        <w:rPr>
          <w:i/>
          <w:iCs/>
          <w:sz w:val="16"/>
        </w:rPr>
        <w:t>Neurosci Lett</w:t>
      </w:r>
      <w:r w:rsidR="0018202F" w:rsidRPr="0018202F">
        <w:rPr>
          <w:sz w:val="16"/>
        </w:rPr>
        <w:t>, vol. 150, no. 1, pp. 5–8, Feb. 1993, doi: 10.1016/0304-3940(93)90094-2.</w:t>
      </w:r>
    </w:p>
    <w:p w14:paraId="054B24A1" w14:textId="77777777" w:rsidR="0018202F" w:rsidRPr="0018202F" w:rsidRDefault="0018202F" w:rsidP="0018202F">
      <w:pPr>
        <w:pStyle w:val="Bibliography"/>
        <w:rPr>
          <w:sz w:val="16"/>
        </w:rPr>
      </w:pPr>
      <w:r w:rsidRPr="0018202F">
        <w:rPr>
          <w:sz w:val="16"/>
        </w:rPr>
        <w:t>[2]</w:t>
      </w:r>
      <w:r w:rsidRPr="0018202F">
        <w:rPr>
          <w:sz w:val="16"/>
        </w:rPr>
        <w:tab/>
        <w:t xml:space="preserve">M. Ferrari and V. Quaresima, “A brief review on the history of human functional near-infrared spectroscopy (fNIRS) development and fields of application,” </w:t>
      </w:r>
      <w:r w:rsidRPr="0018202F">
        <w:rPr>
          <w:i/>
          <w:iCs/>
          <w:sz w:val="16"/>
        </w:rPr>
        <w:t>NeuroImage</w:t>
      </w:r>
      <w:r w:rsidRPr="0018202F">
        <w:rPr>
          <w:sz w:val="16"/>
        </w:rPr>
        <w:t>, vol. 63, no. 2, pp. 921–935, Nov. 2012, doi: 10.1016/j.neuroimage.2012.03.049.</w:t>
      </w:r>
    </w:p>
    <w:p w14:paraId="2EC8F1EE" w14:textId="77777777" w:rsidR="0018202F" w:rsidRPr="0018202F" w:rsidRDefault="0018202F" w:rsidP="0018202F">
      <w:pPr>
        <w:pStyle w:val="Bibliography"/>
        <w:rPr>
          <w:sz w:val="16"/>
        </w:rPr>
      </w:pPr>
      <w:r w:rsidRPr="0018202F">
        <w:rPr>
          <w:sz w:val="16"/>
        </w:rPr>
        <w:t>[3]</w:t>
      </w:r>
      <w:r w:rsidRPr="0018202F">
        <w:rPr>
          <w:sz w:val="16"/>
        </w:rPr>
        <w:tab/>
        <w:t xml:space="preserve">F. F. Jo Bsis-Vandervliet, “Discovery of the near-infrared window into the body and the early development of near-infrared spectroscopy,” </w:t>
      </w:r>
      <w:r w:rsidRPr="0018202F">
        <w:rPr>
          <w:i/>
          <w:iCs/>
          <w:sz w:val="16"/>
        </w:rPr>
        <w:t>J Biomed Opt</w:t>
      </w:r>
      <w:r w:rsidRPr="0018202F">
        <w:rPr>
          <w:sz w:val="16"/>
        </w:rPr>
        <w:t>, vol. 4, no. 4, pp. 392–396, Oct. 1999, doi: 10.1117/1.429952.</w:t>
      </w:r>
    </w:p>
    <w:p w14:paraId="6DF60F33" w14:textId="77777777" w:rsidR="0018202F" w:rsidRPr="0018202F" w:rsidRDefault="0018202F" w:rsidP="0018202F">
      <w:pPr>
        <w:pStyle w:val="Bibliography"/>
        <w:rPr>
          <w:sz w:val="16"/>
        </w:rPr>
      </w:pPr>
      <w:r w:rsidRPr="0018202F">
        <w:rPr>
          <w:sz w:val="16"/>
        </w:rPr>
        <w:t>[4]</w:t>
      </w:r>
      <w:r w:rsidRPr="0018202F">
        <w:rPr>
          <w:sz w:val="16"/>
        </w:rPr>
        <w:tab/>
        <w:t xml:space="preserve">J. Steinbrink, A. Villringer, F. Kempf, D. Haux, S. Boden, and H. Obrig, “Illuminating the BOLD signal: combined fMRI–fNIRS studies,” </w:t>
      </w:r>
      <w:r w:rsidRPr="0018202F">
        <w:rPr>
          <w:i/>
          <w:iCs/>
          <w:sz w:val="16"/>
        </w:rPr>
        <w:t>Magnetic Resonance Imaging</w:t>
      </w:r>
      <w:r w:rsidRPr="0018202F">
        <w:rPr>
          <w:sz w:val="16"/>
        </w:rPr>
        <w:t>, vol. 24, no. 4, pp. 495–505, May 2006, doi: 10.1016/j.mri.2005.12.034.</w:t>
      </w:r>
    </w:p>
    <w:p w14:paraId="13B20C45" w14:textId="77777777" w:rsidR="0018202F" w:rsidRPr="0018202F" w:rsidRDefault="0018202F" w:rsidP="0018202F">
      <w:pPr>
        <w:pStyle w:val="Bibliography"/>
        <w:rPr>
          <w:sz w:val="16"/>
        </w:rPr>
      </w:pPr>
      <w:r w:rsidRPr="0018202F">
        <w:rPr>
          <w:sz w:val="16"/>
        </w:rPr>
        <w:t>[5]</w:t>
      </w:r>
      <w:r w:rsidRPr="0018202F">
        <w:rPr>
          <w:sz w:val="16"/>
        </w:rPr>
        <w:tab/>
        <w:t xml:space="preserve">A. B. Usakli, “Improvement of EEG Signal Acquisition: An Electrical Aspect for State of the Art of Front End,” </w:t>
      </w:r>
      <w:r w:rsidRPr="0018202F">
        <w:rPr>
          <w:i/>
          <w:iCs/>
          <w:sz w:val="16"/>
        </w:rPr>
        <w:t>Comput Intell Neurosci</w:t>
      </w:r>
      <w:r w:rsidRPr="0018202F">
        <w:rPr>
          <w:sz w:val="16"/>
        </w:rPr>
        <w:t>, vol. 2010, p. 630649, 2010, doi: 10.1155/2010/630649.</w:t>
      </w:r>
    </w:p>
    <w:p w14:paraId="308D668B" w14:textId="77777777" w:rsidR="0018202F" w:rsidRPr="0018202F" w:rsidRDefault="0018202F" w:rsidP="0018202F">
      <w:pPr>
        <w:pStyle w:val="Bibliography"/>
        <w:rPr>
          <w:sz w:val="16"/>
        </w:rPr>
      </w:pPr>
      <w:r w:rsidRPr="0018202F">
        <w:rPr>
          <w:sz w:val="16"/>
        </w:rPr>
        <w:t>[6]</w:t>
      </w:r>
      <w:r w:rsidRPr="0018202F">
        <w:rPr>
          <w:sz w:val="16"/>
        </w:rPr>
        <w:tab/>
        <w:t xml:space="preserve">L.-A. Tuscan, J. D. Herbert, E. M. Forman, A. S. Juarascio, M. Izzetoglu, and M. Schultheis, “Exploring frontal asymmetry using functional near-infrared spectroscopy: a preliminary study of the effects of social anxiety during interaction and performance tasks,” </w:t>
      </w:r>
      <w:r w:rsidRPr="0018202F">
        <w:rPr>
          <w:i/>
          <w:iCs/>
          <w:sz w:val="16"/>
        </w:rPr>
        <w:t>Brain Imaging Behav</w:t>
      </w:r>
      <w:r w:rsidRPr="0018202F">
        <w:rPr>
          <w:sz w:val="16"/>
        </w:rPr>
        <w:t>, vol. 7, no. 2, pp. 140–153, Jun. 2013, doi: 10.1007/s11682-012-9206-z.</w:t>
      </w:r>
    </w:p>
    <w:p w14:paraId="3BA3B42B" w14:textId="77777777" w:rsidR="0018202F" w:rsidRPr="0018202F" w:rsidRDefault="0018202F" w:rsidP="0018202F">
      <w:pPr>
        <w:pStyle w:val="Bibliography"/>
        <w:rPr>
          <w:sz w:val="16"/>
        </w:rPr>
      </w:pPr>
      <w:r w:rsidRPr="0018202F">
        <w:rPr>
          <w:sz w:val="16"/>
        </w:rPr>
        <w:t>[7]</w:t>
      </w:r>
      <w:r w:rsidRPr="0018202F">
        <w:rPr>
          <w:sz w:val="16"/>
        </w:rPr>
        <w:tab/>
        <w:t xml:space="preserve">S. Fazli </w:t>
      </w:r>
      <w:r w:rsidRPr="0018202F">
        <w:rPr>
          <w:i/>
          <w:iCs/>
          <w:sz w:val="16"/>
        </w:rPr>
        <w:t>et al.</w:t>
      </w:r>
      <w:r w:rsidRPr="0018202F">
        <w:rPr>
          <w:sz w:val="16"/>
        </w:rPr>
        <w:t xml:space="preserve">, “Enhanced performance by a hybrid NIRS–EEG brain computer interface,” </w:t>
      </w:r>
      <w:r w:rsidRPr="0018202F">
        <w:rPr>
          <w:i/>
          <w:iCs/>
          <w:sz w:val="16"/>
        </w:rPr>
        <w:t>NeuroImage</w:t>
      </w:r>
      <w:r w:rsidRPr="0018202F">
        <w:rPr>
          <w:sz w:val="16"/>
        </w:rPr>
        <w:t>, vol. 59, no. 1, pp. 519–529, Jan. 2012, doi: 10.1016/j.neuroimage.2011.07.084.</w:t>
      </w:r>
    </w:p>
    <w:p w14:paraId="1243AF03" w14:textId="77777777" w:rsidR="0018202F" w:rsidRPr="0018202F" w:rsidRDefault="0018202F" w:rsidP="0018202F">
      <w:pPr>
        <w:pStyle w:val="Bibliography"/>
        <w:rPr>
          <w:sz w:val="16"/>
        </w:rPr>
      </w:pPr>
      <w:r w:rsidRPr="0018202F">
        <w:rPr>
          <w:sz w:val="16"/>
        </w:rPr>
        <w:t>[8]</w:t>
      </w:r>
      <w:r w:rsidRPr="0018202F">
        <w:rPr>
          <w:sz w:val="16"/>
        </w:rPr>
        <w:tab/>
        <w:t xml:space="preserve">J. Yu, Y. Pan, K. K. Ang, C. Guan, and D. J. Leamy, “Prefrontal cortical activation during arithmetic processing differentiated by cultures: a preliminary fNIRS study,” </w:t>
      </w:r>
      <w:r w:rsidRPr="0018202F">
        <w:rPr>
          <w:i/>
          <w:iCs/>
          <w:sz w:val="16"/>
        </w:rPr>
        <w:t>Annu Int Conf IEEE Eng Med Biol Soc</w:t>
      </w:r>
      <w:r w:rsidRPr="0018202F">
        <w:rPr>
          <w:sz w:val="16"/>
        </w:rPr>
        <w:t>, vol. 2012, pp. 4716–4719, 2012, doi: 10.1109/EMBC.2012.6347020.</w:t>
      </w:r>
    </w:p>
    <w:p w14:paraId="499DD451" w14:textId="77777777" w:rsidR="0018202F" w:rsidRPr="0018202F" w:rsidRDefault="0018202F" w:rsidP="0018202F">
      <w:pPr>
        <w:pStyle w:val="Bibliography"/>
        <w:rPr>
          <w:sz w:val="16"/>
        </w:rPr>
      </w:pPr>
      <w:r w:rsidRPr="0018202F">
        <w:rPr>
          <w:sz w:val="16"/>
        </w:rPr>
        <w:t>[9]</w:t>
      </w:r>
      <w:r w:rsidRPr="0018202F">
        <w:rPr>
          <w:sz w:val="16"/>
        </w:rPr>
        <w:tab/>
        <w:t xml:space="preserve">J. Yu, K. K. Ang, H. Yang, and C. Guan, “Cortical activation of passive hand movement using Haptic Knob: a preliminary multi-channel fNIRS study,” </w:t>
      </w:r>
      <w:r w:rsidRPr="0018202F">
        <w:rPr>
          <w:i/>
          <w:iCs/>
          <w:sz w:val="16"/>
        </w:rPr>
        <w:t>Annu Int Conf IEEE Eng Med Biol Soc</w:t>
      </w:r>
      <w:r w:rsidRPr="0018202F">
        <w:rPr>
          <w:sz w:val="16"/>
        </w:rPr>
        <w:t>, vol. 2014, pp. 2097–2100, 2014, doi: 10.1109/EMBC.2014.6944030.</w:t>
      </w:r>
    </w:p>
    <w:p w14:paraId="46E6F32E" w14:textId="77777777" w:rsidR="0018202F" w:rsidRPr="0018202F" w:rsidRDefault="0018202F" w:rsidP="0018202F">
      <w:pPr>
        <w:pStyle w:val="Bibliography"/>
        <w:rPr>
          <w:sz w:val="16"/>
        </w:rPr>
      </w:pPr>
      <w:r w:rsidRPr="0018202F">
        <w:rPr>
          <w:sz w:val="16"/>
        </w:rPr>
        <w:t>[10]</w:t>
      </w:r>
      <w:r w:rsidRPr="0018202F">
        <w:rPr>
          <w:sz w:val="16"/>
        </w:rPr>
        <w:tab/>
        <w:t xml:space="preserve">P. A. Cicalese </w:t>
      </w:r>
      <w:r w:rsidRPr="0018202F">
        <w:rPr>
          <w:i/>
          <w:iCs/>
          <w:sz w:val="16"/>
        </w:rPr>
        <w:t>et al.</w:t>
      </w:r>
      <w:r w:rsidRPr="0018202F">
        <w:rPr>
          <w:sz w:val="16"/>
        </w:rPr>
        <w:t xml:space="preserve">, “An EEG-fNIRS hybridization technique in the four-class classification of alzheimer’s disease,” </w:t>
      </w:r>
      <w:r w:rsidRPr="0018202F">
        <w:rPr>
          <w:i/>
          <w:iCs/>
          <w:sz w:val="16"/>
        </w:rPr>
        <w:t>J Neurosci Methods</w:t>
      </w:r>
      <w:r w:rsidRPr="0018202F">
        <w:rPr>
          <w:sz w:val="16"/>
        </w:rPr>
        <w:t>, vol. 336, p. 108618, Apr. 2020, doi: 10.1016/j.jneumeth.2020.108618.</w:t>
      </w:r>
    </w:p>
    <w:p w14:paraId="250BF7B1" w14:textId="77777777" w:rsidR="0018202F" w:rsidRPr="0018202F" w:rsidRDefault="0018202F" w:rsidP="0018202F">
      <w:pPr>
        <w:pStyle w:val="Bibliography"/>
        <w:rPr>
          <w:sz w:val="16"/>
        </w:rPr>
      </w:pPr>
      <w:r w:rsidRPr="0018202F">
        <w:rPr>
          <w:sz w:val="16"/>
        </w:rPr>
        <w:t>[11]</w:t>
      </w:r>
      <w:r w:rsidRPr="0018202F">
        <w:rPr>
          <w:sz w:val="16"/>
        </w:rPr>
        <w:tab/>
        <w:t xml:space="preserve">M. J. Khan, K.-S. Hong, N. Naseer, and M. R. Bhutta, “A hybrid EEG-fNIRS BCI: Motor imagery for EEG and mental arithmetic for fNIRS,” in </w:t>
      </w:r>
      <w:r w:rsidRPr="0018202F">
        <w:rPr>
          <w:i/>
          <w:iCs/>
          <w:sz w:val="16"/>
        </w:rPr>
        <w:t>2014 14th International Conference on Control, Automation and Systems (ICCAS 2014)</w:t>
      </w:r>
      <w:r w:rsidRPr="0018202F">
        <w:rPr>
          <w:sz w:val="16"/>
        </w:rPr>
        <w:t>, Oct. 2014, pp. 275–278. doi: 10.1109/ICCAS.2014.6988001.</w:t>
      </w:r>
    </w:p>
    <w:p w14:paraId="5729FBD2" w14:textId="77777777" w:rsidR="0018202F" w:rsidRPr="0018202F" w:rsidRDefault="0018202F" w:rsidP="0018202F">
      <w:pPr>
        <w:pStyle w:val="Bibliography"/>
        <w:rPr>
          <w:sz w:val="16"/>
        </w:rPr>
      </w:pPr>
      <w:r w:rsidRPr="0018202F">
        <w:rPr>
          <w:sz w:val="16"/>
        </w:rPr>
        <w:t>[12]</w:t>
      </w:r>
      <w:r w:rsidRPr="0018202F">
        <w:rPr>
          <w:sz w:val="16"/>
        </w:rPr>
        <w:tab/>
        <w:t xml:space="preserve">J. Yu, K. K. Ang, C. Guan, and C. Wang, “A multimodal fNIRS and EEG-based BCI study on motor imagery and passive movement,” in </w:t>
      </w:r>
      <w:r w:rsidRPr="0018202F">
        <w:rPr>
          <w:i/>
          <w:iCs/>
          <w:sz w:val="16"/>
        </w:rPr>
        <w:t>2013 6th International IEEE/EMBS Conference on Neural Engineering (NER)</w:t>
      </w:r>
      <w:r w:rsidRPr="0018202F">
        <w:rPr>
          <w:sz w:val="16"/>
        </w:rPr>
        <w:t>, Nov. 2013, pp. 5–8. doi: 10.1109/NER.2013.6695857.</w:t>
      </w:r>
    </w:p>
    <w:p w14:paraId="00AE7BD0" w14:textId="77777777" w:rsidR="0018202F" w:rsidRPr="0018202F" w:rsidRDefault="0018202F" w:rsidP="0018202F">
      <w:pPr>
        <w:pStyle w:val="Bibliography"/>
        <w:rPr>
          <w:sz w:val="16"/>
        </w:rPr>
      </w:pPr>
      <w:r w:rsidRPr="0018202F">
        <w:rPr>
          <w:sz w:val="16"/>
        </w:rPr>
        <w:t>[13]</w:t>
      </w:r>
      <w:r w:rsidRPr="0018202F">
        <w:rPr>
          <w:sz w:val="16"/>
        </w:rPr>
        <w:tab/>
        <w:t xml:space="preserve">P. Reddy, M. Izzetoglu, P. A. Shewokis, M. Sangobowale, R. Diaz-Arrastia, and K. Izzetoglu, “Evaluation of fNIRS signal components elicited by cognitive and hypercapnic stimuli,” </w:t>
      </w:r>
      <w:r w:rsidRPr="0018202F">
        <w:rPr>
          <w:i/>
          <w:iCs/>
          <w:sz w:val="16"/>
        </w:rPr>
        <w:t>Sci Rep</w:t>
      </w:r>
      <w:r w:rsidRPr="0018202F">
        <w:rPr>
          <w:sz w:val="16"/>
        </w:rPr>
        <w:t>, vol. 11, no. 1, p. 23457, Dec. 2021, doi: 10.1038/s41598-021-02076-7.</w:t>
      </w:r>
    </w:p>
    <w:p w14:paraId="40D089D8" w14:textId="77777777" w:rsidR="0018202F" w:rsidRPr="0018202F" w:rsidRDefault="0018202F" w:rsidP="0018202F">
      <w:pPr>
        <w:pStyle w:val="Bibliography"/>
        <w:rPr>
          <w:sz w:val="16"/>
        </w:rPr>
      </w:pPr>
      <w:r w:rsidRPr="0018202F">
        <w:rPr>
          <w:sz w:val="16"/>
        </w:rPr>
        <w:t>[14]</w:t>
      </w:r>
      <w:r w:rsidRPr="0018202F">
        <w:rPr>
          <w:sz w:val="16"/>
        </w:rPr>
        <w:tab/>
        <w:t xml:space="preserve">N. Hakimi </w:t>
      </w:r>
      <w:r w:rsidRPr="0018202F">
        <w:rPr>
          <w:i/>
          <w:iCs/>
          <w:sz w:val="16"/>
        </w:rPr>
        <w:t>et al.</w:t>
      </w:r>
      <w:r w:rsidRPr="0018202F">
        <w:rPr>
          <w:sz w:val="16"/>
        </w:rPr>
        <w:t xml:space="preserve">, “Estimation of Respiratory Rate from Functional Near-Infrared Spectroscopy (fNIRS): A New Perspective on Respiratory Interference,” </w:t>
      </w:r>
      <w:r w:rsidRPr="0018202F">
        <w:rPr>
          <w:i/>
          <w:iCs/>
          <w:sz w:val="16"/>
        </w:rPr>
        <w:t>Biosensors</w:t>
      </w:r>
      <w:r w:rsidRPr="0018202F">
        <w:rPr>
          <w:sz w:val="16"/>
        </w:rPr>
        <w:t>, vol. 12, no. 12, p. 1170, Dec. 2022, doi: 10.3390/bios12121170.</w:t>
      </w:r>
    </w:p>
    <w:p w14:paraId="1B44EE8D" w14:textId="77777777" w:rsidR="0018202F" w:rsidRPr="0018202F" w:rsidRDefault="0018202F" w:rsidP="0018202F">
      <w:pPr>
        <w:pStyle w:val="Bibliography"/>
        <w:rPr>
          <w:sz w:val="16"/>
        </w:rPr>
      </w:pPr>
      <w:r w:rsidRPr="0018202F">
        <w:rPr>
          <w:sz w:val="16"/>
        </w:rPr>
        <w:t>[15]</w:t>
      </w:r>
      <w:r w:rsidRPr="0018202F">
        <w:rPr>
          <w:sz w:val="16"/>
        </w:rPr>
        <w:tab/>
        <w:t xml:space="preserve">D. Candia-Rivera, M. S. Sappia, J. M. Horschig, W. N. J. M. Colier, and G. Valenza, “Confounding effects of heart rate, breathing rate, and frontal fNIRS on interoception,” </w:t>
      </w:r>
      <w:r w:rsidRPr="0018202F">
        <w:rPr>
          <w:i/>
          <w:iCs/>
          <w:sz w:val="16"/>
        </w:rPr>
        <w:t>Sci Rep</w:t>
      </w:r>
      <w:r w:rsidRPr="0018202F">
        <w:rPr>
          <w:sz w:val="16"/>
        </w:rPr>
        <w:t>, vol. 12, no. 1, p. 20701, Nov. 2022, doi: 10.1038/s41598-022-25119-z.</w:t>
      </w:r>
    </w:p>
    <w:p w14:paraId="3E805650" w14:textId="77777777" w:rsidR="0018202F" w:rsidRPr="0018202F" w:rsidRDefault="0018202F" w:rsidP="0018202F">
      <w:pPr>
        <w:pStyle w:val="Bibliography"/>
        <w:rPr>
          <w:sz w:val="16"/>
        </w:rPr>
      </w:pPr>
      <w:r w:rsidRPr="0018202F">
        <w:rPr>
          <w:sz w:val="16"/>
        </w:rPr>
        <w:t>[16]</w:t>
      </w:r>
      <w:r w:rsidRPr="0018202F">
        <w:rPr>
          <w:sz w:val="16"/>
        </w:rPr>
        <w:tab/>
        <w:t xml:space="preserve">I. Tachtsidis and F. Scholkmann, “False positives and false negatives in functional near-infrared spectroscopy: issues, challenges, and the way forward,” </w:t>
      </w:r>
      <w:r w:rsidRPr="0018202F">
        <w:rPr>
          <w:i/>
          <w:iCs/>
          <w:sz w:val="16"/>
        </w:rPr>
        <w:t>Neurophotonics</w:t>
      </w:r>
      <w:r w:rsidRPr="0018202F">
        <w:rPr>
          <w:sz w:val="16"/>
        </w:rPr>
        <w:t>, vol. 3, no. 3, p. 031405, Jul. 2016, doi: 10.1117/1.NPh.3.3.031405.</w:t>
      </w:r>
    </w:p>
    <w:p w14:paraId="5C7C12A7" w14:textId="77777777" w:rsidR="0018202F" w:rsidRPr="0018202F" w:rsidRDefault="0018202F" w:rsidP="0018202F">
      <w:pPr>
        <w:pStyle w:val="Bibliography"/>
        <w:rPr>
          <w:sz w:val="16"/>
        </w:rPr>
      </w:pPr>
      <w:r w:rsidRPr="0018202F">
        <w:rPr>
          <w:sz w:val="16"/>
        </w:rPr>
        <w:t>[17]</w:t>
      </w:r>
      <w:r w:rsidRPr="0018202F">
        <w:rPr>
          <w:sz w:val="16"/>
        </w:rPr>
        <w:tab/>
        <w:t xml:space="preserve">M. A. Yücel </w:t>
      </w:r>
      <w:r w:rsidRPr="0018202F">
        <w:rPr>
          <w:i/>
          <w:iCs/>
          <w:sz w:val="16"/>
        </w:rPr>
        <w:t>et al.</w:t>
      </w:r>
      <w:r w:rsidRPr="0018202F">
        <w:rPr>
          <w:sz w:val="16"/>
        </w:rPr>
        <w:t xml:space="preserve">, “Mayer waves reduce the accuracy of estimated hemodynamic response functions in functional near-infrared spectroscopy,” </w:t>
      </w:r>
      <w:r w:rsidRPr="0018202F">
        <w:rPr>
          <w:i/>
          <w:iCs/>
          <w:sz w:val="16"/>
        </w:rPr>
        <w:t>Biomed Opt Express</w:t>
      </w:r>
      <w:r w:rsidRPr="0018202F">
        <w:rPr>
          <w:sz w:val="16"/>
        </w:rPr>
        <w:t>, vol. 7, no. 8, pp. 3078–3088, Jul. 2016, doi: 10.1364/BOE.7.003078.</w:t>
      </w:r>
    </w:p>
    <w:p w14:paraId="1EE47779" w14:textId="77777777" w:rsidR="0018202F" w:rsidRPr="0018202F" w:rsidRDefault="0018202F" w:rsidP="0018202F">
      <w:pPr>
        <w:pStyle w:val="Bibliography"/>
        <w:rPr>
          <w:sz w:val="16"/>
        </w:rPr>
      </w:pPr>
      <w:r w:rsidRPr="0018202F">
        <w:rPr>
          <w:sz w:val="16"/>
        </w:rPr>
        <w:t>[18]</w:t>
      </w:r>
      <w:r w:rsidRPr="0018202F">
        <w:rPr>
          <w:sz w:val="16"/>
        </w:rPr>
        <w:tab/>
        <w:t xml:space="preserve">Y.-L. Zheng, D.-X. Wang, Y.-R. Zhang, and Y.-Y. Tang, “Enhancing Attention by Synchronizing Respiration and Fingertip Pressure: A Pilot Study Using Functional Near-Infrared Spectroscopy,” </w:t>
      </w:r>
      <w:r w:rsidRPr="0018202F">
        <w:rPr>
          <w:i/>
          <w:iCs/>
          <w:sz w:val="16"/>
        </w:rPr>
        <w:t>Front. Neurosci.</w:t>
      </w:r>
      <w:r w:rsidRPr="0018202F">
        <w:rPr>
          <w:sz w:val="16"/>
        </w:rPr>
        <w:t>, vol. 13, p. 1209, Nov. 2019, doi: 10.3389/fnins.2019.01209.</w:t>
      </w:r>
    </w:p>
    <w:p w14:paraId="3DC81887" w14:textId="77777777" w:rsidR="0018202F" w:rsidRPr="0018202F" w:rsidRDefault="0018202F" w:rsidP="0018202F">
      <w:pPr>
        <w:pStyle w:val="Bibliography"/>
        <w:rPr>
          <w:sz w:val="16"/>
        </w:rPr>
      </w:pPr>
      <w:r w:rsidRPr="0018202F">
        <w:rPr>
          <w:sz w:val="16"/>
        </w:rPr>
        <w:t>[19]</w:t>
      </w:r>
      <w:r w:rsidRPr="0018202F">
        <w:rPr>
          <w:sz w:val="16"/>
        </w:rPr>
        <w:tab/>
        <w:t>R. Luke, M. J. Shader, A. Gramfort, E. Larson, A. K. Lee, and D. McAlpine, “Oxygenated hemoglobin signal provides greater predictive performance of experimental condition than de-oxygenated.” bioRxiv, p. 2021.11.19.469225, Nov. 20, 2021. doi: 10.1101/2021.11.19.469225.</w:t>
      </w:r>
    </w:p>
    <w:p w14:paraId="53D323BF" w14:textId="4061B607" w:rsidR="000A4245" w:rsidRDefault="00476E25" w:rsidP="00476E25">
      <w:pPr>
        <w:rPr>
          <w:sz w:val="16"/>
          <w:szCs w:val="16"/>
        </w:rPr>
      </w:pPr>
      <w:r w:rsidRPr="005F624C">
        <w:rPr>
          <w:sz w:val="16"/>
          <w:szCs w:val="16"/>
        </w:rPr>
        <w:fldChar w:fldCharType="end"/>
      </w:r>
    </w:p>
    <w:p w14:paraId="539374F4" w14:textId="77777777" w:rsidR="008F795C" w:rsidRPr="000A4245" w:rsidRDefault="008F795C" w:rsidP="00476E25">
      <w:pPr>
        <w:rPr>
          <w:sz w:val="16"/>
          <w:szCs w:val="16"/>
        </w:rPr>
      </w:pPr>
    </w:p>
    <w:sectPr w:rsidR="008F795C" w:rsidRPr="000A4245" w:rsidSect="0015028E">
      <w:headerReference w:type="default" r:id="rId12"/>
      <w:pgSz w:w="12240" w:h="15840" w:code="1"/>
      <w:pgMar w:top="1080" w:right="1080" w:bottom="1080" w:left="1080"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D8433" w14:textId="77777777" w:rsidR="007867ED" w:rsidRDefault="007867ED">
      <w:r>
        <w:separator/>
      </w:r>
    </w:p>
  </w:endnote>
  <w:endnote w:type="continuationSeparator" w:id="0">
    <w:p w14:paraId="212D4DAF" w14:textId="77777777" w:rsidR="007867ED" w:rsidRDefault="0078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E23C0" w14:textId="77777777" w:rsidR="007867ED" w:rsidRDefault="007867ED"/>
  </w:footnote>
  <w:footnote w:type="continuationSeparator" w:id="0">
    <w:p w14:paraId="20303223" w14:textId="77777777" w:rsidR="007867ED" w:rsidRDefault="007867ED">
      <w:r>
        <w:continuationSeparator/>
      </w:r>
    </w:p>
  </w:footnote>
  <w:footnote w:id="1">
    <w:p w14:paraId="124E0B42" w14:textId="77777777" w:rsidR="00262B29" w:rsidRDefault="00262B29" w:rsidP="00262B29">
      <w:pPr>
        <w:pStyle w:val="FootnoteText"/>
      </w:pPr>
      <w:r>
        <w:t xml:space="preserve">1 are with the </w:t>
      </w:r>
      <w:r w:rsidRPr="00375003">
        <w:t>Institute for Infocomm Research</w:t>
      </w:r>
      <w:r>
        <w:t xml:space="preserve"> (I2R)</w:t>
      </w:r>
      <w:r w:rsidRPr="00375003">
        <w:t xml:space="preserve">, Agency for Science, Technology and Research (A*STAR), </w:t>
      </w:r>
      <w:r w:rsidRPr="00B14360">
        <w:t xml:space="preserve">1 Fusionopolis Way, #21-01 </w:t>
      </w:r>
      <w:proofErr w:type="spellStart"/>
      <w:r w:rsidRPr="00B14360">
        <w:t>Connexis</w:t>
      </w:r>
      <w:proofErr w:type="spellEnd"/>
      <w:r w:rsidRPr="00B14360">
        <w:t xml:space="preserve"> (South Tower), Singapore 138632</w:t>
      </w:r>
      <w:r>
        <w:t xml:space="preserve">. (Corresponding author e-mail: brianp@i2r.a-star.edu.sg). </w:t>
      </w:r>
    </w:p>
    <w:p w14:paraId="4F265AC0" w14:textId="77777777" w:rsidR="00262B29" w:rsidRDefault="00262B29" w:rsidP="000C0EE8">
      <w:pPr>
        <w:pStyle w:val="FootnoteText"/>
      </w:pPr>
      <w:r>
        <w:t xml:space="preserve">2 is also with the School of Computer Science and Engineering, Nanyang Technological University, </w:t>
      </w:r>
      <w:r w:rsidRPr="001E2DBF">
        <w:t>50 Nanyang Ave, #32 Block N4 #02a, Singapore 639798</w:t>
      </w:r>
      <w:r>
        <w:t>.</w:t>
      </w:r>
    </w:p>
    <w:p w14:paraId="6DF4B86D" w14:textId="1D7290B6" w:rsidR="00CF45B8" w:rsidRDefault="00CF45B8" w:rsidP="000C0EE8">
      <w:pPr>
        <w:pStyle w:val="FootnoteText"/>
      </w:pPr>
      <w:r>
        <w:t xml:space="preserve">3 is also with the Singapore Research Centre Shanghai </w:t>
      </w:r>
      <w:proofErr w:type="spellStart"/>
      <w:r>
        <w:t>MicroPort</w:t>
      </w:r>
      <w:proofErr w:type="spellEnd"/>
      <w:r>
        <w:t xml:space="preserve"> </w:t>
      </w:r>
      <w:proofErr w:type="spellStart"/>
      <w:r>
        <w:t>MedBot</w:t>
      </w:r>
      <w:proofErr w:type="spellEnd"/>
      <w:r>
        <w:t xml:space="preserve"> (Group) Co., Ltd.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F513" w14:textId="77777777" w:rsidR="00C2692F" w:rsidRDefault="00C2692F">
    <w:pPr>
      <w:framePr w:wrap="auto" w:vAnchor="text" w:hAnchor="margin" w:xAlign="right" w:y="1"/>
    </w:pPr>
  </w:p>
  <w:p w14:paraId="0235DA55" w14:textId="77777777" w:rsidR="00C2692F" w:rsidRDefault="00C2692F" w:rsidP="00C2692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436" w:hanging="720"/>
      </w:pPr>
    </w:lvl>
    <w:lvl w:ilvl="4">
      <w:start w:val="1"/>
      <w:numFmt w:val="decimal"/>
      <w:pStyle w:val="Heading5"/>
      <w:lvlText w:val="(%5)"/>
      <w:legacy w:legacy="1" w:legacySpace="0" w:legacyIndent="720"/>
      <w:lvlJc w:val="left"/>
      <w:pPr>
        <w:ind w:left="2156" w:hanging="720"/>
      </w:pPr>
    </w:lvl>
    <w:lvl w:ilvl="5">
      <w:start w:val="1"/>
      <w:numFmt w:val="lowerLetter"/>
      <w:pStyle w:val="Heading6"/>
      <w:lvlText w:val="(%6)"/>
      <w:legacy w:legacy="1" w:legacySpace="0" w:legacyIndent="720"/>
      <w:lvlJc w:val="left"/>
      <w:pPr>
        <w:ind w:left="2876" w:hanging="720"/>
      </w:pPr>
    </w:lvl>
    <w:lvl w:ilvl="6">
      <w:start w:val="1"/>
      <w:numFmt w:val="lowerRoman"/>
      <w:pStyle w:val="Heading7"/>
      <w:lvlText w:val="(%7)"/>
      <w:legacy w:legacy="1" w:legacySpace="0" w:legacyIndent="720"/>
      <w:lvlJc w:val="left"/>
      <w:pPr>
        <w:ind w:left="3596" w:hanging="720"/>
      </w:pPr>
    </w:lvl>
    <w:lvl w:ilvl="7">
      <w:start w:val="1"/>
      <w:numFmt w:val="lowerLetter"/>
      <w:pStyle w:val="Heading8"/>
      <w:lvlText w:val="(%8)"/>
      <w:legacy w:legacy="1" w:legacySpace="0" w:legacyIndent="720"/>
      <w:lvlJc w:val="left"/>
      <w:pPr>
        <w:ind w:left="4316" w:hanging="720"/>
      </w:pPr>
    </w:lvl>
    <w:lvl w:ilvl="8">
      <w:start w:val="1"/>
      <w:numFmt w:val="lowerRoman"/>
      <w:pStyle w:val="Heading9"/>
      <w:lvlText w:val="(%9)"/>
      <w:legacy w:legacy="1" w:legacySpace="0" w:legacyIndent="720"/>
      <w:lvlJc w:val="left"/>
      <w:pPr>
        <w:ind w:left="5036" w:hanging="720"/>
      </w:pPr>
    </w:lvl>
  </w:abstractNum>
  <w:abstractNum w:abstractNumId="1"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3"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8"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6DC3293B"/>
    <w:multiLevelType w:val="singleLevel"/>
    <w:tmpl w:val="0450B0AA"/>
    <w:lvl w:ilvl="0">
      <w:start w:val="1"/>
      <w:numFmt w:val="decimal"/>
      <w:lvlText w:val="[%1]"/>
      <w:lvlJc w:val="left"/>
      <w:pPr>
        <w:tabs>
          <w:tab w:val="num" w:pos="360"/>
        </w:tabs>
        <w:ind w:left="360" w:hanging="360"/>
      </w:pPr>
      <w:rPr>
        <w:sz w:val="18"/>
        <w:szCs w:val="18"/>
      </w:rPr>
    </w:lvl>
  </w:abstractNum>
  <w:abstractNum w:abstractNumId="14"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1433084600">
    <w:abstractNumId w:val="0"/>
  </w:num>
  <w:num w:numId="2" w16cid:durableId="883105527">
    <w:abstractNumId w:val="4"/>
  </w:num>
  <w:num w:numId="3" w16cid:durableId="1037048523">
    <w:abstractNumId w:val="4"/>
    <w:lvlOverride w:ilvl="0">
      <w:lvl w:ilvl="0">
        <w:start w:val="1"/>
        <w:numFmt w:val="decimal"/>
        <w:lvlText w:val="%1."/>
        <w:legacy w:legacy="1" w:legacySpace="0" w:legacyIndent="360"/>
        <w:lvlJc w:val="left"/>
        <w:pPr>
          <w:ind w:left="360" w:hanging="360"/>
        </w:pPr>
      </w:lvl>
    </w:lvlOverride>
  </w:num>
  <w:num w:numId="4" w16cid:durableId="1914243224">
    <w:abstractNumId w:val="4"/>
    <w:lvlOverride w:ilvl="0">
      <w:lvl w:ilvl="0">
        <w:start w:val="1"/>
        <w:numFmt w:val="decimal"/>
        <w:lvlText w:val="%1."/>
        <w:legacy w:legacy="1" w:legacySpace="0" w:legacyIndent="360"/>
        <w:lvlJc w:val="left"/>
        <w:pPr>
          <w:ind w:left="360" w:hanging="360"/>
        </w:pPr>
      </w:lvl>
    </w:lvlOverride>
  </w:num>
  <w:num w:numId="5" w16cid:durableId="891887774">
    <w:abstractNumId w:val="4"/>
    <w:lvlOverride w:ilvl="0">
      <w:lvl w:ilvl="0">
        <w:start w:val="1"/>
        <w:numFmt w:val="decimal"/>
        <w:lvlText w:val="%1."/>
        <w:legacy w:legacy="1" w:legacySpace="0" w:legacyIndent="360"/>
        <w:lvlJc w:val="left"/>
        <w:pPr>
          <w:ind w:left="360" w:hanging="360"/>
        </w:pPr>
      </w:lvl>
    </w:lvlOverride>
  </w:num>
  <w:num w:numId="6" w16cid:durableId="1912278255">
    <w:abstractNumId w:val="8"/>
  </w:num>
  <w:num w:numId="7" w16cid:durableId="1677148576">
    <w:abstractNumId w:val="8"/>
    <w:lvlOverride w:ilvl="0">
      <w:lvl w:ilvl="0">
        <w:start w:val="1"/>
        <w:numFmt w:val="decimal"/>
        <w:lvlText w:val="%1."/>
        <w:legacy w:legacy="1" w:legacySpace="0" w:legacyIndent="360"/>
        <w:lvlJc w:val="left"/>
        <w:pPr>
          <w:ind w:left="360" w:hanging="360"/>
        </w:pPr>
      </w:lvl>
    </w:lvlOverride>
  </w:num>
  <w:num w:numId="8" w16cid:durableId="133646716">
    <w:abstractNumId w:val="8"/>
    <w:lvlOverride w:ilvl="0">
      <w:lvl w:ilvl="0">
        <w:start w:val="1"/>
        <w:numFmt w:val="decimal"/>
        <w:lvlText w:val="%1."/>
        <w:legacy w:legacy="1" w:legacySpace="0" w:legacyIndent="360"/>
        <w:lvlJc w:val="left"/>
        <w:pPr>
          <w:ind w:left="360" w:hanging="360"/>
        </w:pPr>
      </w:lvl>
    </w:lvlOverride>
  </w:num>
  <w:num w:numId="9" w16cid:durableId="1870869521">
    <w:abstractNumId w:val="8"/>
    <w:lvlOverride w:ilvl="0">
      <w:lvl w:ilvl="0">
        <w:start w:val="1"/>
        <w:numFmt w:val="decimal"/>
        <w:lvlText w:val="%1."/>
        <w:legacy w:legacy="1" w:legacySpace="0" w:legacyIndent="360"/>
        <w:lvlJc w:val="left"/>
        <w:pPr>
          <w:ind w:left="360" w:hanging="360"/>
        </w:pPr>
      </w:lvl>
    </w:lvlOverride>
  </w:num>
  <w:num w:numId="10" w16cid:durableId="886141846">
    <w:abstractNumId w:val="8"/>
    <w:lvlOverride w:ilvl="0">
      <w:lvl w:ilvl="0">
        <w:start w:val="1"/>
        <w:numFmt w:val="decimal"/>
        <w:lvlText w:val="%1."/>
        <w:legacy w:legacy="1" w:legacySpace="0" w:legacyIndent="360"/>
        <w:lvlJc w:val="left"/>
        <w:pPr>
          <w:ind w:left="360" w:hanging="360"/>
        </w:pPr>
      </w:lvl>
    </w:lvlOverride>
  </w:num>
  <w:num w:numId="11" w16cid:durableId="283584320">
    <w:abstractNumId w:val="8"/>
    <w:lvlOverride w:ilvl="0">
      <w:lvl w:ilvl="0">
        <w:start w:val="1"/>
        <w:numFmt w:val="decimal"/>
        <w:lvlText w:val="%1."/>
        <w:legacy w:legacy="1" w:legacySpace="0" w:legacyIndent="360"/>
        <w:lvlJc w:val="left"/>
        <w:pPr>
          <w:ind w:left="360" w:hanging="360"/>
        </w:pPr>
      </w:lvl>
    </w:lvlOverride>
  </w:num>
  <w:num w:numId="12" w16cid:durableId="1891645065">
    <w:abstractNumId w:val="6"/>
  </w:num>
  <w:num w:numId="13" w16cid:durableId="1762219356">
    <w:abstractNumId w:val="1"/>
  </w:num>
  <w:num w:numId="14" w16cid:durableId="1082750534">
    <w:abstractNumId w:val="10"/>
  </w:num>
  <w:num w:numId="15" w16cid:durableId="660892137">
    <w:abstractNumId w:val="9"/>
  </w:num>
  <w:num w:numId="16" w16cid:durableId="2019387398">
    <w:abstractNumId w:val="14"/>
  </w:num>
  <w:num w:numId="17" w16cid:durableId="2105149015">
    <w:abstractNumId w:val="3"/>
  </w:num>
  <w:num w:numId="18" w16cid:durableId="1628396046">
    <w:abstractNumId w:val="2"/>
  </w:num>
  <w:num w:numId="19" w16cid:durableId="1305693458">
    <w:abstractNumId w:val="13"/>
  </w:num>
  <w:num w:numId="20" w16cid:durableId="92869437">
    <w:abstractNumId w:val="7"/>
  </w:num>
  <w:num w:numId="21" w16cid:durableId="1211648388">
    <w:abstractNumId w:val="5"/>
  </w:num>
  <w:num w:numId="22" w16cid:durableId="1572034690">
    <w:abstractNumId w:val="11"/>
  </w:num>
  <w:num w:numId="23" w16cid:durableId="5868156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FC9"/>
    <w:rsid w:val="000040AB"/>
    <w:rsid w:val="00025159"/>
    <w:rsid w:val="00044D11"/>
    <w:rsid w:val="000810DE"/>
    <w:rsid w:val="0008323E"/>
    <w:rsid w:val="00091825"/>
    <w:rsid w:val="00091D4C"/>
    <w:rsid w:val="0009402B"/>
    <w:rsid w:val="000965D3"/>
    <w:rsid w:val="000A4245"/>
    <w:rsid w:val="000A6EF1"/>
    <w:rsid w:val="000C0EE8"/>
    <w:rsid w:val="000C1331"/>
    <w:rsid w:val="000E2846"/>
    <w:rsid w:val="000F7E4C"/>
    <w:rsid w:val="00101E54"/>
    <w:rsid w:val="00104092"/>
    <w:rsid w:val="001138FF"/>
    <w:rsid w:val="001465E1"/>
    <w:rsid w:val="0015028E"/>
    <w:rsid w:val="001572C0"/>
    <w:rsid w:val="00166DAF"/>
    <w:rsid w:val="00181640"/>
    <w:rsid w:val="0018202F"/>
    <w:rsid w:val="00182181"/>
    <w:rsid w:val="001903AB"/>
    <w:rsid w:val="001A045D"/>
    <w:rsid w:val="001A13E6"/>
    <w:rsid w:val="001A265A"/>
    <w:rsid w:val="001A3F72"/>
    <w:rsid w:val="001C2B1E"/>
    <w:rsid w:val="001C37F7"/>
    <w:rsid w:val="001C400B"/>
    <w:rsid w:val="00201110"/>
    <w:rsid w:val="0020357D"/>
    <w:rsid w:val="00203831"/>
    <w:rsid w:val="00211B8A"/>
    <w:rsid w:val="0022186C"/>
    <w:rsid w:val="002222AA"/>
    <w:rsid w:val="00230DA8"/>
    <w:rsid w:val="00234DC3"/>
    <w:rsid w:val="00242D67"/>
    <w:rsid w:val="00245152"/>
    <w:rsid w:val="0025275F"/>
    <w:rsid w:val="00261E24"/>
    <w:rsid w:val="00262B29"/>
    <w:rsid w:val="00272190"/>
    <w:rsid w:val="002750CC"/>
    <w:rsid w:val="002802F2"/>
    <w:rsid w:val="00290212"/>
    <w:rsid w:val="002968E2"/>
    <w:rsid w:val="002A637F"/>
    <w:rsid w:val="002B4254"/>
    <w:rsid w:val="002C1B7E"/>
    <w:rsid w:val="002C6F17"/>
    <w:rsid w:val="002C7565"/>
    <w:rsid w:val="002D1CD0"/>
    <w:rsid w:val="002E1587"/>
    <w:rsid w:val="002E76C8"/>
    <w:rsid w:val="002E797A"/>
    <w:rsid w:val="002F238E"/>
    <w:rsid w:val="002F2C47"/>
    <w:rsid w:val="002F71D6"/>
    <w:rsid w:val="00310EC4"/>
    <w:rsid w:val="00322B08"/>
    <w:rsid w:val="003355B4"/>
    <w:rsid w:val="0034119F"/>
    <w:rsid w:val="00361150"/>
    <w:rsid w:val="00361C84"/>
    <w:rsid w:val="003647A2"/>
    <w:rsid w:val="003654EB"/>
    <w:rsid w:val="003753FB"/>
    <w:rsid w:val="003834C1"/>
    <w:rsid w:val="00390DF2"/>
    <w:rsid w:val="00391CA4"/>
    <w:rsid w:val="003924A2"/>
    <w:rsid w:val="0039784B"/>
    <w:rsid w:val="00397923"/>
    <w:rsid w:val="003A5BF4"/>
    <w:rsid w:val="003A64E1"/>
    <w:rsid w:val="003B051D"/>
    <w:rsid w:val="003D092C"/>
    <w:rsid w:val="003D6592"/>
    <w:rsid w:val="003D7477"/>
    <w:rsid w:val="003F3BCE"/>
    <w:rsid w:val="00403D04"/>
    <w:rsid w:val="00407C61"/>
    <w:rsid w:val="00423DBF"/>
    <w:rsid w:val="00424C49"/>
    <w:rsid w:val="00426271"/>
    <w:rsid w:val="004330F6"/>
    <w:rsid w:val="00437695"/>
    <w:rsid w:val="00457785"/>
    <w:rsid w:val="004707CA"/>
    <w:rsid w:val="00476E25"/>
    <w:rsid w:val="00486A82"/>
    <w:rsid w:val="004877CB"/>
    <w:rsid w:val="00490862"/>
    <w:rsid w:val="004A1229"/>
    <w:rsid w:val="004A16CB"/>
    <w:rsid w:val="004B0F18"/>
    <w:rsid w:val="004C16B2"/>
    <w:rsid w:val="004C2E4B"/>
    <w:rsid w:val="004C4CE1"/>
    <w:rsid w:val="004E5973"/>
    <w:rsid w:val="005071D0"/>
    <w:rsid w:val="00511F6B"/>
    <w:rsid w:val="00520ED8"/>
    <w:rsid w:val="005333CA"/>
    <w:rsid w:val="005440BA"/>
    <w:rsid w:val="005470FA"/>
    <w:rsid w:val="00560124"/>
    <w:rsid w:val="00570EC3"/>
    <w:rsid w:val="00571B4F"/>
    <w:rsid w:val="00592907"/>
    <w:rsid w:val="005946AE"/>
    <w:rsid w:val="005978FE"/>
    <w:rsid w:val="005A0258"/>
    <w:rsid w:val="005B0EC1"/>
    <w:rsid w:val="005B5702"/>
    <w:rsid w:val="005D029D"/>
    <w:rsid w:val="005D5630"/>
    <w:rsid w:val="005D63D1"/>
    <w:rsid w:val="005E6E62"/>
    <w:rsid w:val="005F3A7B"/>
    <w:rsid w:val="005F624C"/>
    <w:rsid w:val="00602EEA"/>
    <w:rsid w:val="00622E4E"/>
    <w:rsid w:val="00652855"/>
    <w:rsid w:val="00656AE4"/>
    <w:rsid w:val="00685E78"/>
    <w:rsid w:val="006938FF"/>
    <w:rsid w:val="0069451D"/>
    <w:rsid w:val="00697D02"/>
    <w:rsid w:val="006A4904"/>
    <w:rsid w:val="006B1493"/>
    <w:rsid w:val="006B357A"/>
    <w:rsid w:val="006C1F99"/>
    <w:rsid w:val="006D2998"/>
    <w:rsid w:val="006D6227"/>
    <w:rsid w:val="006D7805"/>
    <w:rsid w:val="006F1FC6"/>
    <w:rsid w:val="0071491E"/>
    <w:rsid w:val="0071517A"/>
    <w:rsid w:val="0072434C"/>
    <w:rsid w:val="00737A6E"/>
    <w:rsid w:val="00740C4D"/>
    <w:rsid w:val="00741BB4"/>
    <w:rsid w:val="007465FE"/>
    <w:rsid w:val="00773B29"/>
    <w:rsid w:val="007867ED"/>
    <w:rsid w:val="007A34E8"/>
    <w:rsid w:val="007B686B"/>
    <w:rsid w:val="007B68CB"/>
    <w:rsid w:val="007C2959"/>
    <w:rsid w:val="007C713D"/>
    <w:rsid w:val="007C7F9F"/>
    <w:rsid w:val="007D5131"/>
    <w:rsid w:val="007F5B38"/>
    <w:rsid w:val="007F61BC"/>
    <w:rsid w:val="00812D0F"/>
    <w:rsid w:val="00820FA0"/>
    <w:rsid w:val="00827720"/>
    <w:rsid w:val="0084428E"/>
    <w:rsid w:val="008476E5"/>
    <w:rsid w:val="008477A1"/>
    <w:rsid w:val="00850422"/>
    <w:rsid w:val="00851088"/>
    <w:rsid w:val="00856E92"/>
    <w:rsid w:val="0086478B"/>
    <w:rsid w:val="00883CD0"/>
    <w:rsid w:val="008C133E"/>
    <w:rsid w:val="008D1615"/>
    <w:rsid w:val="008E27C2"/>
    <w:rsid w:val="008F08DE"/>
    <w:rsid w:val="008F6453"/>
    <w:rsid w:val="008F795C"/>
    <w:rsid w:val="00902F8B"/>
    <w:rsid w:val="0093184E"/>
    <w:rsid w:val="00932A82"/>
    <w:rsid w:val="00934175"/>
    <w:rsid w:val="009432F5"/>
    <w:rsid w:val="0096609D"/>
    <w:rsid w:val="00966AA8"/>
    <w:rsid w:val="00980927"/>
    <w:rsid w:val="00985FF5"/>
    <w:rsid w:val="0099060E"/>
    <w:rsid w:val="009B06C5"/>
    <w:rsid w:val="009C0BA3"/>
    <w:rsid w:val="009D197E"/>
    <w:rsid w:val="009D55E0"/>
    <w:rsid w:val="00A05F5A"/>
    <w:rsid w:val="00A40D22"/>
    <w:rsid w:val="00A522FC"/>
    <w:rsid w:val="00A66F53"/>
    <w:rsid w:val="00A70003"/>
    <w:rsid w:val="00A76E91"/>
    <w:rsid w:val="00A92ADA"/>
    <w:rsid w:val="00AA451F"/>
    <w:rsid w:val="00AA5AFA"/>
    <w:rsid w:val="00AB4302"/>
    <w:rsid w:val="00AC4D41"/>
    <w:rsid w:val="00AE08B9"/>
    <w:rsid w:val="00AF00D8"/>
    <w:rsid w:val="00AF6662"/>
    <w:rsid w:val="00B122D3"/>
    <w:rsid w:val="00B275AF"/>
    <w:rsid w:val="00B30F74"/>
    <w:rsid w:val="00B44AB6"/>
    <w:rsid w:val="00B77AFD"/>
    <w:rsid w:val="00B83831"/>
    <w:rsid w:val="00B978B2"/>
    <w:rsid w:val="00BA0C4F"/>
    <w:rsid w:val="00BA698A"/>
    <w:rsid w:val="00BA710F"/>
    <w:rsid w:val="00BB3FC9"/>
    <w:rsid w:val="00BB4940"/>
    <w:rsid w:val="00BC78E8"/>
    <w:rsid w:val="00BF17CC"/>
    <w:rsid w:val="00BF327A"/>
    <w:rsid w:val="00C2692F"/>
    <w:rsid w:val="00C272B1"/>
    <w:rsid w:val="00C32CAC"/>
    <w:rsid w:val="00C375DF"/>
    <w:rsid w:val="00C5683C"/>
    <w:rsid w:val="00C65883"/>
    <w:rsid w:val="00C711B3"/>
    <w:rsid w:val="00C7159E"/>
    <w:rsid w:val="00C81D3A"/>
    <w:rsid w:val="00C85A47"/>
    <w:rsid w:val="00CA5975"/>
    <w:rsid w:val="00CA7B43"/>
    <w:rsid w:val="00CE2FEE"/>
    <w:rsid w:val="00CF0181"/>
    <w:rsid w:val="00CF45B8"/>
    <w:rsid w:val="00CF63D5"/>
    <w:rsid w:val="00D01553"/>
    <w:rsid w:val="00D150E9"/>
    <w:rsid w:val="00D2487E"/>
    <w:rsid w:val="00D57F1E"/>
    <w:rsid w:val="00D62136"/>
    <w:rsid w:val="00D63521"/>
    <w:rsid w:val="00D726AA"/>
    <w:rsid w:val="00DB3014"/>
    <w:rsid w:val="00DC0D28"/>
    <w:rsid w:val="00DE1BCA"/>
    <w:rsid w:val="00E10C32"/>
    <w:rsid w:val="00E20BE4"/>
    <w:rsid w:val="00E556CB"/>
    <w:rsid w:val="00E56742"/>
    <w:rsid w:val="00E753F4"/>
    <w:rsid w:val="00E92EC8"/>
    <w:rsid w:val="00E9398C"/>
    <w:rsid w:val="00E951E7"/>
    <w:rsid w:val="00EC17D2"/>
    <w:rsid w:val="00EE3D65"/>
    <w:rsid w:val="00EF7506"/>
    <w:rsid w:val="00F069D9"/>
    <w:rsid w:val="00F07C76"/>
    <w:rsid w:val="00F15278"/>
    <w:rsid w:val="00F17F31"/>
    <w:rsid w:val="00F31928"/>
    <w:rsid w:val="00F42B13"/>
    <w:rsid w:val="00F9044E"/>
    <w:rsid w:val="00F92629"/>
    <w:rsid w:val="00F93595"/>
    <w:rsid w:val="00F96620"/>
    <w:rsid w:val="00FB5218"/>
    <w:rsid w:val="00FB7F7F"/>
    <w:rsid w:val="00FC3082"/>
    <w:rsid w:val="00FC4C3C"/>
    <w:rsid w:val="00FE1A53"/>
    <w:rsid w:val="00FF1862"/>
    <w:rsid w:val="00FF34DA"/>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74F9A8"/>
  <w15:chartTrackingRefBased/>
  <w15:docId w15:val="{7EEBBF51-0B9B-44C3-9921-6F45766A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rPr>
  </w:style>
  <w:style w:type="paragraph" w:customStyle="1" w:styleId="tablefootnote">
    <w:name w:val="table footnote"/>
    <w:rsid w:val="007A28F1"/>
    <w:pPr>
      <w:spacing w:before="60" w:after="30"/>
      <w:jc w:val="right"/>
    </w:pPr>
    <w:rPr>
      <w:rFonts w:eastAsia="SimSun"/>
      <w:sz w:val="12"/>
      <w:szCs w:val="12"/>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rPr>
  </w:style>
  <w:style w:type="paragraph" w:styleId="Bibliography">
    <w:name w:val="Bibliography"/>
    <w:basedOn w:val="Normal"/>
    <w:next w:val="Normal"/>
    <w:rsid w:val="00476E25"/>
    <w:pPr>
      <w:tabs>
        <w:tab w:val="left" w:pos="384"/>
      </w:tabs>
      <w:ind w:left="384" w:hanging="384"/>
    </w:pPr>
  </w:style>
  <w:style w:type="character" w:styleId="CommentReference">
    <w:name w:val="annotation reference"/>
    <w:basedOn w:val="DefaultParagraphFont"/>
    <w:rsid w:val="004C4CE1"/>
    <w:rPr>
      <w:sz w:val="16"/>
      <w:szCs w:val="16"/>
    </w:rPr>
  </w:style>
  <w:style w:type="paragraph" w:styleId="CommentText">
    <w:name w:val="annotation text"/>
    <w:basedOn w:val="Normal"/>
    <w:link w:val="CommentTextChar"/>
    <w:rsid w:val="004C4CE1"/>
  </w:style>
  <w:style w:type="character" w:customStyle="1" w:styleId="CommentTextChar">
    <w:name w:val="Comment Text Char"/>
    <w:basedOn w:val="DefaultParagraphFont"/>
    <w:link w:val="CommentText"/>
    <w:rsid w:val="004C4CE1"/>
  </w:style>
  <w:style w:type="paragraph" w:styleId="CommentSubject">
    <w:name w:val="annotation subject"/>
    <w:basedOn w:val="CommentText"/>
    <w:next w:val="CommentText"/>
    <w:link w:val="CommentSubjectChar"/>
    <w:rsid w:val="004C4CE1"/>
    <w:rPr>
      <w:b/>
      <w:bCs/>
    </w:rPr>
  </w:style>
  <w:style w:type="character" w:customStyle="1" w:styleId="CommentSubjectChar">
    <w:name w:val="Comment Subject Char"/>
    <w:basedOn w:val="CommentTextChar"/>
    <w:link w:val="CommentSubject"/>
    <w:rsid w:val="004C4CE1"/>
    <w:rPr>
      <w:b/>
      <w:bCs/>
    </w:rPr>
  </w:style>
  <w:style w:type="paragraph" w:styleId="BalloonText">
    <w:name w:val="Balloon Text"/>
    <w:basedOn w:val="Normal"/>
    <w:link w:val="BalloonTextChar"/>
    <w:semiHidden/>
    <w:unhideWhenUsed/>
    <w:rsid w:val="004C4CE1"/>
    <w:rPr>
      <w:rFonts w:ascii="Segoe UI" w:hAnsi="Segoe UI" w:cs="Segoe UI"/>
      <w:sz w:val="18"/>
      <w:szCs w:val="18"/>
    </w:rPr>
  </w:style>
  <w:style w:type="character" w:customStyle="1" w:styleId="BalloonTextChar">
    <w:name w:val="Balloon Text Char"/>
    <w:basedOn w:val="DefaultParagraphFont"/>
    <w:link w:val="BalloonText"/>
    <w:semiHidden/>
    <w:rsid w:val="004C4CE1"/>
    <w:rPr>
      <w:rFonts w:ascii="Segoe UI" w:hAnsi="Segoe UI" w:cs="Segoe UI"/>
      <w:sz w:val="18"/>
      <w:szCs w:val="18"/>
    </w:rPr>
  </w:style>
  <w:style w:type="paragraph" w:styleId="Revision">
    <w:name w:val="Revision"/>
    <w:hidden/>
    <w:semiHidden/>
    <w:rsid w:val="001C37F7"/>
  </w:style>
  <w:style w:type="character" w:customStyle="1" w:styleId="Heading2Char">
    <w:name w:val="Heading 2 Char"/>
    <w:basedOn w:val="DefaultParagraphFont"/>
    <w:link w:val="Heading2"/>
    <w:rsid w:val="00CF45B8"/>
    <w:rPr>
      <w:i/>
      <w:iCs/>
    </w:rPr>
  </w:style>
  <w:style w:type="character" w:styleId="PlaceholderText">
    <w:name w:val="Placeholder Text"/>
    <w:basedOn w:val="DefaultParagraphFont"/>
    <w:semiHidden/>
    <w:rsid w:val="00AA451F"/>
    <w:rPr>
      <w:color w:val="808080"/>
    </w:rPr>
  </w:style>
  <w:style w:type="paragraph" w:styleId="Caption">
    <w:name w:val="caption"/>
    <w:basedOn w:val="Normal"/>
    <w:next w:val="Normal"/>
    <w:semiHidden/>
    <w:unhideWhenUsed/>
    <w:qFormat/>
    <w:rsid w:val="0020383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243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81586-A678-4CFA-B246-7ED308CAF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4</Pages>
  <Words>9442</Words>
  <Characters>53824</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IEEE EMB paper</vt:lpstr>
    </vt:vector>
  </TitlesOfParts>
  <Company>IEEE</Company>
  <LinksUpToDate>false</LinksUpToDate>
  <CharactersWithSpaces>63140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EMB paper</dc:title>
  <dc:subject>IEEE Transactions on Magnetics</dc:subject>
  <dc:creator>James Patton</dc:creator>
  <cp:keywords/>
  <cp:lastModifiedBy>Brian Premchand</cp:lastModifiedBy>
  <cp:revision>28</cp:revision>
  <cp:lastPrinted>2023-04-12T05:36:00Z</cp:lastPrinted>
  <dcterms:created xsi:type="dcterms:W3CDTF">2023-02-03T06:40:00Z</dcterms:created>
  <dcterms:modified xsi:type="dcterms:W3CDTF">2023-04-12T05:37:00Z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id="fNW0NLkT"/&gt;&lt;style id="http://www.zotero.org/styles/ieee" locale="en-US" hasBibliography="1" bibliographyStyleHasBeenSet="1"/&gt;&lt;prefs&gt;&lt;pref name="fieldType" value="Field"/&gt;&lt;/prefs&gt;&lt;/data&gt;</vt:lpwstr>
  </property>
</Properties>
</file>