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8C5EC" w14:textId="4DBDC295" w:rsidR="007865E5" w:rsidRPr="00610A40" w:rsidRDefault="007865E5" w:rsidP="00BF3DC6">
      <w:pPr>
        <w:pStyle w:val="Heading1"/>
      </w:pPr>
      <w:r w:rsidRPr="00610A40">
        <w:t xml:space="preserve">Polyester Elastomers for </w:t>
      </w:r>
      <w:r w:rsidR="00BF2E61" w:rsidRPr="00610A40">
        <w:t xml:space="preserve">Soft </w:t>
      </w:r>
      <w:r w:rsidRPr="00610A40">
        <w:t>Tissue Engineering</w:t>
      </w:r>
    </w:p>
    <w:p w14:paraId="0A2DA403" w14:textId="77777777" w:rsidR="007865E5" w:rsidRPr="00610A40" w:rsidRDefault="007865E5" w:rsidP="00EB7D51">
      <w:pPr>
        <w:pStyle w:val="AuthorsFull"/>
        <w:rPr>
          <w:color w:val="auto"/>
        </w:rPr>
      </w:pPr>
    </w:p>
    <w:p w14:paraId="13F9C030" w14:textId="77777777" w:rsidR="007865E5" w:rsidRPr="00610A40" w:rsidRDefault="0090681D" w:rsidP="00EB7D51">
      <w:pPr>
        <w:pStyle w:val="AuthorsFull"/>
        <w:rPr>
          <w:color w:val="auto"/>
        </w:rPr>
      </w:pPr>
      <w:r w:rsidRPr="00610A40">
        <w:rPr>
          <w:color w:val="auto"/>
        </w:rPr>
        <w:t xml:space="preserve">Hongye Ye^, </w:t>
      </w:r>
      <w:r w:rsidR="0004629D" w:rsidRPr="00610A40">
        <w:rPr>
          <w:color w:val="auto"/>
        </w:rPr>
        <w:t>Kangyi Zhang^</w:t>
      </w:r>
      <w:r w:rsidR="00BC0BEA" w:rsidRPr="00610A40">
        <w:rPr>
          <w:color w:val="auto"/>
        </w:rPr>
        <w:t xml:space="preserve">, Dan Kai, Zibiao Li, </w:t>
      </w:r>
      <w:r w:rsidR="007865E5" w:rsidRPr="00610A40">
        <w:rPr>
          <w:color w:val="auto"/>
        </w:rPr>
        <w:t>Xian Jun Loh*</w:t>
      </w:r>
    </w:p>
    <w:p w14:paraId="6F4EB4A5" w14:textId="77777777" w:rsidR="007865E5" w:rsidRPr="00610A40" w:rsidRDefault="007865E5" w:rsidP="00EB7D51">
      <w:pPr>
        <w:pStyle w:val="Addresses"/>
        <w:rPr>
          <w:color w:val="auto"/>
        </w:rPr>
      </w:pPr>
    </w:p>
    <w:p w14:paraId="39751B86" w14:textId="77777777" w:rsidR="007865E5" w:rsidRPr="00610A40" w:rsidRDefault="007865E5" w:rsidP="00EB7D51">
      <w:pPr>
        <w:rPr>
          <w:color w:val="auto"/>
          <w:szCs w:val="24"/>
        </w:rPr>
      </w:pPr>
      <w:r w:rsidRPr="00610A40">
        <w:rPr>
          <w:color w:val="auto"/>
          <w:szCs w:val="24"/>
        </w:rPr>
        <w:t xml:space="preserve">Institute of Materials Research and Engineering (IMRE), 2 </w:t>
      </w:r>
      <w:proofErr w:type="spellStart"/>
      <w:r w:rsidRPr="00610A40">
        <w:rPr>
          <w:color w:val="auto"/>
          <w:szCs w:val="24"/>
        </w:rPr>
        <w:t>Fusionopolis</w:t>
      </w:r>
      <w:proofErr w:type="spellEnd"/>
      <w:r w:rsidRPr="00610A40">
        <w:rPr>
          <w:color w:val="auto"/>
          <w:szCs w:val="24"/>
        </w:rPr>
        <w:t xml:space="preserve"> Way, #08-03</w:t>
      </w:r>
    </w:p>
    <w:p w14:paraId="5CADA7A3" w14:textId="77777777" w:rsidR="007865E5" w:rsidRPr="00610A40" w:rsidRDefault="007865E5" w:rsidP="00EB7D51">
      <w:pPr>
        <w:rPr>
          <w:color w:val="auto"/>
          <w:szCs w:val="24"/>
        </w:rPr>
      </w:pPr>
      <w:proofErr w:type="spellStart"/>
      <w:r w:rsidRPr="00610A40">
        <w:rPr>
          <w:color w:val="auto"/>
          <w:szCs w:val="24"/>
        </w:rPr>
        <w:t>Innovis</w:t>
      </w:r>
      <w:proofErr w:type="spellEnd"/>
      <w:r w:rsidRPr="00610A40">
        <w:rPr>
          <w:color w:val="auto"/>
          <w:szCs w:val="24"/>
        </w:rPr>
        <w:t>, Singapore 138634</w:t>
      </w:r>
    </w:p>
    <w:p w14:paraId="0D050EC1" w14:textId="77777777" w:rsidR="007865E5" w:rsidRPr="00610A40" w:rsidRDefault="007865E5" w:rsidP="00EB7D51">
      <w:pPr>
        <w:rPr>
          <w:color w:val="auto"/>
          <w:szCs w:val="24"/>
        </w:rPr>
      </w:pPr>
      <w:r w:rsidRPr="00610A40">
        <w:rPr>
          <w:color w:val="auto"/>
          <w:szCs w:val="24"/>
        </w:rPr>
        <w:t>E-mail: lohxj@imre.a-star.edu.sg</w:t>
      </w:r>
    </w:p>
    <w:p w14:paraId="1613C33B" w14:textId="77777777" w:rsidR="007865E5" w:rsidRPr="00610A40" w:rsidRDefault="007865E5" w:rsidP="00EB7D51">
      <w:pPr>
        <w:rPr>
          <w:color w:val="auto"/>
          <w:szCs w:val="24"/>
        </w:rPr>
      </w:pPr>
    </w:p>
    <w:p w14:paraId="0F355BFE" w14:textId="77777777" w:rsidR="007865E5" w:rsidRPr="00610A40" w:rsidRDefault="007865E5" w:rsidP="0090681D">
      <w:pPr>
        <w:jc w:val="left"/>
        <w:rPr>
          <w:color w:val="auto"/>
          <w:szCs w:val="24"/>
        </w:rPr>
      </w:pPr>
      <w:r w:rsidRPr="00610A40">
        <w:rPr>
          <w:color w:val="auto"/>
          <w:szCs w:val="24"/>
        </w:rPr>
        <w:t>X. J. Loh*</w:t>
      </w:r>
      <w:r w:rsidRPr="00610A40">
        <w:rPr>
          <w:color w:val="auto"/>
          <w:szCs w:val="24"/>
        </w:rPr>
        <w:br/>
        <w:t>Department of Materials Science and Engineering, National University of Singapore, 9 Engineering Drive 1, Singapore 117576, Singapore</w:t>
      </w:r>
    </w:p>
    <w:p w14:paraId="0D16E389" w14:textId="77777777" w:rsidR="007865E5" w:rsidRPr="00610A40" w:rsidRDefault="007865E5" w:rsidP="0090681D">
      <w:pPr>
        <w:jc w:val="left"/>
        <w:rPr>
          <w:color w:val="auto"/>
          <w:szCs w:val="24"/>
        </w:rPr>
      </w:pPr>
      <w:r w:rsidRPr="00610A40">
        <w:rPr>
          <w:color w:val="auto"/>
          <w:szCs w:val="24"/>
        </w:rPr>
        <w:t>Singapore Eye Research Institute, 11 Third Hospital Avenue, Singapore 168751, Singapore</w:t>
      </w:r>
    </w:p>
    <w:p w14:paraId="4223C474" w14:textId="77777777" w:rsidR="007865E5" w:rsidRPr="00610A40" w:rsidRDefault="007865E5" w:rsidP="00EB7D51">
      <w:pPr>
        <w:rPr>
          <w:color w:val="auto"/>
          <w:szCs w:val="24"/>
        </w:rPr>
      </w:pPr>
    </w:p>
    <w:p w14:paraId="71346D21" w14:textId="77777777" w:rsidR="003B5FA4" w:rsidRPr="00610A40" w:rsidRDefault="007865E5" w:rsidP="00EB7D51">
      <w:pPr>
        <w:rPr>
          <w:color w:val="auto"/>
          <w:szCs w:val="24"/>
        </w:rPr>
      </w:pPr>
      <w:r w:rsidRPr="00610A40">
        <w:rPr>
          <w:color w:val="auto"/>
          <w:szCs w:val="24"/>
        </w:rPr>
        <w:t xml:space="preserve">Keywords: elastomer, polyester, tissue engineering, </w:t>
      </w:r>
      <w:r w:rsidR="003B5FA4" w:rsidRPr="00610A40">
        <w:rPr>
          <w:color w:val="auto"/>
          <w:szCs w:val="24"/>
        </w:rPr>
        <w:t>scaffold fabrication</w:t>
      </w:r>
    </w:p>
    <w:p w14:paraId="034B86C6" w14:textId="77777777" w:rsidR="000D4EDE" w:rsidRPr="00610A40" w:rsidRDefault="000D4EDE" w:rsidP="00EB7D51">
      <w:pPr>
        <w:rPr>
          <w:color w:val="auto"/>
          <w:szCs w:val="24"/>
        </w:rPr>
      </w:pPr>
    </w:p>
    <w:p w14:paraId="037E101B" w14:textId="77777777" w:rsidR="007865E5" w:rsidRPr="00610A40" w:rsidRDefault="007865E5" w:rsidP="004A0094">
      <w:pPr>
        <w:pStyle w:val="Heading1"/>
      </w:pPr>
      <w:r w:rsidRPr="00610A40">
        <w:t>Abstract</w:t>
      </w:r>
    </w:p>
    <w:p w14:paraId="10030B36" w14:textId="11379740" w:rsidR="00BF1285" w:rsidRPr="00610A40" w:rsidRDefault="00BF1285" w:rsidP="00BF1285">
      <w:pPr>
        <w:rPr>
          <w:color w:val="auto"/>
          <w:shd w:val="clear" w:color="auto" w:fill="FFFFFF"/>
        </w:rPr>
      </w:pPr>
      <w:r w:rsidRPr="00610A40">
        <w:rPr>
          <w:color w:val="auto"/>
          <w:shd w:val="clear" w:color="auto" w:fill="FFFFFF"/>
        </w:rPr>
        <w:t xml:space="preserve">Polyester elastomers are soft, biodegradable and biocompatible and are commonly used in various biomedical applications, especially in tissue engineering. These synthetic polyesters can be easily fabricated using various techniques such as solvent casting, particle leaching, molding, electrospinning, 3-dimensional printing, photolithography, </w:t>
      </w:r>
      <w:proofErr w:type="spellStart"/>
      <w:r w:rsidRPr="00610A40">
        <w:rPr>
          <w:color w:val="auto"/>
          <w:shd w:val="clear" w:color="auto" w:fill="FFFFFF"/>
        </w:rPr>
        <w:t>microablation</w:t>
      </w:r>
      <w:proofErr w:type="spellEnd"/>
      <w:r w:rsidRPr="00610A40">
        <w:rPr>
          <w:color w:val="auto"/>
          <w:shd w:val="clear" w:color="auto" w:fill="FFFFFF"/>
        </w:rPr>
        <w:t xml:space="preserve"> etc. A large proportion of tissue engineering research efforts have focused on the use of </w:t>
      </w:r>
      <w:r w:rsidRPr="00610A40">
        <w:rPr>
          <w:color w:val="auto"/>
        </w:rPr>
        <w:t xml:space="preserve">allografts, </w:t>
      </w:r>
      <w:proofErr w:type="spellStart"/>
      <w:r w:rsidRPr="00610A40">
        <w:rPr>
          <w:color w:val="auto"/>
        </w:rPr>
        <w:t>decellularized</w:t>
      </w:r>
      <w:proofErr w:type="spellEnd"/>
      <w:r w:rsidRPr="00610A40">
        <w:rPr>
          <w:color w:val="auto"/>
        </w:rPr>
        <w:t xml:space="preserve"> animal scaffolds or</w:t>
      </w:r>
      <w:r w:rsidRPr="00610A40">
        <w:rPr>
          <w:color w:val="auto"/>
          <w:shd w:val="clear" w:color="auto" w:fill="FFFFFF"/>
        </w:rPr>
        <w:t xml:space="preserve"> other biological materials as scaffolds</w:t>
      </w:r>
      <w:r w:rsidR="008C5439" w:rsidRPr="00610A40">
        <w:rPr>
          <w:color w:val="auto"/>
          <w:shd w:val="clear" w:color="auto" w:fill="FFFFFF"/>
        </w:rPr>
        <w:t xml:space="preserve">, they </w:t>
      </w:r>
      <w:r w:rsidRPr="00610A40">
        <w:rPr>
          <w:color w:val="auto"/>
          <w:shd w:val="clear" w:color="auto" w:fill="FFFFFF"/>
        </w:rPr>
        <w:t xml:space="preserve">face a major concern of triggering </w:t>
      </w:r>
      <w:r w:rsidRPr="00610A40">
        <w:rPr>
          <w:color w:val="auto"/>
          <w:shd w:val="clear" w:color="auto" w:fill="FFFFFF"/>
        </w:rPr>
        <w:lastRenderedPageBreak/>
        <w:t xml:space="preserve">immunological responses from the host, on top of other issues. </w:t>
      </w:r>
      <w:r w:rsidR="008C5439" w:rsidRPr="00610A40">
        <w:rPr>
          <w:color w:val="auto"/>
          <w:shd w:val="clear" w:color="auto" w:fill="FFFFFF"/>
        </w:rPr>
        <w:t>T</w:t>
      </w:r>
      <w:r w:rsidRPr="00610A40">
        <w:rPr>
          <w:color w:val="auto"/>
          <w:shd w:val="clear" w:color="auto" w:fill="FFFFFF"/>
        </w:rPr>
        <w:t>his review paper</w:t>
      </w:r>
      <w:r w:rsidR="008C5439" w:rsidRPr="00610A40">
        <w:rPr>
          <w:color w:val="auto"/>
          <w:shd w:val="clear" w:color="auto" w:fill="FFFFFF"/>
        </w:rPr>
        <w:t xml:space="preserve"> </w:t>
      </w:r>
      <w:r w:rsidRPr="00610A40">
        <w:rPr>
          <w:color w:val="auto"/>
          <w:shd w:val="clear" w:color="auto" w:fill="FFFFFF"/>
        </w:rPr>
        <w:t xml:space="preserve">will introduce </w:t>
      </w:r>
      <w:r w:rsidR="00E907D0" w:rsidRPr="00610A40">
        <w:rPr>
          <w:color w:val="auto"/>
          <w:shd w:val="clear" w:color="auto" w:fill="FFFFFF"/>
        </w:rPr>
        <w:t>the recent developments in elastomeric polyesters</w:t>
      </w:r>
      <w:r w:rsidRPr="00610A40">
        <w:rPr>
          <w:color w:val="auto"/>
          <w:shd w:val="clear" w:color="auto" w:fill="FFFFFF"/>
        </w:rPr>
        <w:t>, their synthesis and fabrication techniques, as well as their application in the biomedical field, focusing primarily on the tissue engineering in ophthalmology, cardiac and vascular systems.</w:t>
      </w:r>
      <w:r w:rsidR="00E907D0" w:rsidRPr="00610A40">
        <w:rPr>
          <w:color w:val="auto"/>
          <w:shd w:val="clear" w:color="auto" w:fill="FFFFFF"/>
        </w:rPr>
        <w:t xml:space="preserve"> Some of the commercial and near-commercial polyesters used in these tissue engineering fields will also be described.</w:t>
      </w:r>
    </w:p>
    <w:p w14:paraId="163C9BCD" w14:textId="77777777" w:rsidR="007865E5" w:rsidRPr="00610A40" w:rsidRDefault="007865E5" w:rsidP="00EB7D51">
      <w:pPr>
        <w:pStyle w:val="NormalWeb"/>
        <w:rPr>
          <w:color w:val="auto"/>
        </w:rPr>
      </w:pPr>
    </w:p>
    <w:p w14:paraId="2E31D697" w14:textId="77777777" w:rsidR="007865E5" w:rsidRPr="00610A40" w:rsidRDefault="007865E5" w:rsidP="00EB7D51">
      <w:pPr>
        <w:rPr>
          <w:color w:val="auto"/>
          <w:szCs w:val="24"/>
        </w:rPr>
      </w:pPr>
      <w:r w:rsidRPr="00610A40">
        <w:rPr>
          <w:color w:val="auto"/>
          <w:szCs w:val="24"/>
        </w:rPr>
        <w:t xml:space="preserve"> </w:t>
      </w:r>
      <w:r w:rsidRPr="00610A40">
        <w:rPr>
          <w:color w:val="auto"/>
          <w:szCs w:val="24"/>
        </w:rPr>
        <w:br w:type="page"/>
      </w:r>
    </w:p>
    <w:p w14:paraId="0FDB986B" w14:textId="7E0E5D14" w:rsidR="008A57DC" w:rsidRPr="00610A40" w:rsidRDefault="00542C41" w:rsidP="00086775">
      <w:pPr>
        <w:pStyle w:val="Heading1"/>
        <w:numPr>
          <w:ilvl w:val="0"/>
          <w:numId w:val="3"/>
        </w:numPr>
        <w:ind w:left="426" w:hanging="426"/>
        <w:rPr>
          <w:color w:val="auto"/>
          <w:sz w:val="24"/>
          <w:szCs w:val="24"/>
        </w:rPr>
      </w:pPr>
      <w:r w:rsidRPr="00610A40">
        <w:rPr>
          <w:color w:val="auto"/>
          <w:sz w:val="24"/>
          <w:szCs w:val="24"/>
        </w:rPr>
        <w:lastRenderedPageBreak/>
        <w:t>Introduction</w:t>
      </w:r>
    </w:p>
    <w:p w14:paraId="7A4CD95B" w14:textId="7C715271" w:rsidR="00735588" w:rsidRPr="00610A40" w:rsidRDefault="00735588" w:rsidP="00735588">
      <w:pPr>
        <w:rPr>
          <w:color w:val="auto"/>
          <w:shd w:val="clear" w:color="auto" w:fill="FFFFFF"/>
        </w:rPr>
      </w:pPr>
      <w:r w:rsidRPr="00610A40">
        <w:rPr>
          <w:color w:val="auto"/>
          <w:shd w:val="clear" w:color="auto" w:fill="FFFFFF"/>
        </w:rPr>
        <w:t>Polyesters are polymeric macromolecules made of monomers bonded together by ester bonds. Ester bonds are chemical/covalent bonds formed between a -COOH carboxylic acid group and a -OH alcohol group. Esters, such as fatty acids, exist naturally in the human body</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"DOI" : "10.1016/j.progpolymsci.2012.05.003", "ISSN" : "00796700",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"Progress in Polymer Science", "id" : "ITEM-1", "issue" : "3-4", "issued" : { "date-parts" : [ [ "2013" ] ] }, "page" : "584-671", "publisher" : "Elsevier Ltd", "title" : "Elastomeric Biomaterials for Tissue Engineering", "type" : "article-journal", "volume" : "38" }, "uris" : [ "http://www.mendeley.com/documents/?uuid=2652891f-87cb-422a-92c4-f901ca24dc96" ] } ], "mendeley" : { "formattedCitation" : "&lt;sup&gt;1&lt;/sup&gt;", "plainTextFormattedCitation" : "1", "previouslyFormattedCitation" : "&lt;sup&gt;1&lt;/sup&gt;"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1</w:t>
      </w:r>
      <w:r w:rsidRPr="00610A40">
        <w:rPr>
          <w:color w:val="auto"/>
          <w:shd w:val="clear" w:color="auto" w:fill="FFFFFF"/>
        </w:rPr>
        <w:fldChar w:fldCharType="end"/>
      </w:r>
      <w:r w:rsidRPr="00610A40">
        <w:rPr>
          <w:color w:val="auto"/>
          <w:shd w:val="clear" w:color="auto" w:fill="FFFFFF"/>
        </w:rPr>
        <w:t>. They are mostly hydrophobic and have physical and mechanical properties that can be tuned</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"DOI" : "10.3390/polym8010020", "ISBN" : "1099-0488 (Electronic) 0887-6266 (Linking)", "ISSN" : "2073-4360", "PMID" : "21769165", "abstract" : "The focus in the field of biomedical engineering has shifted in recent years to biodegradable polymers and, in particular, polyesters. Dozens of polyester-based medical devices are commercially available, and every year more are introduced to the market. The mechanical performance and wide range of biodegradation properties of this class of polymers allow for high degrees of selectivity for targeted clinical applications. Recent research endeavors to expand the application of polymers have been driven by a need to target the general hydrophobic nature of polyesters and their limited cell motif sites. This review provides a comprehensive investigation into advanced strategies to modify polyesters and their clinical potential for future biomedical applications.", "author" : [ { "dropping-particle" : "", "family" : "Manavitehrani", "given" : "Iman", "non-dropping-particle" : "", "parse-names" : false, "suffix" : "" }, { "dropping-particle" : "", "family" : "Fathi", "given" : "Ali", "non-dropping-particle" : "", "parse-names" : false, "suffix" : "" }, { "dropping-particle" : "", "family" : "Badr", "given" : "Hesham", "non-dropping-particle" : "", "parse-names" : false, "suffix" : "" }, { "dropping-particle" : "", "family" : "Daly", "given" : "Sean", "non-dropping-particle" : "", "parse-names" : false, "suffix" : "" }, { "dropping-particle" : "", "family" : "Shirazi", "given" : "Ali Negahi", "non-dropping-particle" : "", "parse-names" : false, "suffix" : "" }, { "dropping-particle" : "", "family" : "Dehghani", "given" : "Fariba", "non-dropping-particle" : "", "parse-names" : false, "suffix" : "" } ], "container-title" : "Polymers", "id" : "ITEM-1", "issue" : "1", "issued" : { "date-parts" : [ [ "2016" ] ] }, "page" : "1-32", "title" : "Biomedical Applications of Biodegradable Polymers", "type" : "article-journal", "volume" : "8" }, "uris" : [ "http://www.mendeley.com/documents/?uuid=3b3f9c9d-2cbc-4868-a0f3-755fa31f9719", "http://www.mendeley.com/documents/?uuid=a64d7e8b-90d2-453e-9411-7353c9be87d2" ] } ], "mendeley" : { "formattedCitation" : "&lt;sup&gt;2&lt;/sup&gt;", "plainTextFormattedCitation" : "2", "previouslyFormattedCitation" : "&lt;sup&gt;2&lt;/sup&gt;"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2</w:t>
      </w:r>
      <w:r w:rsidRPr="00610A40">
        <w:rPr>
          <w:color w:val="auto"/>
          <w:shd w:val="clear" w:color="auto" w:fill="FFFFFF"/>
        </w:rPr>
        <w:fldChar w:fldCharType="end"/>
      </w:r>
      <w:r w:rsidRPr="00610A40">
        <w:rPr>
          <w:color w:val="auto"/>
          <w:shd w:val="clear" w:color="auto" w:fill="FFFFFF"/>
        </w:rPr>
        <w:t xml:space="preserve">. </w:t>
      </w:r>
    </w:p>
    <w:p w14:paraId="713B642D" w14:textId="77777777" w:rsidR="00735588" w:rsidRPr="00610A40" w:rsidRDefault="00735588" w:rsidP="00735588">
      <w:pPr>
        <w:rPr>
          <w:color w:val="auto"/>
          <w:shd w:val="clear" w:color="auto" w:fill="FFFFFF"/>
        </w:rPr>
      </w:pPr>
    </w:p>
    <w:p w14:paraId="0E7F16C0" w14:textId="1CB2297A" w:rsidR="00735588" w:rsidRPr="00610A40" w:rsidRDefault="00735588" w:rsidP="00735588">
      <w:pPr>
        <w:rPr>
          <w:color w:val="auto"/>
          <w:shd w:val="clear" w:color="auto" w:fill="FFFFFF"/>
        </w:rPr>
      </w:pPr>
      <w:r w:rsidRPr="00610A40">
        <w:rPr>
          <w:color w:val="auto"/>
          <w:shd w:val="clear" w:color="auto" w:fill="FFFFFF"/>
        </w:rPr>
        <w:t xml:space="preserve">Polyesters are innately biodegradable due to the ability of ester bonds to be broken down either by hydrolysis or by </w:t>
      </w:r>
      <w:proofErr w:type="spellStart"/>
      <w:r w:rsidRPr="00610A40">
        <w:rPr>
          <w:color w:val="auto"/>
          <w:shd w:val="clear" w:color="auto" w:fill="FFFFFF"/>
        </w:rPr>
        <w:t>esterases</w:t>
      </w:r>
      <w:proofErr w:type="spellEnd"/>
      <w:r w:rsidRPr="00610A40">
        <w:rPr>
          <w:color w:val="auto"/>
          <w:shd w:val="clear" w:color="auto" w:fill="FFFFFF"/>
        </w:rPr>
        <w:t xml:space="preserve"> present in the body, or both. This ability to degrade over time in vivo is crucial in tissue engineering as there will be a need to transfer the stress and functions from the degrading matrix to the newly cultured tissue</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"DOI" : "10.1002/adfm.200901040", "ISBN" : "1616-3028", "ISSN" : "1616301X", "abstract" : "Abstract 10.1002/adfm.200901040.abs When elastomers were first proposed as useful materials for regenerative medicine a few decades ago, their high versatility and suitability for a diverse and wide range of in vivo applications could not have been predicted. Due to their ability to recover after deformation, these materials were first introduced in tissue engineering in an attempt to mimic the mechanical properties of the extracellular matrix. Furthermore, elastomeric characteristics have been described as important criteria for cell interaction by modulating cellular behavior. From soft to hard tissues, elastomers have demonstrated degradation, mechanical, and biocompatibility requirements in accordance with the target tissue. In this feature article, biodegradable synthetic polyester elastomers that have been reported in the literature are discussed, with special focus on those that show promise for in vivo tissue replacement. Their satisfactory performance in vivo shows the promise of elastomers for use in regenerative medicine. However, further investigation is required to demonstrate the prospect of elastomer-based therapies in clinical trials.", "author" : [ { "dropping-particle" : "", "family" : "Serrano", "given" : "Maria Concepcion", "non-dropping-particle" : "", "parse-names" : false, "suffix" : "" }, { "dropping-particle" : "", "family" : "Chung", "given" : "Eun Ji", "non-dropping-particle" : "", "parse-names" : false, "suffix" : "" }, { "dropping-particle" : "", "family" : "Ameer", "given" : "Guillermo a.", "non-dropping-particle" : "", "parse-names" : false, "suffix" : "" } ], "container-title" : "Advanced Functional Materials", "id" : "ITEM-1", "issue" : "2", "issued" : { "date-parts" : [ [ "2010" ] ] }, "page" : "192-208", "title" : "Advances and applications of biodegradable elastomers in regenerative medicine", "type" : "article-journal", "volume" : "20" }, "uris" : [ "http://www.mendeley.com/documents/?uuid=fa90d65f-f871-4912-ae8d-960557881024" ] } ], "mendeley" : { "formattedCitation" : "&lt;sup&gt;3&lt;/sup&gt;", "plainTextFormattedCitation" : "3", "previouslyFormattedCitation" : "&lt;sup&gt;3&lt;/sup&gt;"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3</w:t>
      </w:r>
      <w:r w:rsidRPr="00610A40">
        <w:rPr>
          <w:color w:val="auto"/>
          <w:shd w:val="clear" w:color="auto" w:fill="FFFFFF"/>
        </w:rPr>
        <w:fldChar w:fldCharType="end"/>
      </w:r>
      <w:r w:rsidRPr="00610A40">
        <w:rPr>
          <w:color w:val="auto"/>
          <w:shd w:val="clear" w:color="auto" w:fill="FFFFFF"/>
          <w:vertAlign w:val="superscript"/>
        </w:rPr>
        <w:t>,</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"DOI" : "10.1517/14712598.4.6.801", "ISBN" : "1471-2598", "ISSN" : "1471-2598", "PMID" : "15174963", "abstract" : "Tissue engineering often makes use of biodegradable scaffolds to guide and promote controlled cellular growth and differentiation in order to generate new tissue. There has been significant research regarding the effects of scaffold surface chemistry and degradation rate on tissue formation and the importance of these parameters is widely recognised. Nevertheless, studies describing the role of mechanical stimuli during tissue development and function suggest that the mechanical properties of the scaffold will also be important. In particular, scaffold mechanics should be taken into account if mechanical stimulation, such as cyclic strain, will be incorporated into strategies to grow improved tissues or the target tissue to be replaced has elastomeric properties. Biodegradable polyesters, such as polyglycolide, polylactide and poly(lactide-co-glycolide), although commonly used in tissue engineering, undergo plastic deformation and failure when exposed to long-term cyclic strain, limiting their use in engineering elastomeric tissues. This review will cover the latest advances in the development of biodegradable polyester elastomers for use as scaffolds to engineer tissues, such as heart valves and blood vessels.", "author" : [ { "dropping-particle" : "", "family" : "Webb", "given" : "Antonio R", "non-dropping-particle" : "", "parse-names" : false, "suffix" : "" }, { "dropping-particle" : "", "family" : "Yang", "given" : "Jian", "non-dropping-particle" : "", "parse-names" : false, "suffix" : "" }, { "dropping-particle" : "", "family" : "Ameer", "given" : "Guillermo a", "non-dropping-particle" : "", "parse-names" : false, "suffix" : "" } ], "container-title" : "Expert opinion on biological therapy", "id" : "ITEM-1", "issue" : "6", "issued" : { "date-parts" : [ [ "2004" ] ] }, "page" : "801-12", "title" : "Biodegradable polyester elastomers in tissue engineering.", "type" : "article-journal", "volume" : "4" }, "uris" : [ "http://www.mendeley.com/documents/?uuid=b43775d6-2996-4bac-8c43-3461c3f3b347", "http://www.mendeley.com/documents/?uuid=c6df4819-22b0-499f-9cd1-6c664ca6bb75" ] } ], "mendeley" : { "formattedCitation" : "&lt;sup&gt;4&lt;/sup&gt;", "plainTextFormattedCitation" : "4", "previouslyFormattedCitation" : "&lt;sup&gt;4&lt;/sup&gt;"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4</w:t>
      </w:r>
      <w:r w:rsidRPr="00610A40">
        <w:rPr>
          <w:color w:val="auto"/>
          <w:shd w:val="clear" w:color="auto" w:fill="FFFFFF"/>
        </w:rPr>
        <w:fldChar w:fldCharType="end"/>
      </w:r>
      <w:r w:rsidRPr="00610A40">
        <w:rPr>
          <w:color w:val="auto"/>
          <w:shd w:val="clear" w:color="auto" w:fill="FFFFFF"/>
        </w:rPr>
        <w:t xml:space="preserve">.  While traditional polyesters such as poly(L-lactic acid) (PLLA) and poly(glycolic acid) (PGA) degrade via the bulk degradation mechanism, some of the new polyester elastomers such as the </w:t>
      </w:r>
      <w:proofErr w:type="spellStart"/>
      <w:r w:rsidRPr="00610A40">
        <w:rPr>
          <w:color w:val="auto"/>
          <w:shd w:val="clear" w:color="auto" w:fill="FFFFFF"/>
        </w:rPr>
        <w:t>polyglycerol</w:t>
      </w:r>
      <w:proofErr w:type="spellEnd"/>
      <w:r w:rsidRPr="00610A40">
        <w:rPr>
          <w:color w:val="auto"/>
          <w:shd w:val="clear" w:color="auto" w:fill="FFFFFF"/>
        </w:rPr>
        <w:t xml:space="preserve"> </w:t>
      </w:r>
      <w:proofErr w:type="spellStart"/>
      <w:r w:rsidRPr="00610A40">
        <w:rPr>
          <w:color w:val="auto"/>
          <w:shd w:val="clear" w:color="auto" w:fill="FFFFFF"/>
        </w:rPr>
        <w:t>sebacate</w:t>
      </w:r>
      <w:proofErr w:type="spellEnd"/>
      <w:r w:rsidRPr="00610A40">
        <w:rPr>
          <w:color w:val="auto"/>
          <w:shd w:val="clear" w:color="auto" w:fill="FFFFFF"/>
        </w:rPr>
        <w:t xml:space="preserve"> (PGS) and poly(</w:t>
      </w:r>
      <w:proofErr w:type="spellStart"/>
      <w:r w:rsidRPr="00610A40">
        <w:rPr>
          <w:color w:val="auto"/>
          <w:shd w:val="clear" w:color="auto" w:fill="FFFFFF"/>
        </w:rPr>
        <w:t>trimethylene</w:t>
      </w:r>
      <w:proofErr w:type="spellEnd"/>
      <w:r w:rsidRPr="00610A40">
        <w:rPr>
          <w:color w:val="auto"/>
          <w:shd w:val="clear" w:color="auto" w:fill="FFFFFF"/>
        </w:rPr>
        <w:t xml:space="preserve"> carbonate) (PTMC) degrade by surface erosion</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"DOI" : "10.2217/rme.14.4", "ISBN" : "1746-0751", "ISSN" : "1746-0751", "PMID" : "24935047", "abstract" : "Synthetic biodegradable polymers are of great value for the preparation of implants that are required to reside only temporarily in the body. The use of biodegradable polymers obviates the need for a second surgery to remove the implant, which is the case when a nondegradable implant is used. After implantation in the body, biomedical devices may be subjected to degradation and erosion. Understanding the mechanisms of these processes is essential for the development of biomedical devices or implants with a specific function, for example, scaffolds for tissue-engineering applications. For the engineering and regeneration of soft tissues (e.g., blood vessels, cardiac muscle and peripheral nerves), biodegradable polymers are needed that are flexible and elastic. The scaffolds prepared from these polymers should have tuneable degradation properties and should perform well under long-term cyclic deformation conditions. The required polymers, which are either physically or chemically crosslinked biodegradable elastomers, are reviewed in this article.", "author" : [ { "dropping-particle" : "", "family" : "Bat", "given" : "Erhan", "non-dropping-particle" : "", "parse-names" : false, "suffix" : "" }, { "dropping-particle" : "", "family" : "Zhang", "given" : "Zheng", "non-dropping-particle" : "", "parse-names" : false, "suffix" : "" }, { "dropping-particle" : "", "family" : "Feijen", "given" : "Jan", "non-dropping-particle" : "", "parse-names" : false, "suffix" : "" }, { "dropping-particle" : "", "family" : "Grijpma", "given" : "Dirk W", "non-dropping-particle" : "", "parse-names" : false, "suffix" : "" }, { "dropping-particle" : "", "family" : "Poot", "given" : "Andr\u00e9 A", "non-dropping-particle" : "", "parse-names" : false, "suffix" : "" } ], "container-title" : "Regenerative Medicine", "id" : "ITEM-1", "issue" : "3", "issued" : { "date-parts" : [ [ "2014" ] ] }, "page" : "385-398", "title" : "Biodegradable elastomers for biomedical applications and regenerative medicine", "type" : "article-journal", "volume" : "9" }, "uris" : [ "http://www.mendeley.com/documents/?uuid=f5d74d2a-67fe-40f3-a48a-3dd2262132b2", "http://www.mendeley.com/documents/?uuid=c4a28619-8ed8-4c22-bd12-4bf580254021" ] } ], "mendeley" : { "formattedCitation" : "&lt;sup&gt;5&lt;/sup&gt;", "plainTextFormattedCitation" : "5", "previouslyFormattedCitation" : "&lt;sup&gt;5&lt;/sup&gt;"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5</w:t>
      </w:r>
      <w:r w:rsidRPr="00610A40">
        <w:rPr>
          <w:color w:val="auto"/>
          <w:shd w:val="clear" w:color="auto" w:fill="FFFFFF"/>
        </w:rPr>
        <w:fldChar w:fldCharType="end"/>
      </w:r>
      <w:r w:rsidRPr="00610A40">
        <w:rPr>
          <w:color w:val="auto"/>
          <w:shd w:val="clear" w:color="auto" w:fill="FFFFFF"/>
        </w:rPr>
        <w:t xml:space="preserve">. This means that integrity of the material is maintained as the material degrades. This is because the degradation process happens only at the surface of the implanted material and mass loss and dimensional reduction is proportional to the surface area exposed to water. For this same reason, most of the materials that degrade enzymatically undergo surface degradation. As the molecular weight and molecular structure of the bulk of the material is not affected, there is no change to the material integrity as the material undergoes degradation. On the other hand, in the case of bulk degradation, water diffuses into the material matrix rapidly, reducing the molecular weight of the bulk material with no significant change in mass. The dimension of the material may remain the same, or even swell due to the rapid water absorption. As the molecular weight of the bulk material decreases, the material integrity is also affected. Finally, upon reaching a critical low molecular weight, rapid </w:t>
      </w:r>
      <w:r w:rsidRPr="00610A40">
        <w:rPr>
          <w:color w:val="auto"/>
          <w:shd w:val="clear" w:color="auto" w:fill="FFFFFF"/>
        </w:rPr>
        <w:lastRenderedPageBreak/>
        <w:t>mass loss occurs accompanied by a burst release of degradation products and the material disintegrates</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"DOI" : "10.1007/978-3-319-08305-6", "ISBN" : "3319083058", "abstract" : "This book summarizes the properties and applications of conventional and commercially available fiber-forming, bioresorbable polymers, as well as those currently under study, for use as biotextiles. Factors affecting the performance of these biomaterials are presented, and precautionary measures to reduce premature, hydrolytic degradation during manufacturing and processing are discussed. Because of the structural requirements of medical devices and the technological advancements in synthetic fibers and textile technology, the new field of \"Biotextiles\" has evolved to exploit the potential of various woven, knitted, braided and non-woven textile structures for biomedical applications. Textile substrates provide certain unique mechanical properties to the medical device and because of an inherently high level of porosity, they can encourage cell growth and promote migration and proliferation. Bioresorbable devices that assist in the repair and regeneration of damaged tissues have in recent years replaced many of the permanent prosthetic devices. Thus, the topic of \"Bioresorbable Biomaterials\" generates much interest and research activity in the field of biomaterials science today. For this reason, the use of bioresorbable polymers as fibers is currently dominating the field of resorbable biomaterials for applications from sutures to tissue engineering scaffolds.", "author" : [ { "dropping-particle" : "", "family" : "Gajjar", "given" : "Chirag R.", "non-dropping-particle" : "", "parse-names" : false, "suffix" : "" }, { "dropping-particle" : "", "family" : "King", "given" : "Martin W.", "non-dropping-particle" : "", "parse-names" : false, "suffix" : "" } ], "container-title" : "Resorbable Fiber-Forming Polymers for Biotextile Applications", "id" : "ITEM-1", "issued" : { "date-parts" : [ [ "2014" ] ] }, "page" : "7-10", "title" : "Degradation Process", "type" : "article-journal" }, "uris" : [ "http://www.mendeley.com/documents/?uuid=9ae5154f-6cc4-4b14-a54d-b45facee66fa", "http://www.mendeley.com/documents/?uuid=72170e4d-f78d-4c2c-878c-fbde7873a283" ] }, { "id" : "ITEM-2", "itemData" : { "DOI" : "10.2217/rme.14.4", "ISBN" : "1746-0751", "ISSN" : "1746-0751", "PMID" : "24935047", "abstract" : "Synthetic biodegradable polymers are of great value for the preparation of implants that are required to reside only temporarily in the body. The use of biodegradable polymers obviates the need for a second surgery to remove the implant, which is the case when a nondegradable implant is used. After implantation in the body, biomedical devices may be subjected to degradation and erosion. Understanding the mechanisms of these processes is essential for the development of biomedical devices or implants with a specific function, for example, scaffolds for tissue-engineering applications. For the engineering and regeneration of soft tissues (e.g., blood vessels, cardiac muscle and peripheral nerves), biodegradable polymers are needed that are flexible and elastic. The scaffolds prepared from these polymers should have tuneable degradation properties and should perform well under long-term cyclic deformation conditions. The required polymers, which are either physically or chemically crosslinked biodegradable elastomers, are reviewed in this article.", "author" : [ { "dropping-particle" : "", "family" : "Bat", "given" : "Erhan", "non-dropping-particle" : "", "parse-names" : false, "suffix" : "" }, { "dropping-particle" : "", "family" : "Zhang", "given" : "Zheng", "non-dropping-particle" : "", "parse-names" : false, "suffix" : "" }, { "dropping-particle" : "", "family" : "Feijen", "given" : "Jan", "non-dropping-particle" : "", "parse-names" : false, "suffix" : "" }, { "dropping-particle" : "", "family" : "Grijpma", "given" : "Dirk W", "non-dropping-particle" : "", "parse-names" : false, "suffix" : "" }, { "dropping-particle" : "", "family" : "Poot", "given" : "Andr\u00e9 A", "non-dropping-particle" : "", "parse-names" : false, "suffix" : "" } ], "container-title" : "Regenerative Medicine", "id" : "ITEM-2", "issue" : "3", "issued" : { "date-parts" : [ [ "2014" ] ] }, "page" : "385-398", "title" : "Biodegradable elastomers for biomedical applications and regenerative medicine", "type" : "article-journal", "volume" : "9" }, "uris" : [ "http://www.mendeley.com/documents/?uuid=c4a28619-8ed8-4c22-bd12-4bf580254021", "http://www.mendeley.com/documents/?uuid=f5d74d2a-67fe-40f3-a48a-3dd2262132b2" ] } ], "mendeley" : { "formattedCitation" : "&lt;sup&gt;5,6&lt;/sup&gt;", "plainTextFormattedCitation" : "5,6", "previouslyFormattedCitation" : "&lt;sup&gt;5,6&lt;/sup&gt;"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5,6</w:t>
      </w:r>
      <w:r w:rsidRPr="00610A40">
        <w:rPr>
          <w:color w:val="auto"/>
          <w:shd w:val="clear" w:color="auto" w:fill="FFFFFF"/>
        </w:rPr>
        <w:fldChar w:fldCharType="end"/>
      </w:r>
      <w:r w:rsidRPr="00610A40">
        <w:rPr>
          <w:color w:val="auto"/>
          <w:shd w:val="clear" w:color="auto" w:fill="FFFFFF"/>
        </w:rPr>
        <w:t xml:space="preserve">. In the field of drug delivery, this catastrophic material disintegration may also lead to a burst release of </w:t>
      </w:r>
      <w:proofErr w:type="gramStart"/>
      <w:r w:rsidRPr="00610A40">
        <w:rPr>
          <w:color w:val="auto"/>
          <w:shd w:val="clear" w:color="auto" w:fill="FFFFFF"/>
        </w:rPr>
        <w:t>it’s</w:t>
      </w:r>
      <w:proofErr w:type="gramEnd"/>
      <w:r w:rsidRPr="00610A40">
        <w:rPr>
          <w:color w:val="auto"/>
          <w:shd w:val="clear" w:color="auto" w:fill="FFFFFF"/>
        </w:rPr>
        <w:t xml:space="preserve"> loaded drugs, whereas surface erosion polymers could release at a much more predictable manner. In tissue engineering, the fast release of a large amount of degradation products may also result in severe cellular or tissue response. For these reasons, surface erosion polymers are typically preferred in biomedical applications. </w:t>
      </w:r>
    </w:p>
    <w:p w14:paraId="3C9875BA" w14:textId="77777777" w:rsidR="00735588" w:rsidRPr="00610A40" w:rsidRDefault="00735588" w:rsidP="00735588">
      <w:pPr>
        <w:rPr>
          <w:color w:val="auto"/>
          <w:shd w:val="clear" w:color="auto" w:fill="FFFFFF"/>
        </w:rPr>
      </w:pPr>
    </w:p>
    <w:p w14:paraId="3FE94054" w14:textId="4801E06C" w:rsidR="00735588" w:rsidRPr="00610A40" w:rsidRDefault="00735588" w:rsidP="00735588">
      <w:pPr>
        <w:rPr>
          <w:color w:val="auto"/>
          <w:shd w:val="clear" w:color="auto" w:fill="FFFFFF"/>
        </w:rPr>
      </w:pPr>
      <w:r w:rsidRPr="00610A40">
        <w:rPr>
          <w:color w:val="auto"/>
          <w:shd w:val="clear" w:color="auto" w:fill="FFFFFF"/>
        </w:rPr>
        <w:t xml:space="preserve">Many </w:t>
      </w:r>
      <w:proofErr w:type="gramStart"/>
      <w:r w:rsidRPr="00610A40">
        <w:rPr>
          <w:color w:val="auto"/>
          <w:shd w:val="clear" w:color="auto" w:fill="FFFFFF"/>
        </w:rPr>
        <w:t>polyesters</w:t>
      </w:r>
      <w:proofErr w:type="gramEnd"/>
      <w:r w:rsidRPr="00610A40">
        <w:rPr>
          <w:color w:val="auto"/>
          <w:shd w:val="clear" w:color="auto" w:fill="FFFFFF"/>
        </w:rPr>
        <w:t xml:space="preserve"> are elastic, which is the ability of the polymer to recover its initial shape after a deformation. Although many materials have elastic regions, an elastomer usually refers to a material that has an elastic region over a large strain</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"DOI" : "10.1007/978-3-642-20925-3", "ISBN" : "978-3-642-20924-6", "abstract" : "This is the first volume of a two-volume work which summarizes in an edited format and in a fairly comprehensive manner many of the recent technical research accomplishments in the area of Elastomers. \u201cAdvances in Elastomers\u201d discusses the various attempts reported on solving these problems from the point of view of the chemistry and the structure of elastomers, highlighting the drawbacks and advantages of each method. It summarize the importance of elastomers and their multiphase systems in human life and industry, and covers all the topics related to recent advances in elastomers, their blends, IPNs, composites and nanocomposites.This first volume focuses on advances on the blends and interpenetrating networks (IPNs) of elastomers.", "author" : [ { "dropping-particle" : "", "family" : "Robert A. Shanks", "given" : "", "non-dropping-particle" : "", "parse-names" : false, "suffix" : "" }, { "dropping-particle" : "", "family" : "Kong", "given" : "Ing", "non-dropping-particle" : "", "parse-names" : false, "suffix" : "" } ], "container-title" : "Advanced Structural Materials", "id" : "ITEM-1", "issued" : { "date-parts" : [ [ "2013" ] ] }, "number-of-pages" : "1-494", "title" : "General Purpose Elastomers: Structure, Chemistry, Physics and Performance", "type" : "book", "volume" : "11" }, "uris" : [ "http://www.mendeley.com/documents/?uuid=942e80a4-effc-4521-b0d5-2ccb6788770b", "http://www.mendeley.com/documents/?uuid=6059ee60-ff3b-41de-a374-bc26896684e7" ] } ], "mendeley" : { "formattedCitation" : "&lt;sup&gt;7&lt;/sup&gt;", "plainTextFormattedCitation" : "7", "previouslyFormattedCitation" : "&lt;sup&gt;7&lt;/sup&gt;"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7</w:t>
      </w:r>
      <w:r w:rsidRPr="00610A40">
        <w:rPr>
          <w:color w:val="auto"/>
          <w:shd w:val="clear" w:color="auto" w:fill="FFFFFF"/>
        </w:rPr>
        <w:fldChar w:fldCharType="end"/>
      </w:r>
      <w:r w:rsidRPr="00610A40">
        <w:rPr>
          <w:color w:val="auto"/>
          <w:shd w:val="clear" w:color="auto" w:fill="FFFFFF"/>
        </w:rPr>
        <w:t>. An elastomer is a polymer with viscoelasticity and very weak inter-molecular forces, generally having low Young's modulus and high failure strain compared with other materials</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"ISBN" : "978-1859572627", "author" : [ { "dropping-particle" : "", "family" : "De", "given" : "Sadhan K.", "non-dropping-particle" : "", "parse-names" : false, "suffix" : "" } ], "id" : "ITEM-1", "issued" : { "date-parts" : [ [ "0" ] ] }, "number-of-pages" : "287", "publisher" : "Smithers Rapra Press", "title" : "Rubber Technologist's Handbook", "type" : "book" }, "uris" : [ "http://www.mendeley.com/documents/?uuid=1ab65c32-43a5-325f-8aee-a8b674a27c34", "http://www.mendeley.com/documents/?uuid=8cb3569d-04c5-4e06-ac67-c7047ec971be" ] } ], "mendeley" : { "formattedCitation" : "&lt;sup&gt;8&lt;/sup&gt;", "plainTextFormattedCitation" : "8", "previouslyFormattedCitation" : "&lt;sup&gt;8&lt;/sup&gt;"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8</w:t>
      </w:r>
      <w:r w:rsidRPr="00610A40">
        <w:rPr>
          <w:color w:val="auto"/>
          <w:shd w:val="clear" w:color="auto" w:fill="FFFFFF"/>
        </w:rPr>
        <w:fldChar w:fldCharType="end"/>
      </w:r>
      <w:r w:rsidRPr="00610A40">
        <w:rPr>
          <w:color w:val="auto"/>
          <w:shd w:val="clear" w:color="auto" w:fill="FFFFFF"/>
        </w:rPr>
        <w:t xml:space="preserve">. They are typically thermosets that have a glass transition temperature, above which the chains become amorphous and mobile. There are two types of elastomers: the physically </w:t>
      </w:r>
      <w:proofErr w:type="spellStart"/>
      <w:r w:rsidRPr="00610A40">
        <w:rPr>
          <w:color w:val="auto"/>
          <w:shd w:val="clear" w:color="auto" w:fill="FFFFFF"/>
        </w:rPr>
        <w:t>crosslinked</w:t>
      </w:r>
      <w:proofErr w:type="spellEnd"/>
      <w:r w:rsidRPr="00610A40">
        <w:rPr>
          <w:color w:val="auto"/>
          <w:shd w:val="clear" w:color="auto" w:fill="FFFFFF"/>
        </w:rPr>
        <w:t xml:space="preserve"> and the chemically crosslinked</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"DOI" : "10.1016/j.progpolymsci.2012.05.003", "ISSN" : "00796700",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"Progress in Polymer Science", "id" : "ITEM-1", "issue" : "3-4", "issued" : { "date-parts" : [ [ "2013" ] ] }, "page" : "584-671", "publisher" : "Elsevier Ltd", "title" : "Elastomeric Biomaterials for Tissue Engineering", "type" : "article-journal", "volume" : "38" }, "uris" : [ "http://www.mendeley.com/documents/?uuid=2652891f-87cb-422a-92c4-f901ca24dc96" ] } ], "mendeley" : { "formattedCitation" : "&lt;sup&gt;1&lt;/sup&gt;", "plainTextFormattedCitation" : "1", "previouslyFormattedCitation" : "&lt;sup&gt;1&lt;/sup&gt;"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1</w:t>
      </w:r>
      <w:r w:rsidRPr="00610A40">
        <w:rPr>
          <w:color w:val="auto"/>
          <w:shd w:val="clear" w:color="auto" w:fill="FFFFFF"/>
        </w:rPr>
        <w:fldChar w:fldCharType="end"/>
      </w:r>
      <w:r w:rsidRPr="00610A40">
        <w:rPr>
          <w:color w:val="auto"/>
          <w:shd w:val="clear" w:color="auto" w:fill="FFFFFF"/>
        </w:rPr>
        <w:t xml:space="preserve">. Physically </w:t>
      </w:r>
      <w:proofErr w:type="spellStart"/>
      <w:r w:rsidRPr="00610A40">
        <w:rPr>
          <w:color w:val="auto"/>
          <w:shd w:val="clear" w:color="auto" w:fill="FFFFFF"/>
        </w:rPr>
        <w:t>crosslinked</w:t>
      </w:r>
      <w:proofErr w:type="spellEnd"/>
      <w:r w:rsidRPr="00610A40">
        <w:rPr>
          <w:color w:val="auto"/>
          <w:shd w:val="clear" w:color="auto" w:fill="FFFFFF"/>
        </w:rPr>
        <w:t xml:space="preserve"> elastomers are </w:t>
      </w:r>
      <w:proofErr w:type="spellStart"/>
      <w:r w:rsidRPr="00610A40">
        <w:rPr>
          <w:color w:val="auto"/>
          <w:shd w:val="clear" w:color="auto" w:fill="FFFFFF"/>
        </w:rPr>
        <w:t>crosslinked</w:t>
      </w:r>
      <w:proofErr w:type="spellEnd"/>
      <w:r w:rsidRPr="00610A40">
        <w:rPr>
          <w:color w:val="auto"/>
          <w:shd w:val="clear" w:color="auto" w:fill="FFFFFF"/>
        </w:rPr>
        <w:t xml:space="preserve"> with weak bonds such as the hydrogen bonds, dipolar forces, crystalline regions, or by glassy domains. The rigid regions provide the crosslinking while the amorphous regions provide the flexibility for the elastomer. However, in chemically </w:t>
      </w:r>
      <w:proofErr w:type="spellStart"/>
      <w:r w:rsidRPr="00610A40">
        <w:rPr>
          <w:color w:val="auto"/>
          <w:shd w:val="clear" w:color="auto" w:fill="FFFFFF"/>
        </w:rPr>
        <w:t>crosslinked</w:t>
      </w:r>
      <w:proofErr w:type="spellEnd"/>
      <w:r w:rsidRPr="00610A40">
        <w:rPr>
          <w:color w:val="auto"/>
          <w:shd w:val="clear" w:color="auto" w:fill="FFFFFF"/>
        </w:rPr>
        <w:t xml:space="preserve"> elastomers, the chains are held together by covalent bonds which can only be conferred via multifunctional monomers. For instance, </w:t>
      </w:r>
      <w:r w:rsidR="00990A40" w:rsidRPr="00610A40">
        <w:rPr>
          <w:color w:val="auto"/>
          <w:shd w:val="clear" w:color="auto" w:fill="FFFFFF"/>
        </w:rPr>
        <w:t>poly (</w:t>
      </w:r>
      <w:proofErr w:type="spellStart"/>
      <w:r w:rsidRPr="00610A40">
        <w:rPr>
          <w:color w:val="auto"/>
          <w:shd w:val="clear" w:color="auto" w:fill="FFFFFF"/>
        </w:rPr>
        <w:t>diol</w:t>
      </w:r>
      <w:proofErr w:type="spellEnd"/>
      <w:r w:rsidRPr="00610A40">
        <w:rPr>
          <w:color w:val="auto"/>
          <w:shd w:val="clear" w:color="auto" w:fill="FFFFFF"/>
        </w:rPr>
        <w:t xml:space="preserve"> citrate</w:t>
      </w:r>
      <w:proofErr w:type="gramStart"/>
      <w:r w:rsidRPr="00610A40">
        <w:rPr>
          <w:color w:val="auto"/>
          <w:shd w:val="clear" w:color="auto" w:fill="FFFFFF"/>
        </w:rPr>
        <w:t>)s</w:t>
      </w:r>
      <w:proofErr w:type="gramEnd"/>
      <w:r w:rsidRPr="00610A40">
        <w:rPr>
          <w:color w:val="auto"/>
          <w:shd w:val="clear" w:color="auto" w:fill="FFFFFF"/>
        </w:rPr>
        <w:t xml:space="preserve"> included the monomer citric acid which has tri-carboxylic acid groups to form the ester bonds with the other </w:t>
      </w:r>
      <w:proofErr w:type="spellStart"/>
      <w:r w:rsidRPr="00610A40">
        <w:rPr>
          <w:color w:val="auto"/>
          <w:shd w:val="clear" w:color="auto" w:fill="FFFFFF"/>
        </w:rPr>
        <w:t>diols</w:t>
      </w:r>
      <w:proofErr w:type="spellEnd"/>
      <w:r w:rsidRPr="00610A40">
        <w:rPr>
          <w:color w:val="auto"/>
          <w:shd w:val="clear" w:color="auto" w:fill="FFFFFF"/>
        </w:rPr>
        <w:t xml:space="preserve">. These chemically </w:t>
      </w:r>
      <w:proofErr w:type="spellStart"/>
      <w:r w:rsidRPr="00610A40">
        <w:rPr>
          <w:color w:val="auto"/>
          <w:shd w:val="clear" w:color="auto" w:fill="FFFFFF"/>
        </w:rPr>
        <w:t>crosslinked</w:t>
      </w:r>
      <w:proofErr w:type="spellEnd"/>
      <w:r w:rsidRPr="00610A40">
        <w:rPr>
          <w:color w:val="auto"/>
          <w:shd w:val="clear" w:color="auto" w:fill="FFFFFF"/>
        </w:rPr>
        <w:t xml:space="preserve"> elastomers typically require a ‘crosslinking’ or ‘curing’ step to form the polymeric network. They do not have a melting temperature, unlike thermoplastic elastomers, and will not be able to be re-casted into a different shape. Polyester elastomers can </w:t>
      </w:r>
      <w:r w:rsidRPr="00610A40">
        <w:rPr>
          <w:color w:val="auto"/>
          <w:shd w:val="clear" w:color="auto" w:fill="FFFFFF"/>
        </w:rPr>
        <w:lastRenderedPageBreak/>
        <w:t xml:space="preserve">be easily synthesized and tuned to be </w:t>
      </w:r>
      <w:proofErr w:type="gramStart"/>
      <w:r w:rsidRPr="00610A40">
        <w:rPr>
          <w:color w:val="auto"/>
          <w:shd w:val="clear" w:color="auto" w:fill="FFFFFF"/>
        </w:rPr>
        <w:t>have</w:t>
      </w:r>
      <w:proofErr w:type="gramEnd"/>
      <w:r w:rsidRPr="00610A40">
        <w:rPr>
          <w:color w:val="auto"/>
          <w:shd w:val="clear" w:color="auto" w:fill="FFFFFF"/>
        </w:rPr>
        <w:t xml:space="preserve"> elastic moduli in the </w:t>
      </w:r>
      <w:proofErr w:type="spellStart"/>
      <w:r w:rsidRPr="00610A40">
        <w:rPr>
          <w:color w:val="auto"/>
          <w:shd w:val="clear" w:color="auto" w:fill="FFFFFF"/>
        </w:rPr>
        <w:t>MPa</w:t>
      </w:r>
      <w:proofErr w:type="spellEnd"/>
      <w:r w:rsidRPr="00610A40">
        <w:rPr>
          <w:color w:val="auto"/>
          <w:shd w:val="clear" w:color="auto" w:fill="FFFFFF"/>
        </w:rPr>
        <w:t xml:space="preserve"> range, which match</w:t>
      </w:r>
      <w:r w:rsidR="0030199D" w:rsidRPr="00610A40">
        <w:rPr>
          <w:color w:val="auto"/>
          <w:shd w:val="clear" w:color="auto" w:fill="FFFFFF"/>
        </w:rPr>
        <w:t>es</w:t>
      </w:r>
      <w:r w:rsidRPr="00610A40">
        <w:rPr>
          <w:color w:val="auto"/>
          <w:shd w:val="clear" w:color="auto" w:fill="FFFFFF"/>
        </w:rPr>
        <w:t xml:space="preserve"> well with the mechanical properties of the human soft tissues. They are therefore commonly used in biomedical applications such as medical implants, drug delivery and tissue engineering. </w:t>
      </w:r>
    </w:p>
    <w:p w14:paraId="7255B599" w14:textId="77777777" w:rsidR="00735588" w:rsidRPr="00610A40" w:rsidRDefault="00735588" w:rsidP="00735588">
      <w:pPr>
        <w:rPr>
          <w:color w:val="auto"/>
          <w:shd w:val="clear" w:color="auto" w:fill="FFFFFF"/>
        </w:rPr>
      </w:pPr>
    </w:p>
    <w:p w14:paraId="5D249BAD" w14:textId="4EA59CC4" w:rsidR="00735588" w:rsidRPr="00610A40" w:rsidRDefault="00735588" w:rsidP="00735588">
      <w:pPr>
        <w:rPr>
          <w:color w:val="auto"/>
          <w:shd w:val="clear" w:color="auto" w:fill="FFFFFF"/>
        </w:rPr>
      </w:pPr>
      <w:r w:rsidRPr="00610A40">
        <w:rPr>
          <w:color w:val="auto"/>
          <w:shd w:val="clear" w:color="auto" w:fill="FFFFFF"/>
        </w:rPr>
        <w:t>The global market for tissue engineering was estimated at US$23 billion in 2015 and is expected to register a CAGR of about 23% between 2016 and 2022, reaching about US$94.2 billion by 2022</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"id" : "ITEM-1", "issued" : { "date-parts" : [ [ "0" ] ] }, "title" : "Global Overview of $94 Billion Tissue Engineering Market: Technologies and Therapeutic Areas", "type" : "webpage" }, "uris" : [ "http://www.mendeley.com/documents/?uuid=5e4926ed-4418-3852-8e34-472238b3613c", "http://www.mendeley.com/documents/?uuid=d98be2cb-0eec-4dca-a2ce-1dd0ac9e8270" ] } ], "mendeley" : { "formattedCitation" : "&lt;sup&gt;9&lt;/sup&gt;", "plainTextFormattedCitation" : "9", "previouslyFormattedCitation" : "&lt;sup&gt;9&lt;/sup&gt;"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9</w:t>
      </w:r>
      <w:r w:rsidRPr="00610A40">
        <w:rPr>
          <w:color w:val="auto"/>
          <w:shd w:val="clear" w:color="auto" w:fill="FFFFFF"/>
        </w:rPr>
        <w:fldChar w:fldCharType="end"/>
      </w:r>
      <w:r w:rsidRPr="00610A40">
        <w:rPr>
          <w:color w:val="auto"/>
          <w:shd w:val="clear" w:color="auto" w:fill="FFFFFF"/>
        </w:rPr>
        <w:t>. Tissue engineering focuses on the development of biological tissue substitutes that enable the restoration, maintenance and enhancement of the functions of diseased or damaged human tissues</w:t>
      </w:r>
      <w:r w:rsidRPr="00610A40">
        <w:rPr>
          <w:color w:val="auto"/>
          <w:shd w:val="clear" w:color="auto" w:fill="FFFFFF"/>
        </w:rPr>
        <w:fldChar w:fldCharType="begin" w:fldLock="1"/>
      </w:r>
      <w:r w:rsidR="00565E2A" w:rsidRPr="00610A40">
        <w:rPr>
          <w:color w:val="auto"/>
          <w:shd w:val="clear" w:color="auto" w:fill="FFFFFF"/>
        </w:rPr>
        <w:instrText>ADDIN CSL_CITATION { "citationItems" : [ { "id" : "ITEM-1", "itemData" : { "id" : "ITEM-1", "issued" : { "date-parts" : [ [ "0" ] ] }, "title" : "Global Overview of $94 Billion Tissue Engineering Market: Technologies and Therapeutic Areas", "type" : "webpage" }, "uris" : [ "http://www.mendeley.com/documents/?uuid=d98be2cb-0eec-4dca-a2ce-1dd0ac9e8270", "http://www.mendeley.com/documents/?uuid=5e4926ed-4418-3852-8e34-472238b3613c" ] } ], "mendeley" : { "formattedCitation" : "&lt;sup&gt;9&lt;/sup&gt;", "plainTextFormattedCitation" : "9", "previouslyFormattedCitation" : "&lt;sup&gt;9&lt;/sup&gt;" }, "properties" : { "noteIndex" : 0 }, "schema" : "https://github.com/citation-style-language/schema/raw/master/csl-citation.json" }</w:instrText>
      </w:r>
      <w:r w:rsidRPr="00610A40">
        <w:rPr>
          <w:color w:val="auto"/>
          <w:shd w:val="clear" w:color="auto" w:fill="FFFFFF"/>
        </w:rPr>
        <w:fldChar w:fldCharType="separate"/>
      </w:r>
      <w:r w:rsidRPr="00610A40">
        <w:rPr>
          <w:noProof/>
          <w:color w:val="auto"/>
          <w:shd w:val="clear" w:color="auto" w:fill="FFFFFF"/>
          <w:vertAlign w:val="superscript"/>
        </w:rPr>
        <w:t>9</w:t>
      </w:r>
      <w:r w:rsidRPr="00610A40">
        <w:rPr>
          <w:color w:val="auto"/>
          <w:shd w:val="clear" w:color="auto" w:fill="FFFFFF"/>
        </w:rPr>
        <w:fldChar w:fldCharType="end"/>
      </w:r>
      <w:r w:rsidRPr="00610A40">
        <w:rPr>
          <w:color w:val="auto"/>
          <w:shd w:val="clear" w:color="auto" w:fill="FFFFFF"/>
        </w:rPr>
        <w:t xml:space="preserve">. A large proportion of tissue engineering research efforts have focused on the use of </w:t>
      </w:r>
      <w:r w:rsidRPr="00610A40">
        <w:rPr>
          <w:color w:val="auto"/>
        </w:rPr>
        <w:t xml:space="preserve">allografts (tissue graft from a donor of the same species as the recipient but not genetically identical), </w:t>
      </w:r>
      <w:proofErr w:type="spellStart"/>
      <w:r w:rsidRPr="00610A40">
        <w:rPr>
          <w:color w:val="auto"/>
        </w:rPr>
        <w:t>decellularized</w:t>
      </w:r>
      <w:proofErr w:type="spellEnd"/>
      <w:r w:rsidRPr="00610A40">
        <w:rPr>
          <w:color w:val="auto"/>
        </w:rPr>
        <w:t xml:space="preserve"> animal scaffolds or</w:t>
      </w:r>
      <w:r w:rsidRPr="00610A40">
        <w:rPr>
          <w:color w:val="auto"/>
          <w:shd w:val="clear" w:color="auto" w:fill="FFFFFF"/>
        </w:rPr>
        <w:t xml:space="preserve"> other biological materials as scaffolds. However, these technologies face a major concern of triggering immunological responses from the host, on top of other issues. Synthetic biodegradable polyester elastomers are biocompatible, reproducible and cost effective, and have therefore evolved as an excellent alternative for the fabrication of tissue engineering scaffolds and other biomedical applications. For the purpose of this review paper, we will introduce some of the elastomeric polyesters, their synthesis and fabrication techniques, as well as their application in the biomedical field, focusing primarily on the tissue engineering in ophthalmology, cardiac and vascular systems.</w:t>
      </w:r>
    </w:p>
    <w:p w14:paraId="1333DA90" w14:textId="77777777" w:rsidR="008C5439" w:rsidRPr="00610A40" w:rsidRDefault="008C5439">
      <w:pPr>
        <w:spacing w:after="200" w:line="276" w:lineRule="auto"/>
        <w:jc w:val="left"/>
        <w:rPr>
          <w:rFonts w:cs="Times New Roman"/>
          <w:b/>
          <w:bCs/>
          <w:kern w:val="36"/>
          <w:szCs w:val="48"/>
        </w:rPr>
      </w:pPr>
      <w:r w:rsidRPr="00610A40">
        <w:br w:type="page"/>
      </w:r>
    </w:p>
    <w:p w14:paraId="1EB8F5E0" w14:textId="427BE2F2" w:rsidR="00CA2966" w:rsidRPr="00610A40" w:rsidRDefault="00CA2966" w:rsidP="00CA2966">
      <w:pPr>
        <w:pStyle w:val="Heading1"/>
        <w:rPr>
          <w:sz w:val="24"/>
        </w:rPr>
      </w:pPr>
      <w:r w:rsidRPr="00610A40">
        <w:rPr>
          <w:sz w:val="24"/>
        </w:rPr>
        <w:lastRenderedPageBreak/>
        <w:t xml:space="preserve">2. </w:t>
      </w:r>
      <w:r w:rsidR="008A68AD" w:rsidRPr="00610A40">
        <w:rPr>
          <w:sz w:val="24"/>
        </w:rPr>
        <w:t xml:space="preserve">Synthesis of </w:t>
      </w:r>
      <w:r w:rsidRPr="00610A40">
        <w:rPr>
          <w:sz w:val="24"/>
        </w:rPr>
        <w:t xml:space="preserve">Polyester Elastomers and their </w:t>
      </w:r>
      <w:r w:rsidR="008A68AD" w:rsidRPr="00610A40">
        <w:rPr>
          <w:sz w:val="24"/>
        </w:rPr>
        <w:t>Properties</w:t>
      </w:r>
    </w:p>
    <w:p w14:paraId="38BD61A6" w14:textId="5E70E132" w:rsidR="00CA2966" w:rsidRPr="00610A40" w:rsidRDefault="00CA2966" w:rsidP="00CA2966">
      <w:pPr>
        <w:pStyle w:val="Heading2"/>
        <w:rPr>
          <w:sz w:val="24"/>
          <w:szCs w:val="24"/>
        </w:rPr>
      </w:pPr>
      <w:r w:rsidRPr="00610A40">
        <w:rPr>
          <w:sz w:val="24"/>
          <w:szCs w:val="24"/>
        </w:rPr>
        <w:t>2.1 Aliphatic Polyester (PLA, PGA, PCL) – Based Elastomers</w:t>
      </w:r>
    </w:p>
    <w:p w14:paraId="5457FDE3" w14:textId="41688970" w:rsidR="00CA2966" w:rsidRPr="00610A40" w:rsidRDefault="00CA2966" w:rsidP="00CA2966">
      <w:pPr>
        <w:rPr>
          <w:color w:val="auto"/>
          <w:szCs w:val="24"/>
        </w:rPr>
      </w:pPr>
      <w:r w:rsidRPr="00610A40">
        <w:rPr>
          <w:color w:val="auto"/>
          <w:szCs w:val="24"/>
        </w:rPr>
        <w:t xml:space="preserve">Poly(lactic acid) (PLA) </w:t>
      </w:r>
      <w:r w:rsidR="00965F54" w:rsidRPr="00610A40">
        <w:rPr>
          <w:color w:val="auto"/>
          <w:szCs w:val="24"/>
        </w:rPr>
        <w:t xml:space="preserve">has enjoyed a long history of being an </w:t>
      </w:r>
      <w:r w:rsidRPr="00610A40">
        <w:rPr>
          <w:color w:val="auto"/>
          <w:szCs w:val="24"/>
        </w:rPr>
        <w:t xml:space="preserve">attractive </w:t>
      </w:r>
      <w:r w:rsidR="00965F54" w:rsidRPr="00610A40">
        <w:rPr>
          <w:color w:val="auto"/>
          <w:szCs w:val="24"/>
        </w:rPr>
        <w:t xml:space="preserve">material </w:t>
      </w:r>
      <w:r w:rsidRPr="00610A40">
        <w:rPr>
          <w:color w:val="auto"/>
          <w:szCs w:val="24"/>
        </w:rPr>
        <w:t>for biomedical applications due to its excellent biocompatibility and biodegradability</w:t>
      </w:r>
      <w:r w:rsidRPr="00610A40">
        <w:rPr>
          <w:color w:val="auto"/>
          <w:szCs w:val="24"/>
        </w:rPr>
        <w:fldChar w:fldCharType="begin" w:fldLock="1"/>
      </w:r>
      <w:r w:rsidR="00565E2A" w:rsidRPr="00610A40">
        <w:rPr>
          <w:color w:val="auto"/>
          <w:szCs w:val="24"/>
        </w:rPr>
        <w:instrText>ADDIN CSL_CITATION { "citationItems" : [ { "id" : "ITEM-1", "itemData" : { "DOI" : "10.1039/c6ra04531f", "ISBN" : "2046-2069", "author" : [ { "dropping-particle" : "", "family" : "Li", "given" : "Zibiao", "non-dropping-particle" : "", "parse-names" : false, "suffix" : "" }, { "dropping-particle" : "", "family" : "Chee", "given" : "Pei Lin", "non-dropping-particle" : "", "parse-names" : false, "suffix" : "" }, { "dropping-particle" : "", "family" : "Owh", "given" : "Cally", "non-dropping-particle" : "", "parse-names" : false, "suffix" : "" }, { "dropping-particle" : "", "family" : "Lakshminarayanan", "given" : "Rajamani", "non-dropping-particle" : "", "parse-names" : false, "suffix" : "" }, { "dropping-particle" : "", "family" : "Loh", "given" : "Xian Jun", "non-dropping-particle" : "", "parse-names" : false, "suffix" : "" } ], "container-title" : "RSC Adv.", "id" : "ITEM-1", "issue" : "34", "issued" : { "date-parts" : [ [ "2016" ] ] }, "page" : "28947-28955", "title" : "Safe and efficient membrane permeabilizing polymers based on PLLA for antibacterial applications", "type" : "article-journal", "volume" : "6" }, "uris" : [ "http://www.mendeley.com/documents/?uuid=32ae578c-3e58-491e-9bef-fa0182e7b537", "http://www.mendeley.com/documents/?uuid=50398780-ffa2-4ba6-9976-0545afa8d789" ] }, { "id" : "ITEM-2", "itemData" : { "DOI" : "10.1021/la504860a", "ISBN" : "0743-7463", "author" : [ { "dropping-particle" : "", "family" : "Li", "given" : "Zibiao", "non-dropping-particle" : "", "parse-names" : false, "suffix" : "" }, { "dropping-particle" : "", "family" : "Yuan", "given" : "Du", "non-dropping-particle" : "", "parse-names" : false, "suffix" : "" }, { "dropping-particle" : "", "family" : "Fan", "given" : "Xiaoshan", "non-dropping-particle" : "", "parse-names" : false, "suffix" : "" }, { "dropping-particle" : "", "family" : "Tan", "given" : "Beng H", "non-dropping-particle" : "", "parse-names" : false, "suffix" : "" }, { "dropping-particle" : "", "family" : "He", "given" : "Chaobin", "non-dropping-particle" : "", "parse-names" : false, "suffix" : "" } ], "container-title" : "Langmuir", "id" : "ITEM-2", "issue" : "8", "issued" : { "date-parts" : [ [ "2015" ] ] }, "page" : "2321-2333", "publisher" : "American Chemical Society", "title" : "Poly(ethylene glycol) Conjugated Poly(lactide)-Based Polyelectrolytes: Synthesis and Formation of Stable Self-Assemblies Induced by Stereocomplexation", "type" : "article-journal", "volume" : "31" }, "uris" : [ "http://www.mendeley.com/documents/?uuid=ca943cc3-dd8e-4a55-aeaf-706f4520222b", "http://www.mendeley.com/documents/?uuid=3e4c59bd-8aec-451a-954d-4a5a77e4048e" ] }, { "id" : "ITEM-3", "itemData" : { "DOI" : "10.1039/C4PY00065J", "ISBN" : "1759-9954", "author" : [ { "dropping-particle" : "", "family" : "Fan", "given" : "Xiaoshan", "non-dropping-particle" : "", "parse-names" : false, "suffix" : "" }, { "dropping-particle" : "", "family" : "Wang", "given" : "Zhuo", "non-dropping-particle" : "", "parse-names" : false, "suffix" : "" }, { "dropping-particle" : "", "family" : "Yuan", "given" : "Du", "non-dropping-particle" : "", "parse-names" : false, "suffix" : "" }, { "dropping-particle" : "", "family" : "Sun", "given" : "Yang", "non-dropping-particle" : "", "parse-names" : false, "suffix" : "" }, { "dropping-particle" : "", "family" : "Li", "given" : "Zibiao", "non-dropping-particle" : "", "parse-names" : false, "suffix" : "" }, { "dropping-particle" : "", "family" : "He", "given" : "Chaobin", "non-dropping-particle" : "", "parse-names" : false, "suffix" : "" } ], "container-title" : "Polymer Chemistry", "id" : "ITEM-3", "issue" : "13", "issued" : { "date-parts" : [ [ "2014" ] ] }, "page" : "4069-4075", "publisher" : "The Royal Society of Chemistry", "title" : "Novel linear-dendritic-like amphiphilic copolymers: synthesis and self-assembly characteristics", "type" : "article-journal", "volume" : "5" }, "uris" : [ "http://www.mendeley.com/documents/?uuid=98c545f0-6fcb-4fbf-aec3-6e6ac9702747", "http://www.mendeley.com/documents/?uuid=a780d2fc-f419-4ae9-9790-8a022c5c5b93" ] } ], "mendeley" : { "formattedCitation" : "&lt;sup&gt;10\u201312&lt;/sup&gt;", "plainTextFormattedCitation" : "10\u201312", "previouslyFormattedCitation" : "&lt;sup&gt;10\u201312&lt;/sup&gt;"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10–12</w:t>
      </w:r>
      <w:r w:rsidRPr="00610A40">
        <w:rPr>
          <w:color w:val="auto"/>
          <w:szCs w:val="24"/>
        </w:rPr>
        <w:fldChar w:fldCharType="end"/>
      </w:r>
      <w:r w:rsidRPr="00610A40">
        <w:rPr>
          <w:color w:val="auto"/>
          <w:szCs w:val="24"/>
        </w:rPr>
        <w:t xml:space="preserve">. </w:t>
      </w:r>
      <w:r w:rsidR="002914AE" w:rsidRPr="00610A40">
        <w:rPr>
          <w:color w:val="auto"/>
          <w:szCs w:val="24"/>
        </w:rPr>
        <w:t>Similar</w:t>
      </w:r>
      <w:r w:rsidR="00965F54" w:rsidRPr="00610A40">
        <w:rPr>
          <w:color w:val="auto"/>
          <w:szCs w:val="24"/>
        </w:rPr>
        <w:t>ly</w:t>
      </w:r>
      <w:r w:rsidR="002914AE" w:rsidRPr="00610A40">
        <w:rPr>
          <w:color w:val="auto"/>
          <w:szCs w:val="24"/>
        </w:rPr>
        <w:t xml:space="preserve">, </w:t>
      </w:r>
      <w:r w:rsidR="00965F54" w:rsidRPr="00610A40">
        <w:rPr>
          <w:color w:val="auto"/>
          <w:szCs w:val="24"/>
        </w:rPr>
        <w:t>poly(</w:t>
      </w:r>
      <w:r w:rsidR="00965F54" w:rsidRPr="00610A40">
        <w:rPr>
          <w:color w:val="auto"/>
          <w:szCs w:val="24"/>
        </w:rPr>
        <w:sym w:font="Symbol" w:char="F065"/>
      </w:r>
      <w:r w:rsidR="00965F54" w:rsidRPr="00610A40">
        <w:rPr>
          <w:color w:val="auto"/>
          <w:szCs w:val="24"/>
        </w:rPr>
        <w:t>-</w:t>
      </w:r>
      <w:proofErr w:type="spellStart"/>
      <w:r w:rsidR="00965F54" w:rsidRPr="00610A40">
        <w:rPr>
          <w:color w:val="auto"/>
          <w:szCs w:val="24"/>
        </w:rPr>
        <w:t>caprolactone</w:t>
      </w:r>
      <w:proofErr w:type="spellEnd"/>
      <w:r w:rsidR="00965F54" w:rsidRPr="00610A40">
        <w:rPr>
          <w:color w:val="auto"/>
          <w:szCs w:val="24"/>
        </w:rPr>
        <w:t>) (</w:t>
      </w:r>
      <w:r w:rsidR="002914AE" w:rsidRPr="00610A40">
        <w:rPr>
          <w:color w:val="auto"/>
          <w:szCs w:val="24"/>
        </w:rPr>
        <w:t>PCL</w:t>
      </w:r>
      <w:r w:rsidR="00965F54" w:rsidRPr="00610A40">
        <w:rPr>
          <w:color w:val="auto"/>
          <w:szCs w:val="24"/>
        </w:rPr>
        <w:t>)</w:t>
      </w:r>
      <w:r w:rsidR="002914AE" w:rsidRPr="00610A40">
        <w:rPr>
          <w:color w:val="auto"/>
          <w:szCs w:val="24"/>
        </w:rPr>
        <w:t xml:space="preserve"> and </w:t>
      </w:r>
      <w:r w:rsidR="00965F54" w:rsidRPr="00610A40">
        <w:rPr>
          <w:color w:val="auto"/>
          <w:szCs w:val="24"/>
        </w:rPr>
        <w:t>poly(glycolic acid) (</w:t>
      </w:r>
      <w:r w:rsidR="002914AE" w:rsidRPr="00610A40">
        <w:rPr>
          <w:color w:val="auto"/>
          <w:szCs w:val="24"/>
        </w:rPr>
        <w:t>PGA</w:t>
      </w:r>
      <w:r w:rsidR="00965F54" w:rsidRPr="00610A40">
        <w:rPr>
          <w:color w:val="auto"/>
          <w:szCs w:val="24"/>
        </w:rPr>
        <w:t>)</w:t>
      </w:r>
      <w:r w:rsidR="002914AE" w:rsidRPr="00610A40">
        <w:rPr>
          <w:color w:val="auto"/>
          <w:szCs w:val="24"/>
        </w:rPr>
        <w:t xml:space="preserve"> are biodegradable and biocompatible polyesters that have been FDA-approved for biomedical applications such as surgical sutures and drug delivery systems</w:t>
      </w:r>
      <w:r w:rsidR="002914AE" w:rsidRPr="00610A40">
        <w:rPr>
          <w:color w:val="auto"/>
          <w:szCs w:val="24"/>
        </w:rPr>
        <w:fldChar w:fldCharType="begin" w:fldLock="1"/>
      </w:r>
      <w:r w:rsidR="00565E2A" w:rsidRPr="00610A40">
        <w:rPr>
          <w:color w:val="auto"/>
          <w:szCs w:val="24"/>
        </w:rPr>
        <w:instrText>ADDIN CSL_CITATION { "citationItems" : [ { "id" : "ITEM-1", "itemData" : { "DOI" : "http://dx.doi.org/10.1016/j.msec.2014.06.003", "ISBN" : "0928-4931", "author" : [ { "dropping-particle" : "", "family" : "Li", "given" : "Zibiao", "non-dropping-particle" : "", "parse-names" : false, "suffix" : "" }, { "dropping-particle" : "", "family" : "Tan", "given" : "Beng Hoon", "non-dropping-particle" : "", "parse-names" : false, "suffix" : "" } ], "container-title" : "Materials Science and Engineering C", "id" : "ITEM-1", "issue" : "0", "issued" : { "date-parts" : [ [ "2014" ] ] }, "page" : "620-634", "title" : "Towards the development of polycaprolactone based amphiphilic block copolymers: molecular design, self-assembly and biomedical applications", "type" : "article-journal", "volume" : "45" }, "uris" : [ "http://www.mendeley.com/documents/?uuid=f45c7922-afc0-46e4-9c64-b1c8eb9fd53d", "http://www.mendeley.com/documents/?uuid=711e6134-4e64-4517-8da7-d684280e2441" ] }, { "id" : "ITEM-2", "itemData" : { "DOI" : "10.1021/bm3012506", "ISBN" : "1525-7797", "author" : [ { "dropping-particle" : "", "family" : "Li", "given" : "Zibiao", "non-dropping-particle" : "", "parse-names" : false, "suffix" : "" }, { "dropping-particle" : "", "family" : "Zhang", "given" : "Zhongxing", "non-dropping-particle" : "", "parse-names" : false, "suffix" : "" }, { "dropping-particle" : "", "family" : "Liu", "given" : "Kerh Li", "non-dropping-particle" : "", "parse-names" : false, "suffix" : "" }, { "dropping-particle" : "", "family" : "Ni", "given" : "Xiping", "non-dropping-particle" : "", "parse-names" : false, "suffix" : "" }, { "dropping-particle" : "", "family" : "Li", "given" : "Jun", "non-dropping-particle" : "", "parse-names" : false, "suffix" : "" } ], "container-title" : "Biomacromolecules", "id" : "ITEM-2", "issue" : "12", "issued" : { "date-parts" : [ [ "2012" ] ] }, "page" : "3977-3989", "publisher" : "American Chemical Society", "title" : "Biodegradable Hyperbranched Amphiphilic Polyurethane Multiblock Copolymers Consisting of Poly(propylene glycol), Poly(ethylene glycol), and Polycaprolactone as in Situ Thermogels", "type" : "article-journal", "volume" : "13" }, "uris" : [ "http://www.mendeley.com/documents/?uuid=2eca678e-ac35-466a-b885-87409af51af4", "http://www.mendeley.com/documents/?uuid=ceafa5d6-8884-4337-a83e-fd9304fee9e6" ] }, { "id" : "ITEM-3", "itemData" : { "DOI" : "10.1021/jp4094063", "ISBN" : "1520-6106", "author" : [ { "dropping-particle" : "", "family" : "Li", "given" : "Zibiao", "non-dropping-particle" : "", "parse-names" : false, "suffix" : "" }, { "dropping-particle" : "", "family" : "Li", "given" : "Jun", "non-dropping-particle" : "", "parse-names" : false, "suffix" : "" } ], "container-title" : "The Journal of Physical Chemistry B", "id" : "ITEM-3", "issue" : "47", "issued" : { "date-parts" : [ [ "2013" ] ] }, "page" : "14763-14774", "publisher" : "American Chemical Society", "title" : "Control of Hyperbranched Structure of Polycaprolactone/Poly(ethylene glycol) Polyurethane Block Copolymers by Glycerol and Their Hydrogels for Potential Cell Delivery", "type" : "article-journal", "volume" : "117" }, "uris" : [ "http://www.mendeley.com/documents/?uuid=6a6d39ad-3a7a-414a-b53d-44d90a021527", "http://www.mendeley.com/documents/?uuid=ca85a86f-af44-46f3-b9a5-cf124a6437a6" ] }, { "id" : "ITEM-4", "itemData" : { "DOI" : "10.1002/adfm.200901040", "ISBN" : "1616-3028", "ISSN" : "1616301X", "abstract" : "Abstract 10.1002/adfm.200901040.abs When elastomers were first proposed as useful materials for regenerative medicine a few decades ago, their high versatility and suitability for a diverse and wide range of in vivo applications could not have been predicted. Due to their ability to recover after deformation, these materials were first introduced in tissue engineering in an attempt to mimic the mechanical properties of the extracellular matrix. Furthermore, elastomeric characteristics have been described as important criteria for cell interaction by modulating cellular behavior. From soft to hard tissues, elastomers have demonstrated degradation, mechanical, and biocompatibility requirements in accordance with the target tissue. In this feature article, biodegradable synthetic polyester elastomers that have been reported in the literature are discussed, with special focus on those that show promise for in vivo tissue replacement. Their satisfactory performance in vivo shows the promise of elastomers for use in regenerative medicine. However, further investigation is required to demonstrate the prospect of elastomer-based therapies in clinical trials.", "author" : [ { "dropping-particle" : "", "family" : "Serrano", "given" : "Maria Concepcion", "non-dropping-particle" : "", "parse-names" : false, "suffix" : "" }, { "dropping-particle" : "", "family" : "Chung", "given" : "Eun Ji", "non-dropping-particle" : "", "parse-names" : false, "suffix" : "" }, { "dropping-particle" : "", "family" : "Ameer", "given" : "Guillermo a.", "non-dropping-particle" : "", "parse-names" : false, "suffix" : "" } ], "container-title" : "Advanced Functional Materials", "id" : "ITEM-4", "issue" : "2", "issued" : { "date-parts" : [ [ "2010" ] ] }, "page" : "192-208", "title" : "Advances and applications of biodegradable elastomers in regenerative medicine", "type" : "article-journal", "volume" : "20" }, "uris" : [ "http://www.mendeley.com/documents/?uuid=fa90d65f-f871-4912-ae8d-960557881024" ] } ], "mendeley" : { "formattedCitation" : "&lt;sup&gt;3,13\u201315&lt;/sup&gt;", "plainTextFormattedCitation" : "3,13\u201315", "previouslyFormattedCitation" : "&lt;sup&gt;3,13\u201315&lt;/sup&gt;" }, "properties" : { "noteIndex" : 0 }, "schema" : "https://github.com/citation-style-language/schema/raw/master/csl-citation.json" }</w:instrText>
      </w:r>
      <w:r w:rsidR="002914AE" w:rsidRPr="00610A40">
        <w:rPr>
          <w:color w:val="auto"/>
          <w:szCs w:val="24"/>
        </w:rPr>
        <w:fldChar w:fldCharType="separate"/>
      </w:r>
      <w:r w:rsidR="005F04A9" w:rsidRPr="00610A40">
        <w:rPr>
          <w:noProof/>
          <w:color w:val="auto"/>
          <w:szCs w:val="24"/>
          <w:vertAlign w:val="superscript"/>
        </w:rPr>
        <w:t>3,13–15</w:t>
      </w:r>
      <w:r w:rsidR="002914AE" w:rsidRPr="00610A40">
        <w:rPr>
          <w:color w:val="auto"/>
          <w:szCs w:val="24"/>
        </w:rPr>
        <w:fldChar w:fldCharType="end"/>
      </w:r>
      <w:r w:rsidR="002914AE" w:rsidRPr="00610A40">
        <w:rPr>
          <w:color w:val="auto"/>
          <w:szCs w:val="24"/>
        </w:rPr>
        <w:t xml:space="preserve">. </w:t>
      </w:r>
      <w:r w:rsidR="00965F54" w:rsidRPr="00610A40">
        <w:rPr>
          <w:color w:val="auto"/>
          <w:szCs w:val="24"/>
        </w:rPr>
        <w:t xml:space="preserve">While the </w:t>
      </w:r>
      <w:proofErr w:type="spellStart"/>
      <w:r w:rsidR="00965F54" w:rsidRPr="00610A40">
        <w:rPr>
          <w:color w:val="auto"/>
          <w:szCs w:val="24"/>
        </w:rPr>
        <w:t>homopolymers</w:t>
      </w:r>
      <w:proofErr w:type="spellEnd"/>
      <w:r w:rsidR="00965F54" w:rsidRPr="00610A40">
        <w:rPr>
          <w:color w:val="auto"/>
          <w:szCs w:val="24"/>
        </w:rPr>
        <w:t xml:space="preserve"> of these established materials </w:t>
      </w:r>
      <w:r w:rsidR="0030199D" w:rsidRPr="00610A40">
        <w:rPr>
          <w:color w:val="auto"/>
          <w:szCs w:val="24"/>
        </w:rPr>
        <w:t>are not elastomers</w:t>
      </w:r>
      <w:r w:rsidR="00965F54" w:rsidRPr="00610A40">
        <w:rPr>
          <w:color w:val="auto"/>
          <w:szCs w:val="24"/>
        </w:rPr>
        <w:t xml:space="preserve">, many of their copolymers were developed to be elastomeric. </w:t>
      </w:r>
    </w:p>
    <w:p w14:paraId="4EB3CC79" w14:textId="77777777" w:rsidR="00CA2966" w:rsidRPr="00610A40" w:rsidRDefault="00CA2966" w:rsidP="00CA2966">
      <w:pPr>
        <w:rPr>
          <w:color w:val="auto"/>
          <w:szCs w:val="24"/>
        </w:rPr>
      </w:pPr>
    </w:p>
    <w:p w14:paraId="6A6CDC87" w14:textId="001C2E64" w:rsidR="00CA2966" w:rsidRPr="00610A40" w:rsidRDefault="00CA2966" w:rsidP="00CA2966">
      <w:pPr>
        <w:rPr>
          <w:color w:val="auto"/>
          <w:szCs w:val="24"/>
        </w:rPr>
      </w:pPr>
      <w:r w:rsidRPr="00610A40">
        <w:rPr>
          <w:color w:val="auto"/>
          <w:szCs w:val="24"/>
        </w:rPr>
        <w:t xml:space="preserve">PLA has been copolymerized with other common polyesters such as PCL and </w:t>
      </w:r>
      <w:r w:rsidR="00965F54" w:rsidRPr="00610A40">
        <w:rPr>
          <w:color w:val="auto"/>
          <w:szCs w:val="24"/>
        </w:rPr>
        <w:t>P</w:t>
      </w:r>
      <w:r w:rsidRPr="00610A40">
        <w:rPr>
          <w:color w:val="auto"/>
          <w:szCs w:val="24"/>
        </w:rPr>
        <w:t>GA</w:t>
      </w:r>
      <w:r w:rsidR="002914AE" w:rsidRPr="00610A40">
        <w:rPr>
          <w:color w:val="auto"/>
          <w:szCs w:val="24"/>
        </w:rPr>
        <w:t xml:space="preserve"> to </w:t>
      </w:r>
      <w:r w:rsidR="00965F54" w:rsidRPr="00610A40">
        <w:rPr>
          <w:color w:val="auto"/>
          <w:szCs w:val="24"/>
        </w:rPr>
        <w:t>provide</w:t>
      </w:r>
      <w:r w:rsidR="002914AE" w:rsidRPr="00610A40">
        <w:rPr>
          <w:color w:val="auto"/>
          <w:szCs w:val="24"/>
        </w:rPr>
        <w:t xml:space="preserve"> elasticity. </w:t>
      </w:r>
      <w:proofErr w:type="spellStart"/>
      <w:r w:rsidR="002914AE" w:rsidRPr="00610A40">
        <w:rPr>
          <w:color w:val="auto"/>
          <w:szCs w:val="24"/>
        </w:rPr>
        <w:t>C</w:t>
      </w:r>
      <w:r w:rsidRPr="00610A40">
        <w:rPr>
          <w:color w:val="auto"/>
          <w:szCs w:val="24"/>
        </w:rPr>
        <w:t>opolymerisation</w:t>
      </w:r>
      <w:proofErr w:type="spellEnd"/>
      <w:r w:rsidRPr="00610A40">
        <w:rPr>
          <w:color w:val="auto"/>
          <w:szCs w:val="24"/>
        </w:rPr>
        <w:t xml:space="preserve"> of PLA with PCL has been investigated to develop high performance elastomeric materials. PCL, compared to PLA and PGA, is more flexible and degrades</w:t>
      </w:r>
      <w:r w:rsidR="00965F54" w:rsidRPr="00610A40">
        <w:rPr>
          <w:color w:val="auto"/>
          <w:szCs w:val="24"/>
        </w:rPr>
        <w:t xml:space="preserve"> much</w:t>
      </w:r>
      <w:r w:rsidRPr="00610A40">
        <w:rPr>
          <w:color w:val="auto"/>
          <w:szCs w:val="24"/>
        </w:rPr>
        <w:t xml:space="preserve"> slow</w:t>
      </w:r>
      <w:r w:rsidR="00965F54" w:rsidRPr="00610A40">
        <w:rPr>
          <w:color w:val="auto"/>
          <w:szCs w:val="24"/>
        </w:rPr>
        <w:t>er (</w:t>
      </w:r>
      <w:r w:rsidRPr="00610A40">
        <w:rPr>
          <w:color w:val="auto"/>
          <w:szCs w:val="24"/>
        </w:rPr>
        <w:t>in the magnitude of years</w:t>
      </w:r>
      <w:r w:rsidR="00965F54" w:rsidRPr="00610A40">
        <w:rPr>
          <w:color w:val="auto"/>
          <w:szCs w:val="24"/>
        </w:rPr>
        <w:t>)</w:t>
      </w:r>
      <w:r w:rsidRPr="00610A40">
        <w:rPr>
          <w:color w:val="auto"/>
          <w:szCs w:val="24"/>
        </w:rPr>
        <w:t xml:space="preserve">. These contrasting properties can be harnessed to create materials for long-term delivery of therapeutics. The hydroxyl-terminated groups of PCL chains can be </w:t>
      </w:r>
      <w:r w:rsidR="00990A40" w:rsidRPr="00610A40">
        <w:rPr>
          <w:color w:val="auto"/>
          <w:szCs w:val="24"/>
        </w:rPr>
        <w:t>utilized</w:t>
      </w:r>
      <w:r w:rsidRPr="00610A40">
        <w:rPr>
          <w:color w:val="auto"/>
          <w:szCs w:val="24"/>
        </w:rPr>
        <w:t xml:space="preserve"> to initiate the ROP of the L-</w:t>
      </w:r>
      <w:proofErr w:type="spellStart"/>
      <w:r w:rsidRPr="00610A40">
        <w:rPr>
          <w:color w:val="auto"/>
          <w:szCs w:val="24"/>
        </w:rPr>
        <w:t>lactide</w:t>
      </w:r>
      <w:proofErr w:type="spellEnd"/>
      <w:r w:rsidRPr="00610A40">
        <w:rPr>
          <w:color w:val="auto"/>
          <w:szCs w:val="24"/>
        </w:rPr>
        <w:t xml:space="preserve"> monomer to form PLA-PCL-PLA </w:t>
      </w:r>
      <w:proofErr w:type="spellStart"/>
      <w:r w:rsidRPr="00610A40">
        <w:rPr>
          <w:color w:val="auto"/>
          <w:szCs w:val="24"/>
        </w:rPr>
        <w:t>triblocks</w:t>
      </w:r>
      <w:proofErr w:type="spellEnd"/>
      <w:r w:rsidR="00C95BA5" w:rsidRPr="00610A40">
        <w:rPr>
          <w:color w:val="auto"/>
          <w:szCs w:val="24"/>
        </w:rPr>
        <w:t xml:space="preserve"> (</w:t>
      </w:r>
      <w:r w:rsidR="00C95BA5" w:rsidRPr="00610A40">
        <w:rPr>
          <w:color w:val="auto"/>
          <w:szCs w:val="24"/>
        </w:rPr>
        <w:fldChar w:fldCharType="begin"/>
      </w:r>
      <w:r w:rsidR="00C95BA5" w:rsidRPr="00610A40">
        <w:rPr>
          <w:color w:val="auto"/>
          <w:szCs w:val="24"/>
        </w:rPr>
        <w:instrText xml:space="preserve"> REF _Ref506240422 \h </w:instrText>
      </w:r>
      <w:r w:rsidR="00C95BA5" w:rsidRPr="00610A40">
        <w:rPr>
          <w:color w:val="auto"/>
          <w:szCs w:val="24"/>
        </w:rPr>
      </w:r>
      <w:r w:rsidR="00610A40">
        <w:rPr>
          <w:color w:val="auto"/>
          <w:szCs w:val="24"/>
        </w:rPr>
        <w:instrText xml:space="preserve"> \* MERGEFORMAT </w:instrText>
      </w:r>
      <w:r w:rsidR="00C95BA5" w:rsidRPr="00610A40">
        <w:rPr>
          <w:color w:val="auto"/>
          <w:szCs w:val="24"/>
        </w:rPr>
        <w:fldChar w:fldCharType="separate"/>
      </w:r>
      <w:r w:rsidR="002B2E41" w:rsidRPr="00610A40">
        <w:t xml:space="preserve">Figure </w:t>
      </w:r>
      <w:r w:rsidR="002B2E41" w:rsidRPr="00610A40">
        <w:rPr>
          <w:noProof/>
        </w:rPr>
        <w:t>1</w:t>
      </w:r>
      <w:r w:rsidR="00C95BA5" w:rsidRPr="00610A40">
        <w:rPr>
          <w:color w:val="auto"/>
          <w:szCs w:val="24"/>
        </w:rPr>
        <w:fldChar w:fldCharType="end"/>
      </w:r>
      <w:r w:rsidR="00C95BA5" w:rsidRPr="00610A40">
        <w:rPr>
          <w:color w:val="auto"/>
          <w:szCs w:val="24"/>
        </w:rPr>
        <w:t>)</w:t>
      </w:r>
      <w:r w:rsidRPr="00610A40">
        <w:rPr>
          <w:color w:val="auto"/>
          <w:szCs w:val="24"/>
        </w:rPr>
        <w:t xml:space="preserve">. These blocks are further extended with the use of </w:t>
      </w:r>
      <w:proofErr w:type="spellStart"/>
      <w:r w:rsidRPr="00610A40">
        <w:rPr>
          <w:color w:val="auto"/>
          <w:szCs w:val="24"/>
        </w:rPr>
        <w:t>hexamethylene</w:t>
      </w:r>
      <w:proofErr w:type="spellEnd"/>
      <w:r w:rsidRPr="00610A40">
        <w:rPr>
          <w:color w:val="auto"/>
          <w:szCs w:val="24"/>
        </w:rPr>
        <w:t xml:space="preserve"> </w:t>
      </w:r>
      <w:proofErr w:type="spellStart"/>
      <w:r w:rsidRPr="00610A40">
        <w:rPr>
          <w:color w:val="auto"/>
          <w:szCs w:val="24"/>
        </w:rPr>
        <w:t>diisocyanate</w:t>
      </w:r>
      <w:proofErr w:type="spellEnd"/>
      <w:r w:rsidRPr="00610A40">
        <w:rPr>
          <w:color w:val="auto"/>
          <w:szCs w:val="24"/>
        </w:rPr>
        <w:t xml:space="preserve"> (HDI). It was found that the elongation at break for the elastomeric </w:t>
      </w:r>
      <w:proofErr w:type="spellStart"/>
      <w:r w:rsidRPr="00610A40">
        <w:rPr>
          <w:color w:val="auto"/>
          <w:szCs w:val="24"/>
        </w:rPr>
        <w:t>multiblock</w:t>
      </w:r>
      <w:proofErr w:type="spellEnd"/>
      <w:r w:rsidRPr="00610A40">
        <w:rPr>
          <w:color w:val="auto"/>
          <w:szCs w:val="24"/>
        </w:rPr>
        <w:t xml:space="preserve"> copolymer exceeded 600% with Young’s modulus of 30 </w:t>
      </w:r>
      <w:proofErr w:type="spellStart"/>
      <w:r w:rsidRPr="00610A40">
        <w:rPr>
          <w:color w:val="auto"/>
          <w:szCs w:val="24"/>
        </w:rPr>
        <w:t>MPa</w:t>
      </w:r>
      <w:proofErr w:type="spellEnd"/>
      <w:r w:rsidRPr="00610A40">
        <w:rPr>
          <w:color w:val="auto"/>
          <w:szCs w:val="24"/>
        </w:rPr>
        <w:t xml:space="preserve">. Moreover, depending on the composition of the PLA and PCL in the copolymer, the degradation profiles of the resulting elastomers can be programmed for specific </w:t>
      </w:r>
      <w:r w:rsidRPr="00610A40">
        <w:rPr>
          <w:i/>
          <w:color w:val="auto"/>
          <w:szCs w:val="24"/>
        </w:rPr>
        <w:t>in vivo</w:t>
      </w:r>
      <w:r w:rsidRPr="00610A40">
        <w:rPr>
          <w:color w:val="auto"/>
          <w:szCs w:val="24"/>
        </w:rPr>
        <w:t xml:space="preserve"> applications</w:t>
      </w:r>
      <w:r w:rsidRPr="00610A40">
        <w:rPr>
          <w:color w:val="auto"/>
          <w:szCs w:val="24"/>
        </w:rPr>
        <w:fldChar w:fldCharType="begin" w:fldLock="1"/>
      </w:r>
      <w:r w:rsidR="00565E2A" w:rsidRPr="00610A40">
        <w:rPr>
          <w:color w:val="auto"/>
          <w:szCs w:val="24"/>
        </w:rPr>
        <w:instrText>ADDIN CSL_CITATION { "citationItems" : [ { "id" : "ITEM-1", "itemData" : { "DOI" : "10.1016/j.biomaterials.2004.07.052", "ISBN" : "0142-9612", "author" : [ { "dropping-particle" : "", "family" : "Cohn", "given" : "D", "non-dropping-particle" : "", "parse-names" : false, "suffix" : "" }, { "dropping-particle" : "", "family" : "Hotovely Salomon", "given" : "A", "non-dropping-particle" : "", "parse-names" : false, "suffix" : "" } ], "container-title" : "Biomaterials", "id" : "ITEM-1", "issue" : "15", "issued" : { "date-parts" : [ [ "2005" ] ] }, "page" : "2297-2305", "publisher" : "Elsevier Ltd", "publisher-place" : "England", "title" : "Designing biodegradable multiblock PCL/PLA thermoplastic elastomers", "type" : "article-journal", "volume" : "26" }, "uris" : [ "http://www.mendeley.com/documents/?uuid=10933226-dd28-4021-939b-a7167f241018", "http://www.mendeley.com/documents/?uuid=aa73331a-4500-4dce-88fe-dcfe72fa3d9d" ] } ], "mendeley" : { "formattedCitation" : "&lt;sup&gt;16&lt;/sup&gt;", "plainTextFormattedCitation" : "16", "previouslyFormattedCitation" : "&lt;sup&gt;16&lt;/sup&gt;"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16</w:t>
      </w:r>
      <w:r w:rsidRPr="00610A40">
        <w:rPr>
          <w:color w:val="auto"/>
          <w:szCs w:val="24"/>
        </w:rPr>
        <w:fldChar w:fldCharType="end"/>
      </w:r>
      <w:r w:rsidRPr="00610A40">
        <w:rPr>
          <w:color w:val="auto"/>
          <w:szCs w:val="24"/>
        </w:rPr>
        <w:t xml:space="preserve">. Besides elastomeric PLA-PCL-PLA </w:t>
      </w:r>
      <w:proofErr w:type="spellStart"/>
      <w:r w:rsidRPr="00610A40">
        <w:rPr>
          <w:color w:val="auto"/>
          <w:szCs w:val="24"/>
        </w:rPr>
        <w:t>triblock</w:t>
      </w:r>
      <w:proofErr w:type="spellEnd"/>
      <w:r w:rsidRPr="00610A40">
        <w:rPr>
          <w:color w:val="auto"/>
          <w:szCs w:val="24"/>
        </w:rPr>
        <w:t xml:space="preserve"> copolymers, many other studies have reported improved elastomeric material properties from PLA/PCL based random copolymers - </w:t>
      </w:r>
      <w:proofErr w:type="gramStart"/>
      <w:r w:rsidRPr="00610A40">
        <w:rPr>
          <w:color w:val="auto"/>
          <w:szCs w:val="24"/>
        </w:rPr>
        <w:t>poly(</w:t>
      </w:r>
      <w:proofErr w:type="spellStart"/>
      <w:proofErr w:type="gramEnd"/>
      <w:r w:rsidRPr="00610A40">
        <w:rPr>
          <w:color w:val="auto"/>
          <w:szCs w:val="24"/>
        </w:rPr>
        <w:t>lactide</w:t>
      </w:r>
      <w:proofErr w:type="spellEnd"/>
      <w:r w:rsidRPr="00610A40">
        <w:rPr>
          <w:color w:val="auto"/>
          <w:szCs w:val="24"/>
        </w:rPr>
        <w:t>-</w:t>
      </w:r>
      <w:r w:rsidRPr="00610A40">
        <w:rPr>
          <w:i/>
          <w:color w:val="auto"/>
          <w:szCs w:val="24"/>
        </w:rPr>
        <w:t>co</w:t>
      </w:r>
      <w:r w:rsidRPr="00610A40">
        <w:rPr>
          <w:color w:val="auto"/>
          <w:szCs w:val="24"/>
        </w:rPr>
        <w:t>-</w:t>
      </w:r>
      <w:proofErr w:type="spellStart"/>
      <w:r w:rsidRPr="00610A40">
        <w:rPr>
          <w:color w:val="auto"/>
          <w:szCs w:val="24"/>
        </w:rPr>
        <w:t>caprolactone</w:t>
      </w:r>
      <w:proofErr w:type="spellEnd"/>
      <w:r w:rsidRPr="00610A40">
        <w:rPr>
          <w:color w:val="auto"/>
          <w:szCs w:val="24"/>
        </w:rPr>
        <w:t>) (PLC</w:t>
      </w:r>
      <w:r w:rsidR="00965F54" w:rsidRPr="00610A40">
        <w:rPr>
          <w:color w:val="auto"/>
          <w:szCs w:val="24"/>
        </w:rPr>
        <w:t>L</w:t>
      </w:r>
      <w:r w:rsidRPr="00610A40">
        <w:rPr>
          <w:color w:val="auto"/>
          <w:szCs w:val="24"/>
        </w:rPr>
        <w:t>)</w:t>
      </w:r>
      <w:r w:rsidR="00C95BA5" w:rsidRPr="00610A40">
        <w:rPr>
          <w:color w:val="auto"/>
          <w:szCs w:val="24"/>
        </w:rPr>
        <w:t>.</w:t>
      </w:r>
      <w:r w:rsidRPr="00610A40">
        <w:rPr>
          <w:color w:val="auto"/>
          <w:szCs w:val="24"/>
        </w:rPr>
        <w:t xml:space="preserve"> Similar to the previous approach, HDI was used as a chain extender and this significantly </w:t>
      </w:r>
      <w:r w:rsidRPr="00610A40">
        <w:rPr>
          <w:color w:val="auto"/>
          <w:szCs w:val="24"/>
        </w:rPr>
        <w:lastRenderedPageBreak/>
        <w:t>increased the strength and flexibility of PLC</w:t>
      </w:r>
      <w:r w:rsidR="00965F54" w:rsidRPr="00610A40">
        <w:rPr>
          <w:color w:val="auto"/>
          <w:szCs w:val="24"/>
        </w:rPr>
        <w:t>L</w:t>
      </w:r>
      <w:r w:rsidRPr="00610A40">
        <w:rPr>
          <w:color w:val="auto"/>
          <w:szCs w:val="24"/>
        </w:rPr>
        <w:t>. Elongation at break of 790% along with high flexibility and strength were achieved for an 80/20 PCL/PLA. The Young’s modulus of the elastomer was found to be 2.7 MPa</w:t>
      </w:r>
      <w:r w:rsidRPr="00610A40">
        <w:rPr>
          <w:color w:val="auto"/>
          <w:szCs w:val="24"/>
        </w:rPr>
        <w:fldChar w:fldCharType="begin" w:fldLock="1"/>
      </w:r>
      <w:r w:rsidR="00565E2A" w:rsidRPr="00610A40">
        <w:rPr>
          <w:color w:val="auto"/>
          <w:szCs w:val="24"/>
        </w:rPr>
        <w:instrText>ADDIN CSL_CITATION { "citationItems" : [ { "id" : "ITEM-1", "itemData" : { "DOI" : "10.1002/pat.1414", "ISSN" : "1099-1581", "abstract" : "Biodegradable copolymers of poly(lactic acid)-block-poly(\u03b5-caprolactone) (PLA-b-PCL) were successfully prepared by two steps. In the first step, lactic acid monomer is oligomerized to low molecular weight prepolymer and copolymerized with the (\u03b5-caprolactone) diol to prepolymer, and then the molecular weight is raised by joining prepolymer chains together using 1,6-hexamethylene diisocyanate (HDI) as the chain extender. The polymer was carefully characterized by using 1H-NMR analysis, gel permeation chromatography (GPC), thermogravimetric analysis (TGA), differential scanning calorimetry (DSC), and Fourier transform infrared spectroscopy (FTIR). The results of 1H-NMR and TGA indicate PLA-b-PCL prepolymer with number average molecular weights (Mn) of 4000\u20136000 were obtained. When PCL-diols are 10\u2009wt%, copolymer is better for chain extension reaction to obtain the polymer with high molecular weight. After chain extension, the weight average molecular weight can reach 250,000\u2009g/mol, as determined by GPC, when the molar ratio of \u2013NCO to \u2013OH was 3:1. DSC curve showed that the degree of crystallization of PLA\u2013PCL copolymer was low, even became amorphous after chain extended reaction. The product exhibits superior mechanical properties with elongation at break above 297% that is much higher than that of PLA chain extended products. Copyright \u00a9 2009 John Wiley &amp; Sons, Ltd. ", "author" : [ { "dropping-particle" : "", "family" : "Yu", "given" : "Tao", "non-dropping-particle" : "", "parse-names" : false, "suffix" : "" }, { "dropping-particle" : "", "family" : "Ren", "given" : "Jie", "non-dropping-particle" : "", "parse-names" : false, "suffix" : "" }, { "dropping-particle" : "", "family" : "Gu", "given" : "Shuying", "non-dropping-particle" : "", "parse-names" : false, "suffix" : "" }, { "dropping-particle" : "", "family" : "Yang", "given" : "Ming", "non-dropping-particle" : "", "parse-names" : false, "suffix" : "" } ], "container-title" : "Polymers for Advanced Technologies", "id" : "ITEM-1", "issue" : "3", "issued" : { "date-parts" : [ [ "2010", "3", "1" ] ] }, "page" : "183-188", "publisher" : "John Wiley &amp; Sons, Ltd.", "title" : "Preparation and characterization of biodegradable poly(lactic acid)- block-poly(\u03b5-caprolactone) multiblock copolymer", "type" : "article-journal", "volume" : "21" }, "uris" : [ "http://www.mendeley.com/documents/?uuid=e66b9c1f-07ad-4264-b25a-1c008c1b529a", "http://www.mendeley.com/documents/?uuid=88e6597a-a49c-445e-9f7b-8d5b5b28fe7d" ] }, { "id" : "ITEM-2", "itemData" : { "DOI" : "10.1016/j.msec.2008.08.002", "ISBN" : "0928-4931", "author" : [ { "dropping-particle" : "", "family" : "Zhang", "given" : "Jinhui", "non-dropping-particle" : "", "parse-names" : false, "suffix" : "" }, { "dropping-particle" : "", "family" : "Xu", "given" : "Jia", "non-dropping-particle" : "", "parse-names" : false, "suffix" : "" }, { "dropping-particle" : "", "family" : "Wang", "given" : "Hongyan", "non-dropping-particle" : "", "parse-names" : false, "suffix" : "" }, { "dropping-particle" : "", "family" : "Jin", "given" : "Weiqun", "non-dropping-particle" : "", "parse-names" : false, "suffix" : "" }, { "dropping-particle" : "", "family" : "Li", "given" : "Junfeng", "non-dropping-particle" : "", "parse-names" : false, "suffix" : "" } ], "container-title" : "Materials Science &amp; Engineering C", "id" : "ITEM-2", "issue" : "3", "issued" : { "date-parts" : [ [ "2009" ] ] }, "page" : "889-893", "publisher" : "Elsevier B.V", "title" : "Synthesis of multiblock thermoplastic elastomers based on biodegradable poly (lactic acid) and polycaprolactone", "type" : "article-journal", "volume" : "29" }, "uris" : [ "http://www.mendeley.com/documents/?uuid=e7d71125-3f23-4234-9725-f0da14d728b3", "http://www.mendeley.com/documents/?uuid=7bb398a5-942c-4d6c-9050-1c6886698258" ] }, { "id" : "ITEM-3", "itemData" : { "DOI" : "10.1038/pj.2015.49", "ISBN" : "0032-3896", "author" : [ { "dropping-particle" : "", "family" : "Jikei", "given" : "Mitsutoshi", "non-dropping-particle" : "", "parse-names" : false, "suffix" : "" }, { "dropping-particle" : "", "family" : "Takeyama", "given" : "Yuuki", "non-dropping-particle" : "", "parse-names" : false, "suffix" : "" }, { "dropping-particle" : "", "family" : "Yamadoi", "given" : "Yuta", "non-dropping-particle" : "", "parse-names" : false, "suffix" : "" }, { "dropping-particle" : "", "family" : "Shinbo", "given" : "Natsumi", "non-dropping-particle" : "", "parse-names" : false, "suffix" : "" }, { "dropping-particle" : "", "family" : "Matsumoto", "given" : "Kazuya", "non-dropping-particle" : "", "parse-names" : false, "suffix" : "" }, { "dropping-particle" : "", "family" : "Motokawa", "given" : "Mamika", "non-dropping-particle" : "", "parse-names" : false, "suffix" : "" }, { "dropping-particle" : "", "family" : "Ishibashi", "given" : "Kazuyuki", "non-dropping-particle" : "", "parse-names" : false, "suffix" : "" }, { "dropping-particle" : "", "family" : "Yamamoto", "given" : "Fumio", "non-dropping-particle" : "", "parse-names" : false, "suffix" : "" } ], "container-title" : "Polymer Journal", "id" : "ITEM-3", "issue" : "10", "issued" : { "date-parts" : [ [ "2015" ] ] }, "page" : "657", "publisher" : "Nature Publishing Group", "publisher-place" : "Tokyo", "title" : "Synthesis and properties of Poly(L-lactide)-Poly([epsilon]-caprolactone) multiblock copolymers by the self-polycondensation of diblock macromonomers", "type" : "article-journal", "volume" : "47" }, "uris" : [ "http://www.mendeley.com/documents/?uuid=66c551d9-5fd2-4d67-b703-e12d59876df2", "http://www.mendeley.com/documents/?uuid=7a7227d6-b9bd-4f5c-bdb6-2edcfc1a9e57" ] }, { "id" : "ITEM-4", "itemData" : { "DOI" : "10.1002/pen.23766", "ISBN" : "0032-3888", "author" : [ { "dropping-particle" : "", "family" : "Zhao", "given" : "Xiong-Yan", "non-dropping-particle" : "", "parse-names" : false, "suffix" : "" }, { "dropping-particle" : "", "family" : "Wang", "given" : "Ming-Zhu", "non-dropping-particle" : "", "parse-names" : false, "suffix" : "" }, { "dropping-particle" : "", "family" : "Xing", "given" : "Ai", "non-dropping-particle" : "", "parse-names" : false, "suffix" : "" }, { "dropping-particle" : "", "family" : "Xiao", "given" : "Ji-Jun", "non-dropping-particle" : "", "parse-names" : false, "suffix" : "" }, { "dropping-particle" : "", "family" : "Xie", "given" : "Jiang", "non-dropping-particle" : "", "parse-names" : false, "suffix" : "" } ], "container-title" : "Polymer Engineering &amp; Science", "id" : "ITEM-4", "issue" : "9", "issued" : { "date-parts" : [ [ "2014" ] ] }, "page" : "2170-2176", "publisher" : "Society of Plastics Engineers, Inc", "publisher-place" : "Newtown", "title" : "Design and synthesis of biodegradable copolyester poly(\u03b5-caprolactone-co-d,l-lactide) with four pendent functional groups", "type" : "article-journal", "volume" : "54" }, "uris" : [ "http://www.mendeley.com/documents/?uuid=892d76ed-422c-41af-b111-409bf1e03951", "http://www.mendeley.com/documents/?uuid=c1abf85d-36c3-434e-9f74-8039c734275b" ] } ], "mendeley" : { "formattedCitation" : "&lt;sup&gt;17\u201320&lt;/sup&gt;", "plainTextFormattedCitation" : "17\u201320", "previouslyFormattedCitation" : "&lt;sup&gt;17\u201320&lt;/sup&gt;"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17–20</w:t>
      </w:r>
      <w:r w:rsidRPr="00610A40">
        <w:rPr>
          <w:color w:val="auto"/>
          <w:szCs w:val="24"/>
        </w:rPr>
        <w:fldChar w:fldCharType="end"/>
      </w:r>
      <w:r w:rsidRPr="00610A40">
        <w:rPr>
          <w:color w:val="auto"/>
          <w:szCs w:val="24"/>
        </w:rPr>
        <w:t xml:space="preserve">. Another study used an </w:t>
      </w:r>
      <w:r w:rsidRPr="00610A40">
        <w:rPr>
          <w:i/>
          <w:color w:val="auto"/>
          <w:szCs w:val="24"/>
        </w:rPr>
        <w:t>in situ</w:t>
      </w:r>
      <w:r w:rsidRPr="00610A40">
        <w:rPr>
          <w:color w:val="auto"/>
          <w:szCs w:val="24"/>
        </w:rPr>
        <w:t xml:space="preserve"> fibrillation technique to strengthen the PLC</w:t>
      </w:r>
      <w:r w:rsidR="00965F54" w:rsidRPr="00610A40">
        <w:rPr>
          <w:color w:val="auto"/>
          <w:szCs w:val="24"/>
        </w:rPr>
        <w:t>L</w:t>
      </w:r>
      <w:r w:rsidRPr="00610A40">
        <w:rPr>
          <w:color w:val="auto"/>
          <w:szCs w:val="24"/>
        </w:rPr>
        <w:t xml:space="preserve"> matrix using PGA</w:t>
      </w:r>
      <w:r w:rsidRPr="00610A40">
        <w:rPr>
          <w:color w:val="auto"/>
          <w:szCs w:val="24"/>
        </w:rPr>
        <w:fldChar w:fldCharType="begin" w:fldLock="1"/>
      </w:r>
      <w:r w:rsidR="00565E2A" w:rsidRPr="00610A40">
        <w:rPr>
          <w:color w:val="auto"/>
          <w:szCs w:val="24"/>
        </w:rPr>
        <w:instrText>ADDIN CSL_CITATION { "citationItems" : [ { "id" : "ITEM-1", "itemData" : { "DOI" : "10.1002/mame.200900251", "ISBN" : "1438-7492", "author" : [ { "dropping-particle" : "", "family" : "Wang", "given" : "Lian-Song", "non-dropping-particle" : "", "parse-names" : false, "suffix" : "" }, { "dropping-particle" : "", "family" : "Chen", "given" : "He-Chun", "non-dropping-particle" : "", "parse-names" : false, "suffix" : "" }, { "dropping-particle" : "", "family" : "Xiong", "given" : "Zuo-Chun", "non-dropping-particle" : "", "parse-names" : false, "suffix" : "" }, { "dropping-particle" : "", "family" : "Pang", "given" : "Xiu-Bing", "non-dropping-particle" : "", "parse-names" : false, "suffix" : "" }, { "dropping-particle" : "", "family" : "Xiong", "given" : "Cheng-Dong", "non-dropping-particle" : "", "parse-names" : false, "suffix" : "" } ], "container-title" : "Macromolecular Materials and Engineering", "id" : "ITEM-1", "issue" : "4", "issued" : { "date-parts" : [ [ "2010" ] ] }, "page" : "381-385", "title" : "A Completely Biodegradable Poly[(L-lactide)-co-(\u03b5-caprolactone)] Elastomer Reinforced by in situ Poly(glycolic acid) Fibrillation: Manufacturing and Shape-Memory Effects", "type" : "article-journal", "volume" : "295" }, "uris" : [ "http://www.mendeley.com/documents/?uuid=1e9bdd7c-13e1-4025-a01a-a4d5d583f42d", "http://www.mendeley.com/documents/?uuid=2acd358b-c8e4-490f-981b-57ff195e6e68" ] } ], "mendeley" : { "formattedCitation" : "&lt;sup&gt;21&lt;/sup&gt;", "plainTextFormattedCitation" : "21", "previouslyFormattedCitation" : "&lt;sup&gt;21&lt;/sup&gt;"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21</w:t>
      </w:r>
      <w:r w:rsidRPr="00610A40">
        <w:rPr>
          <w:color w:val="auto"/>
          <w:szCs w:val="24"/>
        </w:rPr>
        <w:fldChar w:fldCharType="end"/>
      </w:r>
      <w:r w:rsidRPr="00610A40">
        <w:rPr>
          <w:color w:val="auto"/>
          <w:szCs w:val="24"/>
        </w:rPr>
        <w:t>. While PLC</w:t>
      </w:r>
      <w:r w:rsidR="00965F54" w:rsidRPr="00610A40">
        <w:rPr>
          <w:color w:val="auto"/>
          <w:szCs w:val="24"/>
        </w:rPr>
        <w:t>L</w:t>
      </w:r>
      <w:r w:rsidRPr="00610A40">
        <w:rPr>
          <w:color w:val="auto"/>
          <w:szCs w:val="24"/>
        </w:rPr>
        <w:t xml:space="preserve"> demonstrate</w:t>
      </w:r>
      <w:r w:rsidR="00965F54" w:rsidRPr="00610A40">
        <w:rPr>
          <w:color w:val="auto"/>
          <w:szCs w:val="24"/>
        </w:rPr>
        <w:t>d</w:t>
      </w:r>
      <w:r w:rsidRPr="00610A40">
        <w:rPr>
          <w:color w:val="auto"/>
          <w:szCs w:val="24"/>
        </w:rPr>
        <w:t xml:space="preserve"> high elongation and moderate tensile strength, it possesse</w:t>
      </w:r>
      <w:r w:rsidR="00965F54" w:rsidRPr="00610A40">
        <w:rPr>
          <w:color w:val="auto"/>
          <w:szCs w:val="24"/>
        </w:rPr>
        <w:t>d</w:t>
      </w:r>
      <w:r w:rsidRPr="00610A40">
        <w:rPr>
          <w:color w:val="auto"/>
          <w:szCs w:val="24"/>
        </w:rPr>
        <w:t xml:space="preserve"> low Young’s modulus and </w:t>
      </w:r>
      <w:r w:rsidR="00965F54" w:rsidRPr="00610A40">
        <w:rPr>
          <w:color w:val="auto"/>
          <w:szCs w:val="24"/>
        </w:rPr>
        <w:t xml:space="preserve">moderately </w:t>
      </w:r>
      <w:r w:rsidRPr="00610A40">
        <w:rPr>
          <w:color w:val="auto"/>
          <w:szCs w:val="24"/>
        </w:rPr>
        <w:t xml:space="preserve">low degree of recovery when used </w:t>
      </w:r>
      <w:r w:rsidR="00965F54" w:rsidRPr="00610A40">
        <w:rPr>
          <w:color w:val="auto"/>
          <w:szCs w:val="24"/>
        </w:rPr>
        <w:t xml:space="preserve">in </w:t>
      </w:r>
      <w:r w:rsidRPr="00610A40">
        <w:rPr>
          <w:color w:val="auto"/>
          <w:szCs w:val="24"/>
        </w:rPr>
        <w:t xml:space="preserve">shape memory bio-implants. </w:t>
      </w:r>
      <w:r w:rsidR="00965F54" w:rsidRPr="00610A40">
        <w:rPr>
          <w:i/>
          <w:color w:val="auto"/>
          <w:szCs w:val="24"/>
        </w:rPr>
        <w:t>I</w:t>
      </w:r>
      <w:r w:rsidR="00990A40" w:rsidRPr="00610A40">
        <w:rPr>
          <w:i/>
          <w:color w:val="auto"/>
          <w:szCs w:val="24"/>
        </w:rPr>
        <w:t>n</w:t>
      </w:r>
      <w:r w:rsidR="00965F54" w:rsidRPr="00610A40">
        <w:rPr>
          <w:i/>
          <w:color w:val="auto"/>
          <w:szCs w:val="24"/>
        </w:rPr>
        <w:t xml:space="preserve"> </w:t>
      </w:r>
      <w:r w:rsidR="00990A40" w:rsidRPr="00610A40">
        <w:rPr>
          <w:i/>
          <w:color w:val="auto"/>
          <w:szCs w:val="24"/>
        </w:rPr>
        <w:t>situ</w:t>
      </w:r>
      <w:r w:rsidRPr="00610A40">
        <w:rPr>
          <w:color w:val="auto"/>
          <w:szCs w:val="24"/>
        </w:rPr>
        <w:t xml:space="preserve"> fibrillation of PGA was used to disperse PGA microfibers into PLC</w:t>
      </w:r>
      <w:r w:rsidR="00965F54" w:rsidRPr="00610A40">
        <w:rPr>
          <w:color w:val="auto"/>
          <w:szCs w:val="24"/>
        </w:rPr>
        <w:t>L</w:t>
      </w:r>
      <w:r w:rsidRPr="00610A40">
        <w:rPr>
          <w:color w:val="auto"/>
          <w:szCs w:val="24"/>
        </w:rPr>
        <w:t xml:space="preserve"> matrix to allow for strong interactions between the two phases. This significantly improved its recovery rate from 80.5% to 93.2%.</w:t>
      </w:r>
    </w:p>
    <w:p w14:paraId="6D551290" w14:textId="77777777" w:rsidR="00CA2966" w:rsidRPr="00610A40" w:rsidRDefault="00CA2966" w:rsidP="00CA2966">
      <w:pPr>
        <w:rPr>
          <w:color w:val="auto"/>
          <w:szCs w:val="24"/>
        </w:rPr>
      </w:pPr>
    </w:p>
    <w:p w14:paraId="73B61140" w14:textId="429F266F" w:rsidR="00CA2966" w:rsidRPr="00610A40" w:rsidRDefault="00CA2966" w:rsidP="00CA2966">
      <w:pPr>
        <w:rPr>
          <w:color w:val="auto"/>
          <w:szCs w:val="24"/>
        </w:rPr>
      </w:pPr>
      <w:r w:rsidRPr="00610A40">
        <w:rPr>
          <w:color w:val="auto"/>
          <w:szCs w:val="24"/>
        </w:rPr>
        <w:t>Another material, poly(</w:t>
      </w:r>
      <w:proofErr w:type="spellStart"/>
      <w:r w:rsidRPr="00610A40">
        <w:rPr>
          <w:color w:val="auto"/>
          <w:szCs w:val="24"/>
        </w:rPr>
        <w:t>glycolide</w:t>
      </w:r>
      <w:proofErr w:type="spellEnd"/>
      <w:r w:rsidRPr="00610A40">
        <w:rPr>
          <w:color w:val="auto"/>
          <w:szCs w:val="24"/>
        </w:rPr>
        <w:t>-co-</w:t>
      </w:r>
      <w:proofErr w:type="spellStart"/>
      <w:r w:rsidRPr="00610A40">
        <w:rPr>
          <w:color w:val="auto"/>
          <w:szCs w:val="24"/>
        </w:rPr>
        <w:t>caprolactone</w:t>
      </w:r>
      <w:proofErr w:type="spellEnd"/>
      <w:r w:rsidRPr="00610A40">
        <w:rPr>
          <w:color w:val="auto"/>
          <w:szCs w:val="24"/>
        </w:rPr>
        <w:t>) (PGCL), has also been manufactured to possess soft and hard domains</w:t>
      </w:r>
      <w:r w:rsidRPr="00610A40">
        <w:rPr>
          <w:color w:val="auto"/>
          <w:szCs w:val="24"/>
        </w:rPr>
        <w:fldChar w:fldCharType="begin" w:fldLock="1"/>
      </w:r>
      <w:r w:rsidR="00565E2A" w:rsidRPr="00610A40">
        <w:rPr>
          <w:color w:val="auto"/>
          <w:szCs w:val="24"/>
        </w:rPr>
        <w:instrText>ADDIN CSL_CITATION { "citationItems" : [ { "id" : "ITEM-1", "itemData" : { "DOI" : "Doi 10.1002/Jbm.A.10497", "ISBN" : "0021-9304", "ISSN" : "00219304", "PMID" : "12833428", "abstract" : "Cyclic mechanical strain has been demonstrated to enhance the development and function of engineered smooth muscle (SM) tissues, and it would be necessary for the development of the elastic scaffolds if one wishes to engineer SM tissues under cyclic mechanical loading. This study reports on the development of an elastic scaffold fabricated from a biodegradable polymer. Biodegradable poly(glycolide-co-caprolactone) (PGCL) copolymer was synthesized from glycolide and \u03b5-caprolactone in the presence of stannous octoate as catalyst. The copolymer was characterized by 1H-NMR, gel permeation chromatography and differential scanning calorimetry. Scaffolds for tissue engineering applications were fabricated from PGCL copolymer using the solvent-casting and particle-leaching technique. The PGCL scaffolds produced in this fashion had open pore structures (average pore size = 250 \u03bcm) without the usual nonporous skin layer on external surfaces. Mechanical testing revealed that PGCL scaffolds were far more elastic than poly(lactic-co-glycolic acid) (PLGA) scaffolds fabricated using the same method. Tensile mechanical tests indicated that PGCL scaffolds could withstand an extension of 250% without cracking, which was much higher than withstood by PLGA scaffolds (10-15%). In addition, PGCL scaffolds achieved recoveries exceeding 96% at applied extensions of up to 230%, whereas PLGA scaffolds failed (cracked) at an applied strain of 20%. Dynamic mechanical tests showed that the permanent deformation of the PGCL scaffolds in a dry condition produced was less than 4% of the applied strain, when an elongation of 20% at a frequency of 1 Hz (1 cycle per second) was applied for 6 days. Moreover, PGCL scaffolds in a buffer solution also had permanent deformations less than 5% of the applied strain when an elongation of 10% at a frequency of 1 Hz was applied for 2 days. The usefulness of the PGCL scaffolds was demonstrated by engineering SM tissues in vivo. This study shows that the elastic PGCL scaffolds produced in this study could be used to engineer SM-containing tissues (e.g. blood vessels and bladders) in mechanically dynamic environments. \u00a9 2003 Wiley Periodicals, Inc.", "author" : [ { "dropping-particle" : "", "family" : "Lee", "given" : "Soo Hong", "non-dropping-particle" : "", "parse-names" : false, "suffix" : "" }, { "dropping-particle" : "", "family" : "Kim", "given" : "Byung Soo", "non-dropping-particle" : "", "parse-names" : false, "suffix" : "" }, { "dropping-particle" : "", "family" : "Kim", "given" : "Soo Hyun", "non-dropping-particle" : "", "parse-names" : false, "suffix" : "" }, { "dropping-particle" : "", "family" : "Choi", "given" : "Sung Won", "non-dropping-particle" : "", "parse-names" : false, "suffix" : "" }, { "dropping-particle" : "", "family" : "Jeong", "given" : "Sung In", "non-dropping-particle" : "", "parse-names" : false, "suffix" : "" }, { "dropping-particle" : "", "family" : "Kwon", "given" : "Il Keun", "non-dropping-particle" : "", "parse-names" : false, "suffix" : "" }, { "dropping-particle" : "", "family" : "Kang", "given" : "Sun Woong", "non-dropping-particle" : "", "parse-names" : false, "suffix" : "" }, { "dropping-particle" : "", "family" : "Nikolovski", "given" : "Janeta", "non-dropping-particle" : "", "parse-names" : false, "suffix" : "" }, { "dropping-particle" : "", "family" : "Mooney", "given" : "David J", "non-dropping-particle" : "", "parse-names" : false, "suffix" : "" }, { "dropping-particle" : "", "family" : "Han", "given" : "Yang Kyoo", "non-dropping-particle" : "", "parse-names" : false, "suffix" : "" }, { "dropping-particle" : "", "family" : "Kim", "given" : "Young Ha", "non-dropping-particle" : "", "parse-names" : false, "suffix" : "" } ], "container-title" : "Journal of Biomedical Materials Research - Part A", "id" : "ITEM-1", "issue" : "1", "issued" : { "date-parts" : [ [ "2003" ] ] }, "page" : "29-37", "title" : "Elastic biodegradable poly(glycolide-co-caprolactone) scaffold for tissue engineering", "type" : "article-journal", "volume" : "66" }, "uris" : [ "http://www.mendeley.com/documents/?uuid=3bf004cd-982a-4e35-915d-eb968854c56c" ] } ], "mendeley" : { "formattedCitation" : "&lt;sup&gt;22&lt;/sup&gt;", "plainTextFormattedCitation" : "22", "previouslyFormattedCitation" : "&lt;sup&gt;22&lt;/sup&gt;"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22</w:t>
      </w:r>
      <w:r w:rsidRPr="00610A40">
        <w:rPr>
          <w:color w:val="auto"/>
          <w:szCs w:val="24"/>
        </w:rPr>
        <w:fldChar w:fldCharType="end"/>
      </w:r>
      <w:r w:rsidRPr="00610A40">
        <w:rPr>
          <w:color w:val="auto"/>
          <w:szCs w:val="24"/>
        </w:rPr>
        <w:t xml:space="preserve">. PGCL scaffolds are not only more elastic than PLGA scaffolds, but can </w:t>
      </w:r>
      <w:r w:rsidR="00C95BA5" w:rsidRPr="00610A40">
        <w:rPr>
          <w:color w:val="auto"/>
          <w:szCs w:val="24"/>
        </w:rPr>
        <w:t xml:space="preserve">also </w:t>
      </w:r>
      <w:r w:rsidRPr="00610A40">
        <w:rPr>
          <w:color w:val="auto"/>
          <w:szCs w:val="24"/>
        </w:rPr>
        <w:t xml:space="preserve">withstand </w:t>
      </w:r>
      <w:r w:rsidR="00C95BA5" w:rsidRPr="00610A40">
        <w:rPr>
          <w:color w:val="auto"/>
          <w:szCs w:val="24"/>
        </w:rPr>
        <w:t xml:space="preserve">a </w:t>
      </w:r>
      <w:r w:rsidRPr="00610A40">
        <w:rPr>
          <w:color w:val="auto"/>
          <w:szCs w:val="24"/>
        </w:rPr>
        <w:t>much greater elongation without cracking. While PLGA showed a recovery rate of 85% under low strains at 3%, PGCL scaffolds showed a recovery of 98% even at strains up to 120%. Elastomers containing PLA, PCL and PGA have also been well exploited. Different approaches have been utilized to prepare PLA/PCL/PGA based elastomeric materials with desirable mechanical properties. PLGA can be first synthesized and copolymerized with PCL through self-</w:t>
      </w:r>
      <w:proofErr w:type="spellStart"/>
      <w:r w:rsidRPr="00610A40">
        <w:rPr>
          <w:color w:val="auto"/>
          <w:szCs w:val="24"/>
        </w:rPr>
        <w:t>polycondensation</w:t>
      </w:r>
      <w:proofErr w:type="spellEnd"/>
      <w:r w:rsidRPr="00610A40">
        <w:rPr>
          <w:color w:val="auto"/>
          <w:szCs w:val="24"/>
        </w:rPr>
        <w:t xml:space="preserve">. For this PLGA/PCL copolymer, the </w:t>
      </w:r>
      <w:proofErr w:type="spellStart"/>
      <w:r w:rsidRPr="00610A40">
        <w:rPr>
          <w:color w:val="auto"/>
          <w:szCs w:val="24"/>
        </w:rPr>
        <w:t>glycolide</w:t>
      </w:r>
      <w:proofErr w:type="spellEnd"/>
      <w:r w:rsidRPr="00610A40">
        <w:rPr>
          <w:color w:val="auto"/>
          <w:szCs w:val="24"/>
        </w:rPr>
        <w:t xml:space="preserve"> segments could impede PLA </w:t>
      </w:r>
      <w:proofErr w:type="spellStart"/>
      <w:r w:rsidRPr="00610A40">
        <w:rPr>
          <w:color w:val="auto"/>
          <w:szCs w:val="24"/>
        </w:rPr>
        <w:t>crystallinity</w:t>
      </w:r>
      <w:proofErr w:type="spellEnd"/>
      <w:r w:rsidRPr="00610A40">
        <w:rPr>
          <w:color w:val="auto"/>
          <w:szCs w:val="24"/>
        </w:rPr>
        <w:t xml:space="preserve"> and improve the tensile strength of the elastomer up to 19.6 </w:t>
      </w:r>
      <w:proofErr w:type="spellStart"/>
      <w:r w:rsidRPr="00610A40">
        <w:rPr>
          <w:color w:val="auto"/>
          <w:szCs w:val="24"/>
        </w:rPr>
        <w:t>MPa</w:t>
      </w:r>
      <w:proofErr w:type="spellEnd"/>
      <w:r w:rsidRPr="00610A40">
        <w:rPr>
          <w:color w:val="auto"/>
          <w:szCs w:val="24"/>
        </w:rPr>
        <w:t xml:space="preserve"> with an elongation at break of approximately 500%</w:t>
      </w:r>
      <w:r w:rsidRPr="00610A40">
        <w:rPr>
          <w:color w:val="auto"/>
          <w:szCs w:val="24"/>
        </w:rPr>
        <w:fldChar w:fldCharType="begin" w:fldLock="1"/>
      </w:r>
      <w:r w:rsidR="00565E2A" w:rsidRPr="00610A40">
        <w:rPr>
          <w:color w:val="auto"/>
          <w:szCs w:val="24"/>
        </w:rPr>
        <w:instrText>ADDIN CSL_CITATION { "citationItems" : [ { "id" : "ITEM-1", "itemData" : { "DOI" : "10.1038/pj.2016.126", "ISBN" : "0032-3896", "author" : [ { "dropping-particle" : "", "family" : "Jikei", "given" : "Mitsutoshi", "non-dropping-particle" : "", "parse-names" : false, "suffix" : "" }, { "dropping-particle" : "", "family" : "Suga", "given" : "Takahiro", "non-dropping-particle" : "", "parse-names" : false, "suffix" : "" }, { "dropping-particle" : "", "family" : "Yamadoi", "given" : "Yuta", "non-dropping-particle" : "", "parse-names" : false, "suffix" : "" }, { "dropping-particle" : "", "family" : "Matsumoto", "given" : "Kazuya", "non-dropping-particle" : "", "parse-names" : false, "suffix" : "" } ], "container-title" : "Polymer Journal", "id" : "ITEM-1", "issue" : "4", "issued" : { "date-parts" : [ [ "2017" ] ] }, "page" : "369", "publisher" : "Nature Publishing Group", "publisher-place" : "Tokyo", "title" : "Synthesis and properties of poly(L-lactide-co-glycolide)-b-Poly([epsilon]-caprolactone) multiblock copolymers formed by self-polycondensation of diblock macromonomers", "type" : "article-journal", "volume" : "49" }, "uris" : [ "http://www.mendeley.com/documents/?uuid=f2da2fee-1178-4528-b56a-2084ec73f0e9", "http://www.mendeley.com/documents/?uuid=d5d110b1-20cb-4cc8-9059-96d7f272eb1f" ] } ], "mendeley" : { "formattedCitation" : "&lt;sup&gt;23&lt;/sup&gt;", "plainTextFormattedCitation" : "23", "previouslyFormattedCitation" : "&lt;sup&gt;23&lt;/sup&gt;"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23</w:t>
      </w:r>
      <w:r w:rsidRPr="00610A40">
        <w:rPr>
          <w:color w:val="auto"/>
          <w:szCs w:val="24"/>
        </w:rPr>
        <w:fldChar w:fldCharType="end"/>
      </w:r>
      <w:r w:rsidRPr="00610A40">
        <w:rPr>
          <w:color w:val="auto"/>
          <w:szCs w:val="24"/>
        </w:rPr>
        <w:t>. In another approach, PLGA can be blended with PLC</w:t>
      </w:r>
      <w:r w:rsidR="00BB6F0A" w:rsidRPr="00610A40">
        <w:rPr>
          <w:color w:val="auto"/>
          <w:szCs w:val="24"/>
        </w:rPr>
        <w:t>L</w:t>
      </w:r>
      <w:r w:rsidRPr="00610A40">
        <w:rPr>
          <w:color w:val="auto"/>
          <w:szCs w:val="24"/>
        </w:rPr>
        <w:t>. Such blended elastomers showed a tensile strength of 6.6MPa and elongation at break of 110%. This can be further tuned by varying the parent polymers in the blends</w:t>
      </w:r>
      <w:r w:rsidRPr="00610A40">
        <w:rPr>
          <w:color w:val="auto"/>
          <w:szCs w:val="24"/>
        </w:rPr>
        <w:fldChar w:fldCharType="begin" w:fldLock="1"/>
      </w:r>
      <w:r w:rsidR="00565E2A" w:rsidRPr="00610A40">
        <w:rPr>
          <w:color w:val="auto"/>
          <w:szCs w:val="24"/>
        </w:rPr>
        <w:instrText>ADDIN CSL_CITATION { "citationItems" : [ { "id" : "ITEM-1", "itemData" : { "DOI" : "10.1007/s10965-009-9292-9", "ISBN" : "1022-9760", "author" : [ { "dropping-particle" : "", "family" : "Wang", "given" : "Liansong", "non-dropping-particle" : "", "parse-names" : false, "suffix" : "" }, { "dropping-particle" : "", "family" : "Zhang", "given" : "Zhiping", "non-dropping-particle" : "", "parse-names" : false, "suffix" : "" }, { "dropping-particle" : "", "family" : "Chen", "given" : "Hechun", "non-dropping-particle" : "", "parse-names" : false, "suffix" : "" }, { "dropping-particle" : "", "family" : "Zhang", "given" : "Shenglan", "non-dropping-particle" : "", "parse-names" : false, "suffix" : "" }, { "dropping-particle" : "", "family" : "Xiong", "given" : "Chengdong", "non-dropping-particle" : "", "parse-names" : false, "suffix" : "" } ], "container-title" : "Journal of Polymer Research", "id" : "ITEM-1", "issue" : "1", "issued" : { "date-parts" : [ [ "2010" ] ] }, "page" : "77-82", "publisher" : "Springer Netherlands", "publisher-place" : "Dordrecht", "title" : "Preparation and characterization of biodegradable thermoplastic Elastomers (PLCA/PLGA blends)", "type" : "article-journal", "volume" : "17" }, "uris" : [ "http://www.mendeley.com/documents/?uuid=c4466713-339c-4466-9455-2c8f77bf5f87", "http://www.mendeley.com/documents/?uuid=f980475b-fb99-42f2-a0e6-d28a2bd3ce8e" ] } ], "mendeley" : { "formattedCitation" : "&lt;sup&gt;24&lt;/sup&gt;", "plainTextFormattedCitation" : "24", "previouslyFormattedCitation" : "&lt;sup&gt;24&lt;/sup&gt;"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24</w:t>
      </w:r>
      <w:r w:rsidRPr="00610A40">
        <w:rPr>
          <w:color w:val="auto"/>
          <w:szCs w:val="24"/>
        </w:rPr>
        <w:fldChar w:fldCharType="end"/>
      </w:r>
      <w:r w:rsidRPr="00610A40">
        <w:rPr>
          <w:color w:val="auto"/>
          <w:szCs w:val="24"/>
        </w:rPr>
        <w:t xml:space="preserve">. </w:t>
      </w:r>
    </w:p>
    <w:p w14:paraId="70451C37" w14:textId="77777777" w:rsidR="00C95BA5" w:rsidRPr="00610A40" w:rsidRDefault="00C95BA5" w:rsidP="00C95BA5">
      <w:pPr>
        <w:keepNext/>
      </w:pPr>
      <w:r w:rsidRPr="00610A40">
        <w:rPr>
          <w:noProof/>
          <w:color w:val="auto"/>
          <w:szCs w:val="24"/>
        </w:rPr>
        <w:lastRenderedPageBreak/>
        <w:drawing>
          <wp:inline distT="0" distB="0" distL="0" distR="0" wp14:anchorId="25C6A33D" wp14:editId="5071233E">
            <wp:extent cx="5943600" cy="6924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ynthesis scheme for polyester elastomers.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924675"/>
                    </a:xfrm>
                    <a:prstGeom prst="rect">
                      <a:avLst/>
                    </a:prstGeom>
                  </pic:spPr>
                </pic:pic>
              </a:graphicData>
            </a:graphic>
          </wp:inline>
        </w:drawing>
      </w:r>
    </w:p>
    <w:p w14:paraId="26585521" w14:textId="2D0B0E76" w:rsidR="00C95BA5" w:rsidRPr="00610A40" w:rsidRDefault="00C95BA5" w:rsidP="00C95BA5">
      <w:pPr>
        <w:pStyle w:val="Caption"/>
        <w:rPr>
          <w:b w:val="0"/>
          <w:bCs w:val="0"/>
          <w:szCs w:val="24"/>
        </w:rPr>
        <w:sectPr w:rsidR="00C95BA5" w:rsidRPr="00610A40" w:rsidSect="002A065D">
          <w:footerReference w:type="default" r:id="rId10"/>
          <w:pgSz w:w="12240" w:h="15840"/>
          <w:pgMar w:top="1440" w:right="1440" w:bottom="1440" w:left="1440" w:header="720" w:footer="720" w:gutter="0"/>
          <w:cols w:space="720"/>
          <w:docGrid w:linePitch="360"/>
        </w:sectPr>
      </w:pPr>
      <w:bookmarkStart w:id="0" w:name="_Ref506240422"/>
      <w:r w:rsidRPr="00610A40">
        <w:t xml:space="preserve">Figure </w:t>
      </w:r>
      <w:r w:rsidR="00C327A2" w:rsidRPr="00610A40">
        <w:fldChar w:fldCharType="begin"/>
      </w:r>
      <w:r w:rsidR="00C327A2" w:rsidRPr="00610A40">
        <w:instrText xml:space="preserve"> SEQ Figure \* ARABIC </w:instrText>
      </w:r>
      <w:r w:rsidR="00C327A2" w:rsidRPr="00610A40">
        <w:fldChar w:fldCharType="separate"/>
      </w:r>
      <w:r w:rsidR="002B2E41" w:rsidRPr="00610A40">
        <w:rPr>
          <w:noProof/>
        </w:rPr>
        <w:t>1</w:t>
      </w:r>
      <w:r w:rsidR="00C327A2" w:rsidRPr="00610A40">
        <w:rPr>
          <w:noProof/>
        </w:rPr>
        <w:fldChar w:fldCharType="end"/>
      </w:r>
      <w:bookmarkEnd w:id="0"/>
      <w:r w:rsidRPr="00610A40">
        <w:t xml:space="preserve">  Synthetic route of most representative polyester elastomers.</w:t>
      </w:r>
    </w:p>
    <w:p w14:paraId="2AC0B6AB" w14:textId="77777777" w:rsidR="00CA2966" w:rsidRPr="00610A40" w:rsidRDefault="00CA2966" w:rsidP="00CA2966">
      <w:pPr>
        <w:rPr>
          <w:rFonts w:ascii="Arial" w:hAnsi="Arial"/>
          <w:color w:val="auto"/>
          <w:szCs w:val="24"/>
        </w:rPr>
      </w:pPr>
    </w:p>
    <w:p w14:paraId="3E2C7FAF" w14:textId="06F527F3" w:rsidR="00CA2966" w:rsidRPr="00610A40" w:rsidRDefault="00CA2966" w:rsidP="00CA2966">
      <w:pPr>
        <w:pStyle w:val="Heading2"/>
        <w:rPr>
          <w:sz w:val="24"/>
          <w:szCs w:val="24"/>
        </w:rPr>
      </w:pPr>
      <w:r w:rsidRPr="00610A40">
        <w:rPr>
          <w:sz w:val="24"/>
          <w:szCs w:val="24"/>
        </w:rPr>
        <w:t xml:space="preserve">2.2 </w:t>
      </w:r>
      <w:proofErr w:type="spellStart"/>
      <w:r w:rsidRPr="00610A40">
        <w:rPr>
          <w:sz w:val="24"/>
          <w:szCs w:val="24"/>
        </w:rPr>
        <w:t>Polyhydroxyalkanoates</w:t>
      </w:r>
      <w:proofErr w:type="spellEnd"/>
      <w:r w:rsidRPr="00610A40">
        <w:rPr>
          <w:sz w:val="24"/>
          <w:szCs w:val="24"/>
        </w:rPr>
        <w:t xml:space="preserve"> (PHAs)-Based Elastomers</w:t>
      </w:r>
    </w:p>
    <w:p w14:paraId="4C2B33F1" w14:textId="45A0C924" w:rsidR="00CA2966" w:rsidRPr="00610A40" w:rsidRDefault="00CA2966" w:rsidP="00CA2966">
      <w:pPr>
        <w:rPr>
          <w:color w:val="auto"/>
          <w:szCs w:val="24"/>
        </w:rPr>
      </w:pPr>
      <w:proofErr w:type="spellStart"/>
      <w:r w:rsidRPr="00610A40">
        <w:rPr>
          <w:color w:val="auto"/>
          <w:szCs w:val="24"/>
        </w:rPr>
        <w:t>Polyhydroxyalkanoates</w:t>
      </w:r>
      <w:proofErr w:type="spellEnd"/>
      <w:r w:rsidRPr="00610A40">
        <w:rPr>
          <w:color w:val="auto"/>
          <w:szCs w:val="24"/>
        </w:rPr>
        <w:t xml:space="preserve"> (PHAs) form a versatile family of polyesters with a wide range of mechanical properties</w:t>
      </w:r>
      <w:r w:rsidRPr="00610A40">
        <w:rPr>
          <w:color w:val="auto"/>
          <w:szCs w:val="24"/>
        </w:rPr>
        <w:fldChar w:fldCharType="begin" w:fldLock="1"/>
      </w:r>
      <w:r w:rsidR="00565E2A" w:rsidRPr="00610A40">
        <w:rPr>
          <w:color w:val="auto"/>
          <w:szCs w:val="24"/>
        </w:rPr>
        <w:instrText>ADDIN CSL_CITATION { "citationItems" : [ { "id" : "ITEM-1", "itemData" : { "ISBN" : "1097-0126", "author" : [ { "dropping-particle" : "", "family" : "Wu", "given" : "Linping", "non-dropping-particle" : "", "parse-names" : false, "suffix" : "" }, { "dropping-particle" : "", "family" : "Chen", "given" : "Shaoting", "non-dropping-particle" : "", "parse-names" : false, "suffix" : "" }, { "dropping-particle" : "", "family" : "Li", "given" : "Zibiao", "non-dropping-particle" : "", "parse-names" : false, "suffix" : "" }, { "dropping-particle" : "", "family" : "Xu", "given" : "Kaitian", "non-dropping-particle" : "", "parse-names" : false, "suffix" : "" }, { "dropping-particle" : "", "family" : "Chen", "given" : "Guo-Qiang", "non-dropping-particle" : "", "parse-names" : false, "suffix" : "" } ], "container-title" : "Polymer International", "id" : "ITEM-1", "issue" : "7", "issued" : { "date-parts" : [ [ "2008" ] ] }, "page" : "939-949", "title" : "Synthesis, characterization and biocompatibility of novel biodegradable poly[((R)-3-hydroxybutyrate)-block-(D,L-lactide)-block-(\u03b5-caprolactone)] triblock copolymers", "type" : "article-journal", "volume" : "57" }, "uris" : [ "http://www.mendeley.com/documents/?uuid=1f7a2820-50ac-43ca-9d63-6fcb624b4df2", "http://www.mendeley.com/documents/?uuid=450863b7-e302-4ee1-9a61-5f9f33d343c1" ] }, { "id" : "ITEM-2", "itemData" : { "DOI" : "10.1163/092050609x12457419007621", "ISBN" : "0920-5063", "author" : [ { "dropping-particle" : "", "family" : "Chen", "given" : "Z F", "non-dropping-particle" : "", "parse-names" : false, "suffix" : "" }, { "dropping-particle" : "", "family" : "Cheng", "given" : "S T", "non-dropping-particle" : "", "parse-names" : false, "suffix" : "" }, { "dropping-particle" : "", "family" : "Li", "given" : "Z", "non-dropping-particle" : "", "parse-names" : false, "suffix" : "" }, { "dropping-particle" : "", "family" : "Xu", "given" : "K T", "non-dropping-particle" : "", "parse-names" : false, "suffix" : "" }, { "dropping-particle" : "", "family" : "Chen", "given" : "G Q", "non-dropping-particle" : "", "parse-names" : false, "suffix" : "" } ], "container-title" : "Journal of Biomaterials Science, Polymer Edition", "id" : "ITEM-2", "issue" : "10", "issued" : { "date-parts" : [ [ "2009" ] ] }, "language" : "English", "page" : "1451-1471", "title" : "Synthesis, Characterization and Cell Compatibility of Novel Poly(ester urethane)s Based on Poly(3-hydroxybutyrate-co-4-hydroxybutyrate) and Poly(3-hydroxybutyrate-co-3-hydroxyhexanoate) Prepared by Melting Polymerization", "type" : "article-journal", "volume" : "20" }, "uris" : [ "http://www.mendeley.com/documents/?uuid=3423e9dc-56f0-4bc1-84fc-6336d2312219", "http://www.mendeley.com/documents/?uuid=81aefaac-9f8c-4e7d-bd1c-dc8baca82735" ] }, { "id" : "ITEM-3", "itemData" : { "DOI" : "10.1002/jbm.a.32180", "ISBN" : "1552-4965", "author" : [ { "dropping-particle" : "", "family" : "Liu", "given" : "Qiaoyan", "non-dropping-particle" : "", "parse-names" : false, "suffix" : "" }, { "dropping-particle" : "", "family" : "Cheng", "given" : "Shaoting", "non-dropping-particle" : "", "parse-names" : false, "suffix" : "" }, { "dropping-particle" : "", "family" : "Li", "given" : "Zibiao", "non-dropping-particle" : "", "parse-names" : false, "suffix" : "" }, { "dropping-particle" : "", "family" : "Xu", "given" : "Kaitian", "non-dropping-particle" : "", "parse-names" : false, "suffix" : "" }, { "dropping-particle" : "", "family" : "Chen", "given" : "Guo-Qiang", "non-dropping-particle" : "", "parse-names" : false, "suffix" : "" } ], "container-title" : "Journal of Biomedical Materials Research Part A", "id" : "ITEM-3", "issue" : "4", "issued" : { "date-parts" : [ [ "2009" ] ] }, "page" : "1162-1176", "publisher" : "Wiley Subscription Services, Inc., A Wiley Company", "title" : "Characterization, biodegradability and blood compatibility of poly[(R)-3-hydroxybutyrate] based poly(ester-urethane)s", "type" : "article-journal", "volume" : "90A" }, "uris" : [ "http://www.mendeley.com/documents/?uuid=d0e0e53c-7c2b-485c-b37f-c586ee14c927", "http://www.mendeley.com/documents/?uuid=3904fed3-e648-4581-b42e-af34668648dd" ] } ], "mendeley" : { "formattedCitation" : "&lt;sup&gt;25\u201327&lt;/sup&gt;", "plainTextFormattedCitation" : "25\u201327", "previouslyFormattedCitation" : "&lt;sup&gt;25\u201327&lt;/sup&gt;"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25–27</w:t>
      </w:r>
      <w:r w:rsidRPr="00610A40">
        <w:rPr>
          <w:color w:val="auto"/>
          <w:szCs w:val="24"/>
        </w:rPr>
        <w:fldChar w:fldCharType="end"/>
      </w:r>
      <w:r w:rsidRPr="00610A40">
        <w:rPr>
          <w:color w:val="auto"/>
          <w:szCs w:val="24"/>
        </w:rPr>
        <w:t>. PHAs are biodegradable, biocompatible and can be produced naturally by microorganisms in nutrient deficient environments (</w:t>
      </w:r>
      <w:r w:rsidR="00C10239" w:rsidRPr="00610A40">
        <w:rPr>
          <w:color w:val="auto"/>
          <w:szCs w:val="24"/>
        </w:rPr>
        <w:fldChar w:fldCharType="begin"/>
      </w:r>
      <w:r w:rsidR="00C10239" w:rsidRPr="00610A40">
        <w:rPr>
          <w:color w:val="auto"/>
          <w:szCs w:val="24"/>
        </w:rPr>
        <w:instrText xml:space="preserve"> REF _Ref506302448 \h </w:instrText>
      </w:r>
      <w:r w:rsidR="00C10239" w:rsidRPr="00610A40">
        <w:rPr>
          <w:color w:val="auto"/>
          <w:szCs w:val="24"/>
        </w:rPr>
      </w:r>
      <w:r w:rsidR="00610A40">
        <w:rPr>
          <w:color w:val="auto"/>
          <w:szCs w:val="24"/>
        </w:rPr>
        <w:instrText xml:space="preserve"> \* MERGEFORMAT </w:instrText>
      </w:r>
      <w:r w:rsidR="00C10239" w:rsidRPr="00610A40">
        <w:rPr>
          <w:color w:val="auto"/>
          <w:szCs w:val="24"/>
        </w:rPr>
        <w:fldChar w:fldCharType="separate"/>
      </w:r>
      <w:r w:rsidR="002B2E41" w:rsidRPr="00610A40">
        <w:rPr>
          <w:szCs w:val="24"/>
        </w:rPr>
        <w:t xml:space="preserve">Figure </w:t>
      </w:r>
      <w:r w:rsidR="002B2E41" w:rsidRPr="00610A40">
        <w:rPr>
          <w:noProof/>
          <w:szCs w:val="24"/>
        </w:rPr>
        <w:t>2</w:t>
      </w:r>
      <w:r w:rsidR="00C10239" w:rsidRPr="00610A40">
        <w:rPr>
          <w:color w:val="auto"/>
          <w:szCs w:val="24"/>
        </w:rPr>
        <w:fldChar w:fldCharType="end"/>
      </w:r>
      <w:r w:rsidRPr="00610A40">
        <w:rPr>
          <w:b/>
          <w:color w:val="auto"/>
          <w:szCs w:val="24"/>
        </w:rPr>
        <w:t>A</w:t>
      </w:r>
      <w:r w:rsidRPr="00610A40">
        <w:rPr>
          <w:color w:val="auto"/>
          <w:szCs w:val="24"/>
        </w:rPr>
        <w:t>)</w:t>
      </w:r>
      <w:r w:rsidRPr="00610A40">
        <w:rPr>
          <w:color w:val="auto"/>
          <w:szCs w:val="24"/>
        </w:rPr>
        <w:fldChar w:fldCharType="begin" w:fldLock="1"/>
      </w:r>
      <w:r w:rsidR="00565E2A" w:rsidRPr="00610A40">
        <w:rPr>
          <w:color w:val="auto"/>
          <w:szCs w:val="24"/>
        </w:rPr>
        <w:instrText>ADDIN CSL_CITATION { "citationItems" : [ { "id" : "ITEM-1", "itemData" : { "DOI" : "10.1007/s13762-012-0070-6", "ISBN" : "1735-1472", "author" : [ { "dropping-particle" : "", "family" : "Sandhya", "given" : "M", "non-dropping-particle" : "", "parse-names" : false, "suffix" : "" }, { "dropping-particle" : "", "family" : "Aravind", "given" : "J", "non-dropping-particle" : "", "parse-names" : false, "suffix" : "" }, { "dropping-particle" : "", "family" : "Kanmani", "given" : "P", "non-dropping-particle" : "", "parse-names" : false, "suffix" : "" } ], "container-title" : "International Journal of Environmental Science and Technology", "id" : "ITEM-1", "issue" : "1", "issued" : { "date-parts" : [ [ "2013" ] ] }, "page" : "47-54", "publisher" : "Springer-Verlag", "publisher-place" : "Berlin/Heidelberg", "title" : "Production of polyhydroxyalkanoates from Ralstonia eutropha using paddy straw as cheap substrate", "type" : "article-journal", "volume" : "10" }, "uris" : [ "http://www.mendeley.com/documents/?uuid=952447fb-0f14-449b-b157-b53c98e00083", "http://www.mendeley.com/documents/?uuid=8a883f6f-612c-47e0-a9bd-6ffb6d51cca1" ] }, { "id" : "ITEM-2", "itemData" : { "DOI" : "10.1163/156856209x452944", "ISBN" : "0920-5063", "author" : [ { "dropping-particle" : "", "family" : "Li", "given" : "Zibiao", "non-dropping-particle" : "", "parse-names" : false, "suffix" : "" }, { "dropping-particle" : "", "family" : "Yang", "given" : "Xiaodi", "non-dropping-particle" : "", "parse-names" : false, "suffix" : "" }, { "dropping-particle" : "", "family" : "Wu", "given" : "Linping", "non-dropping-particle" : "", "parse-names" : false, "suffix" : "" }, { "dropping-particle" : "", "family" : "Chen", "given" : "Zhifei", "non-dropping-particle" : "", "parse-names" : false, "suffix" : "" }, { "dropping-particle" : "", "family" : "Lin", "given" : "Yuting", "non-dropping-particle" : "", "parse-names" : false, "suffix" : "" }, { "dropping-particle" : "", "family" : "Xu", "given" : "Kaitian", "non-dropping-particle" : "", "parse-names" : false, "suffix" : "" }, { "dropping-particle" : "", "family" : "Chen", "given" : "Guo-Qiang", "non-dropping-particle" : "", "parse-names" : false, "suffix" : "" } ], "container-title" : "Journal of Biomaterials Science, Polymer Edition", "id" : "ITEM-2", "issue" : "9", "issued" : { "date-parts" : [ [ "2009" ] ] }, "page" : "1179-1202", "title" : "Synthesis, Characterization and Biocompatibility of Biodegradable Elastomeric Poly(ether-ester urethane)s Based on Poly(3-hydroxybutyrate-co-3-hydroxyhexanoate) and Poly(ethylene glycol) via Melting Polymerization", "type" : "article-journal", "volume" : "20" }, "uris" : [ "http://www.mendeley.com/documents/?uuid=3d11a47e-8f07-4ced-98a6-d3d01525a475", "http://www.mendeley.com/documents/?uuid=9d32ef69-9437-49ed-ad94-559dc5aadb5e" ] }, { "id" : "ITEM-3", "itemData" : { "ISBN" : "1097-0126", "author" : [ { "dropping-particle" : "", "family" : "Li", "given" : "Zibiao", "non-dropping-particle" : "", "parse-names" : false, "suffix" : "" }, { "dropping-particle" : "", "family" : "Cheng", "given" : "Shaoting", "non-dropping-particle" : "", "parse-names" : false, "suffix" : "" }, { "dropping-particle" : "", "family" : "Li", "given" : "Song", "non-dropping-particle" : "", "parse-names" : false, "suffix" : "" }, { "dropping-particle" : "", "family" : "Liu", "given" : "Qiaoyan", "non-dropping-particle" : "", "parse-names" : false, "suffix" : "" }, { "dropping-particle" : "", "family" : "Xu", "given" : "Kaitian", "non-dropping-particle" : "", "parse-names" : false, "suffix" : "" }, { "dropping-particle" : "", "family" : "Chen", "given" : "Guo-Qiang", "non-dropping-particle" : "", "parse-names" : false, "suffix" : "" } ], "container-title" : "Polymer International", "id" : "ITEM-3", "issue" : "6", "issued" : { "date-parts" : [ [ "2008" ] ] }, "page" : "887-894", "title" : "Novel amphiphilic poly(ester-urethane)s based on poly[(R)-3-hydroxyalkanoate]: synthesis, biocompatibility and aggregation in aqueous solution", "type" : "article-journal", "volume" : "57" }, "uris" : [ "http://www.mendeley.com/documents/?uuid=5751eaf7-78c7-49ff-b403-bc747e1a9ccd", "http://www.mendeley.com/documents/?uuid=0a3b2638-0f41-450f-b414-1d54544c8972" ] }, { "id" : "ITEM-4", "itemData" : { "DOI" : "10.1002/wnan.1429", "ISBN" : "1939-0041", "author" : [ { "dropping-particle" : "", "family" : "Li", "given" : "Zibiao", "non-dropping-particle" : "", "parse-names" : false, "suffix" : "" }, { "dropping-particle" : "", "family" : "Loh", "given" : "Xian Jun", "non-dropping-particle" : "", "parse-names" : false, "suffix" : "" } ], "container-title" : "Wiley Interdisciplinary Reviews: Nanomedicine and Nanobiotechnology", "id" : "ITEM-4", "issued" : { "date-parts" : [ [ "2016" ] ] }, "page" : "10.1002/wnan.1429", "publisher" : "John Wiley &amp; Sons, Inc.", "title" : "Recent advances of using polyhydroxyalkanoate-based nanovehicles as therapeutic delivery carriers", "type" : "article-journal" }, "uris" : [ "http://www.mendeley.com/documents/?uuid=28363970-f508-4802-b5aa-e1f243c3d2ff", "http://www.mendeley.com/documents/?uuid=77ab6860-3ea6-4936-9564-61fc0517480a" ] } ], "mendeley" : { "formattedCitation" : "&lt;sup&gt;28\u201331&lt;/sup&gt;", "plainTextFormattedCitation" : "28\u201331", "previouslyFormattedCitation" : "&lt;sup&gt;28\u201331&lt;/sup&gt;"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28–31</w:t>
      </w:r>
      <w:r w:rsidRPr="00610A40">
        <w:rPr>
          <w:color w:val="auto"/>
          <w:szCs w:val="24"/>
        </w:rPr>
        <w:fldChar w:fldCharType="end"/>
      </w:r>
      <w:r w:rsidRPr="00610A40">
        <w:rPr>
          <w:color w:val="auto"/>
          <w:szCs w:val="24"/>
        </w:rPr>
        <w:t>. PHAs can be divided into two groups according to the carbon-chain length of their monomers (</w:t>
      </w:r>
      <w:r w:rsidRPr="00610A40">
        <w:rPr>
          <w:b/>
          <w:color w:val="auto"/>
          <w:szCs w:val="24"/>
        </w:rPr>
        <w:fldChar w:fldCharType="begin"/>
      </w:r>
      <w:r w:rsidRPr="00610A40">
        <w:rPr>
          <w:color w:val="auto"/>
          <w:szCs w:val="24"/>
        </w:rPr>
        <w:instrText xml:space="preserve"> REF _Ref489036207 \h </w:instrText>
      </w:r>
      <w:r w:rsidRPr="00610A40">
        <w:rPr>
          <w:b/>
          <w:color w:val="auto"/>
          <w:szCs w:val="24"/>
        </w:rPr>
        <w:instrText xml:space="preserve"> \* MERGEFORMAT </w:instrText>
      </w:r>
      <w:r w:rsidRPr="00610A40">
        <w:rPr>
          <w:b/>
          <w:color w:val="auto"/>
          <w:szCs w:val="24"/>
        </w:rPr>
      </w:r>
      <w:r w:rsidRPr="00610A40">
        <w:rPr>
          <w:b/>
          <w:color w:val="auto"/>
          <w:szCs w:val="24"/>
        </w:rPr>
        <w:fldChar w:fldCharType="separate"/>
      </w:r>
      <w:r w:rsidR="002B2E41" w:rsidRPr="00610A40">
        <w:rPr>
          <w:bCs/>
          <w:color w:val="auto"/>
          <w:szCs w:val="24"/>
        </w:rPr>
        <w:t xml:space="preserve">Error! Reference source not </w:t>
      </w:r>
      <w:proofErr w:type="spellStart"/>
      <w:r w:rsidR="002B2E41" w:rsidRPr="00610A40">
        <w:rPr>
          <w:bCs/>
          <w:color w:val="auto"/>
          <w:szCs w:val="24"/>
        </w:rPr>
        <w:t>found.</w:t>
      </w:r>
      <w:r w:rsidRPr="00610A40">
        <w:rPr>
          <w:b/>
          <w:color w:val="auto"/>
          <w:szCs w:val="24"/>
        </w:rPr>
        <w:fldChar w:fldCharType="end"/>
      </w:r>
      <w:r w:rsidR="00C10239" w:rsidRPr="00610A40">
        <w:rPr>
          <w:b/>
          <w:color w:val="auto"/>
          <w:szCs w:val="24"/>
        </w:rPr>
        <w:fldChar w:fldCharType="begin"/>
      </w:r>
      <w:r w:rsidR="00C10239" w:rsidRPr="00610A40">
        <w:rPr>
          <w:b/>
          <w:color w:val="auto"/>
          <w:szCs w:val="24"/>
        </w:rPr>
        <w:instrText xml:space="preserve"> REF _Ref506302448 \h </w:instrText>
      </w:r>
      <w:r w:rsidR="00C10239" w:rsidRPr="00610A40">
        <w:rPr>
          <w:b/>
          <w:color w:val="auto"/>
          <w:szCs w:val="24"/>
        </w:rPr>
      </w:r>
      <w:r w:rsidR="00610A40">
        <w:rPr>
          <w:b/>
          <w:color w:val="auto"/>
          <w:szCs w:val="24"/>
        </w:rPr>
        <w:instrText xml:space="preserve"> \* MERGEFORMAT </w:instrText>
      </w:r>
      <w:r w:rsidR="00C10239" w:rsidRPr="00610A40">
        <w:rPr>
          <w:b/>
          <w:color w:val="auto"/>
          <w:szCs w:val="24"/>
        </w:rPr>
        <w:fldChar w:fldCharType="separate"/>
      </w:r>
      <w:r w:rsidR="002B2E41" w:rsidRPr="00610A40">
        <w:rPr>
          <w:szCs w:val="24"/>
        </w:rPr>
        <w:t>Figure</w:t>
      </w:r>
      <w:proofErr w:type="spellEnd"/>
      <w:r w:rsidR="002B2E41" w:rsidRPr="00610A40">
        <w:rPr>
          <w:szCs w:val="24"/>
        </w:rPr>
        <w:t xml:space="preserve"> </w:t>
      </w:r>
      <w:r w:rsidR="002B2E41" w:rsidRPr="00610A40">
        <w:rPr>
          <w:noProof/>
          <w:szCs w:val="24"/>
        </w:rPr>
        <w:t>2</w:t>
      </w:r>
      <w:r w:rsidR="00C10239" w:rsidRPr="00610A40">
        <w:rPr>
          <w:b/>
          <w:color w:val="auto"/>
          <w:szCs w:val="24"/>
        </w:rPr>
        <w:fldChar w:fldCharType="end"/>
      </w:r>
      <w:r w:rsidRPr="00610A40">
        <w:rPr>
          <w:b/>
          <w:color w:val="auto"/>
          <w:szCs w:val="24"/>
        </w:rPr>
        <w:t>B</w:t>
      </w:r>
      <w:r w:rsidRPr="00610A40">
        <w:rPr>
          <w:color w:val="auto"/>
          <w:szCs w:val="24"/>
        </w:rPr>
        <w:t xml:space="preserve">). </w:t>
      </w:r>
    </w:p>
    <w:p w14:paraId="30747673" w14:textId="77777777" w:rsidR="00CA2966" w:rsidRPr="00610A40" w:rsidRDefault="00CA2966" w:rsidP="00CA2966">
      <w:pPr>
        <w:rPr>
          <w:color w:val="auto"/>
          <w:szCs w:val="24"/>
        </w:rPr>
      </w:pPr>
    </w:p>
    <w:p w14:paraId="7EF0E1B4" w14:textId="4444D466" w:rsidR="00CA2966" w:rsidRPr="00610A40" w:rsidRDefault="00CA2966" w:rsidP="00CA2966">
      <w:pPr>
        <w:rPr>
          <w:color w:val="auto"/>
          <w:szCs w:val="24"/>
        </w:rPr>
      </w:pPr>
      <w:r w:rsidRPr="00610A40">
        <w:rPr>
          <w:color w:val="auto"/>
          <w:szCs w:val="24"/>
        </w:rPr>
        <w:t xml:space="preserve">Slow degradation, high hydrophobicity and </w:t>
      </w:r>
      <w:proofErr w:type="spellStart"/>
      <w:r w:rsidRPr="00610A40">
        <w:rPr>
          <w:color w:val="auto"/>
          <w:szCs w:val="24"/>
        </w:rPr>
        <w:t>crystallinity</w:t>
      </w:r>
      <w:proofErr w:type="spellEnd"/>
      <w:r w:rsidRPr="00610A40">
        <w:rPr>
          <w:color w:val="auto"/>
          <w:szCs w:val="24"/>
        </w:rPr>
        <w:t>, poor drug loading, and costly production of natural PHAs can greatly limit their application. Hence, PHA is currently used for research and development purposes only</w:t>
      </w:r>
      <w:r w:rsidRPr="00610A40">
        <w:rPr>
          <w:color w:val="auto"/>
          <w:szCs w:val="24"/>
        </w:rPr>
        <w:fldChar w:fldCharType="begin" w:fldLock="1"/>
      </w:r>
      <w:r w:rsidR="00565E2A" w:rsidRPr="00610A40">
        <w:rPr>
          <w:color w:val="auto"/>
          <w:szCs w:val="24"/>
        </w:rPr>
        <w:instrText>ADDIN CSL_CITATION { "citationItems" : [ { "id" : "ITEM-1", "itemData" : { "DOI" : "10.1016/j.progpolymsci.2012.05.003", "ISSN" : "00796700",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"Progress in Polymer Science", "id" : "ITEM-1", "issue" : "3-4", "issued" : { "date-parts" : [ [ "2013" ] ] }, "page" : "584-671", "publisher" : "Elsevier Ltd", "title" : "Elastomeric Biomaterials for Tissue Engineering", "type" : "article-journal", "volume" : "38" }, "uris" : [ "http://www.mendeley.com/documents/?uuid=2652891f-87cb-422a-92c4-f901ca24dc96" ] } ], "mendeley" : { "formattedCitation" : "&lt;sup&gt;1&lt;/sup&gt;", "plainTextFormattedCitation" : "1", "previouslyFormattedCitation" : "&lt;sup&gt;1&lt;/sup&gt;" }, "properties" : { "noteIndex" : 0 }, "schema" : "https://github.com/citation-style-language/schema/raw/master/csl-citation.json" }</w:instrText>
      </w:r>
      <w:r w:rsidRPr="00610A40">
        <w:rPr>
          <w:color w:val="auto"/>
          <w:szCs w:val="24"/>
        </w:rPr>
        <w:fldChar w:fldCharType="separate"/>
      </w:r>
      <w:r w:rsidRPr="00610A40">
        <w:rPr>
          <w:noProof/>
          <w:color w:val="auto"/>
          <w:szCs w:val="24"/>
          <w:vertAlign w:val="superscript"/>
        </w:rPr>
        <w:t>1</w:t>
      </w:r>
      <w:r w:rsidRPr="00610A40">
        <w:rPr>
          <w:color w:val="auto"/>
          <w:szCs w:val="24"/>
        </w:rPr>
        <w:fldChar w:fldCharType="end"/>
      </w:r>
      <w:r w:rsidRPr="00610A40">
        <w:rPr>
          <w:color w:val="auto"/>
          <w:szCs w:val="24"/>
        </w:rPr>
        <w:t xml:space="preserve">. With genetic engineering, new bacteria can make a huge array of modified-PHA, but batch-to-batch variations in polymer structure and composition means that large scale production is not practical. Synthetic modifications of natural PHA via surface or chemical modifications or polymer conjugation can overcome these challenges. For example, water soluble PHA can be achieved by functionalizing the unsaturated side chains to </w:t>
      </w:r>
      <w:proofErr w:type="spellStart"/>
      <w:r w:rsidRPr="00610A40">
        <w:rPr>
          <w:color w:val="auto"/>
          <w:szCs w:val="24"/>
        </w:rPr>
        <w:t>dihydroxyl</w:t>
      </w:r>
      <w:proofErr w:type="spellEnd"/>
      <w:r w:rsidRPr="00610A40">
        <w:rPr>
          <w:color w:val="auto"/>
          <w:szCs w:val="24"/>
        </w:rPr>
        <w:t>, hydroxyl and carboxylic acid groups</w:t>
      </w:r>
      <w:r w:rsidRPr="00610A40">
        <w:rPr>
          <w:color w:val="auto"/>
          <w:szCs w:val="24"/>
        </w:rPr>
        <w:fldChar w:fldCharType="begin" w:fldLock="1"/>
      </w:r>
      <w:r w:rsidR="00565E2A" w:rsidRPr="00610A40">
        <w:rPr>
          <w:color w:val="auto"/>
          <w:szCs w:val="24"/>
        </w:rPr>
        <w:instrText>ADDIN CSL_CITATION { "citationItems" : [ { "id" : "ITEM-1", "itemData" : { "DOI" : "10.1039/c5cs00089k", "ISSN" : "1460-4744", "PMID" : "25788317", "abstract" : "Polyhydroxyalkanoates (PHAs) are excellent candidate biomaterials due to their exceptional biodegradability and biocompatibility. However, PHAs need to have tunable hydrophilicity, chemical functionalities, and appropriate hydrolytic stability to expand their therapeutic applications towards more advanced areas. In this Tutorial Review, we present the most recent progress in the synthetic strategies of PHA-based water soluble polymers, including the functionalisation of PHAs with polar functional groups and the block/graft copolymerization of PHAs with hydrophilic components in various polymeric architectures. These chemically modified water soluble PHAs have significant impact on materials engineering and show great value in the fulfilment of smart biomaterials in emerging areas. The applications of water soluble PHAs in controlled drug release, cancer therapy, DNA/siRNA delivery and tissue engineering in new aspects are discussed. In addition, water soluble PHA monomer production will be briefly introduced, with emphasis on its bio-significance in medical physiology and the therapeutic effect in the treatment of diseases.", "author" : [ { "dropping-particle" : "", "family" : "Li", "given" : "Zibiao", "non-dropping-particle" : "", "parse-names" : false, "suffix" : "" }, { "dropping-particle" : "", "family" : "Loh", "given" : "Xian Jun", "non-dropping-particle" : "", "parse-names" : false, "suffix" : "" } ], "container-title" : "Chemical Society reviews", "id" : "ITEM-1", "issued" : { "date-parts" : [ [ "2015" ] ] }, "page" : "2865-79", "publisher" : "Royal Society of Chemistry", "title" : "Water soluble polyhydroxyalkanoates: future materials for therapeutic applications.", "type" : "article-journal", "volume" : "44" }, "uris" : [ "http://www.mendeley.com/documents/?uuid=2ed62c24-51f6-4efb-830c-3258882d78c0" ] }, { "id" : "ITEM-2", "itemData" : { "DOI" : "10.1007/s00253-006-0732-8", "ISSN" : "1432-0614", "abstract" : "A wide range of diverse polyhydroxyalkanoates, PHAs, is currently available due to the low substrate specificity of PHA synthases and subsequent modifications by chemical reactions. These polymers are promising materials for a number of different applications due to their biocompatibility and biodegradability. This review summarizes the large variability of PHAs regarding chemical structure and material properties that can be currently produced. In the first part, in vivo and in vitro biosynthesis processes for production of a large variety of different PHAs will be summarized with regard to obtaining saturated and unsaturated copolyesters and side chain functionalized polyesters, including brominated, hydroxylated, methyl-branched polyesters, and phenyl derivatives of polyesters. In the second part, established chemical modifications of PHAs will be summarized as that by means of grafting reactions and graft/block copolymerizations, as well as by chlorination, cross-linking, epoxidation, hydroxylation, and carboxylation, reactions yield further functionalized PHAs.", "author" : [ { "dropping-particle" : "", "family" : "Hazer", "given" : "Baki", "non-dropping-particle" : "", "parse-names" : false, "suffix" : "" }, { "dropping-particle" : "", "family" : "Steinb\u00fcchel", "given" : "Alexander", "non-dropping-particle" : "", "parse-names" : false, "suffix" : "" } ], "container-title" : "Applied Microbiology and Biotechnology", "id" : "ITEM-2", "issue" : "1", "issued" : { "date-parts" : [ [ "2006" ] ] }, "page" : "1-12", "title" : "Increased diversification of polyhydroxyalkanoates by modification reactions for industrial and medical applications", "type" : "article-journal", "volume" : "74" }, "uris" : [ "http://www.mendeley.com/documents/?uuid=8d079fcf-9619-41f2-9283-5aba9e2f2474" ] } ], "mendeley" : { "formattedCitation" : "&lt;sup&gt;32,33&lt;/sup&gt;", "plainTextFormattedCitation" : "32,33", "previouslyFormattedCitation" : "&lt;sup&gt;32,33&lt;/sup&gt;"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32,33</w:t>
      </w:r>
      <w:r w:rsidRPr="00610A40">
        <w:rPr>
          <w:color w:val="auto"/>
          <w:szCs w:val="24"/>
        </w:rPr>
        <w:fldChar w:fldCharType="end"/>
      </w:r>
      <w:r w:rsidRPr="00610A40">
        <w:rPr>
          <w:color w:val="auto"/>
          <w:szCs w:val="24"/>
        </w:rPr>
        <w:t>.</w:t>
      </w:r>
    </w:p>
    <w:p w14:paraId="7A0FC4FA" w14:textId="77777777" w:rsidR="00CA2966" w:rsidRPr="00610A40" w:rsidRDefault="00CA2966" w:rsidP="00CA2966">
      <w:pPr>
        <w:rPr>
          <w:color w:val="auto"/>
          <w:szCs w:val="24"/>
        </w:rPr>
      </w:pPr>
    </w:p>
    <w:p w14:paraId="4A049E22" w14:textId="7A2ED5C7" w:rsidR="00CA2966" w:rsidRPr="00610A40" w:rsidRDefault="00CA2966" w:rsidP="00CA2966">
      <w:pPr>
        <w:rPr>
          <w:strike/>
          <w:color w:val="auto"/>
          <w:szCs w:val="24"/>
        </w:rPr>
      </w:pPr>
      <w:r w:rsidRPr="00610A40">
        <w:rPr>
          <w:color w:val="auto"/>
          <w:szCs w:val="24"/>
        </w:rPr>
        <w:t xml:space="preserve">PHAs with 3-5 carbons in one repeating </w:t>
      </w:r>
      <w:proofErr w:type="spellStart"/>
      <w:r w:rsidRPr="00610A40">
        <w:rPr>
          <w:color w:val="auto"/>
          <w:szCs w:val="24"/>
        </w:rPr>
        <w:t>hydroxyalkanoate</w:t>
      </w:r>
      <w:proofErr w:type="spellEnd"/>
      <w:r w:rsidRPr="00610A40">
        <w:rPr>
          <w:color w:val="auto"/>
          <w:szCs w:val="24"/>
        </w:rPr>
        <w:t xml:space="preserve"> unit are classified as short-chain-length </w:t>
      </w:r>
      <w:proofErr w:type="spellStart"/>
      <w:r w:rsidRPr="00610A40">
        <w:rPr>
          <w:color w:val="auto"/>
          <w:szCs w:val="24"/>
        </w:rPr>
        <w:t>polyhydroxyalkanoates</w:t>
      </w:r>
      <w:proofErr w:type="spellEnd"/>
      <w:r w:rsidRPr="00610A40">
        <w:rPr>
          <w:color w:val="auto"/>
          <w:szCs w:val="24"/>
        </w:rPr>
        <w:t xml:space="preserve"> (SCL-PHAs). Typical examples of SCL-PHAs include </w:t>
      </w:r>
      <w:proofErr w:type="gramStart"/>
      <w:r w:rsidRPr="00610A40">
        <w:rPr>
          <w:color w:val="auto"/>
          <w:szCs w:val="24"/>
        </w:rPr>
        <w:t>poly(</w:t>
      </w:r>
      <w:proofErr w:type="gramEnd"/>
      <w:r w:rsidRPr="00610A40">
        <w:rPr>
          <w:color w:val="auto"/>
          <w:szCs w:val="24"/>
        </w:rPr>
        <w:t xml:space="preserve">3-hydroxybutyrate) (PHB), poly(3-hydroxyvalerate) (PHV) and their copolymer poly(3-hydroxybutyrate-co-3-hydroxyvalerate) (PHBV). PHAs with 6 or more carbons in monomeric constituents are classified as medium-chain-length </w:t>
      </w:r>
      <w:proofErr w:type="spellStart"/>
      <w:r w:rsidRPr="00610A40">
        <w:rPr>
          <w:color w:val="auto"/>
          <w:szCs w:val="24"/>
        </w:rPr>
        <w:t>polyhydroxyalkanoates</w:t>
      </w:r>
      <w:proofErr w:type="spellEnd"/>
      <w:r w:rsidRPr="00610A40">
        <w:rPr>
          <w:color w:val="auto"/>
          <w:szCs w:val="24"/>
        </w:rPr>
        <w:t xml:space="preserve">, (MCL-PHAs). Some examples are poly(3-hydroxyoctanoate) (PHO) and poly(3-hydroxynonanoate) (PHN), which are </w:t>
      </w:r>
      <w:r w:rsidRPr="00610A40">
        <w:rPr>
          <w:color w:val="auto"/>
          <w:szCs w:val="24"/>
        </w:rPr>
        <w:lastRenderedPageBreak/>
        <w:t>typically copolymerized with 3-hydroxyhexanoate (</w:t>
      </w:r>
      <w:proofErr w:type="spellStart"/>
      <w:r w:rsidRPr="00610A40">
        <w:rPr>
          <w:color w:val="auto"/>
          <w:szCs w:val="24"/>
        </w:rPr>
        <w:t>HHx</w:t>
      </w:r>
      <w:proofErr w:type="spellEnd"/>
      <w:r w:rsidRPr="00610A40">
        <w:rPr>
          <w:color w:val="auto"/>
          <w:szCs w:val="24"/>
        </w:rPr>
        <w:t>), 3-hydroxyheptanoate (HH) and/or 3-hydroxydecanoate (HD)</w:t>
      </w:r>
      <w:r w:rsidRPr="00610A40">
        <w:rPr>
          <w:color w:val="auto"/>
          <w:szCs w:val="24"/>
        </w:rPr>
        <w:fldChar w:fldCharType="begin" w:fldLock="1"/>
      </w:r>
      <w:r w:rsidR="00565E2A" w:rsidRPr="00610A40">
        <w:rPr>
          <w:color w:val="auto"/>
          <w:szCs w:val="24"/>
        </w:rPr>
        <w:instrText>ADDIN CSL_CITATION { "citationItems" : [ { "id" : "ITEM-1", "itemData" : { "DOI" : "10.1038/am.2016.48", "ISBN" : "1884-4049", "author" : [ { "dropping-particle" : "", "family" : "Li", "given" : "Zibiao", "non-dropping-particle" : "", "parse-names" : false, "suffix" : "" }, { "dropping-particle" : "", "family" : "Yang", "given" : "Jing", "non-dropping-particle" : "", "parse-names" : false, "suffix" : "" }, { "dropping-particle" : "", "family" : "Loh", "given" : "Xian Jun", "non-dropping-particle" : "", "parse-names" : false, "suffix" : "" } ], "container-title" : "NPG Asia Materials", "id" : "ITEM-1", "issued" : { "date-parts" : [ [ "2016" ] ] }, "page" : "e265", "publisher" : "Nature Publishing Group", "publisher-place" : "Tokyo", "title" : "Polyhydroxyalkanoates: opening doors for a sustainable future", "type" : "article-journal", "volume" : "8" }, "uris" : [ "http://www.mendeley.com/documents/?uuid=17df5159-0fc0-4c95-8019-8f3de77bf05c", "http://www.mendeley.com/documents/?uuid=7e5bddb8-36fa-4c84-af80-405b3dac2672" ] } ], "mendeley" : { "formattedCitation" : "&lt;sup&gt;34&lt;/sup&gt;", "plainTextFormattedCitation" : "34", "previouslyFormattedCitation" : "&lt;sup&gt;34&lt;/sup&gt;"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34</w:t>
      </w:r>
      <w:r w:rsidRPr="00610A40">
        <w:rPr>
          <w:color w:val="auto"/>
          <w:szCs w:val="24"/>
        </w:rPr>
        <w:fldChar w:fldCharType="end"/>
      </w:r>
      <w:r w:rsidRPr="00610A40">
        <w:rPr>
          <w:color w:val="auto"/>
          <w:szCs w:val="24"/>
        </w:rPr>
        <w:t xml:space="preserve"> to result in more members of MCL-PHAs. Due to the short carbon chain lengths, SCL-PHAs typically have high </w:t>
      </w:r>
      <w:proofErr w:type="spellStart"/>
      <w:r w:rsidRPr="00610A40">
        <w:rPr>
          <w:color w:val="auto"/>
          <w:szCs w:val="24"/>
        </w:rPr>
        <w:t>crystallinity</w:t>
      </w:r>
      <w:proofErr w:type="spellEnd"/>
      <w:r w:rsidRPr="00610A40">
        <w:rPr>
          <w:color w:val="auto"/>
          <w:szCs w:val="24"/>
        </w:rPr>
        <w:t xml:space="preserve"> and need proper modification before they can be applied as elastomers. On the other hand, elastomeric MCL-PHAs have low degree of </w:t>
      </w:r>
      <w:proofErr w:type="spellStart"/>
      <w:r w:rsidRPr="00610A40">
        <w:rPr>
          <w:color w:val="auto"/>
          <w:szCs w:val="24"/>
        </w:rPr>
        <w:t>crystallinity</w:t>
      </w:r>
      <w:proofErr w:type="spellEnd"/>
      <w:r w:rsidRPr="00610A40">
        <w:rPr>
          <w:color w:val="auto"/>
          <w:szCs w:val="24"/>
        </w:rPr>
        <w:t xml:space="preserve"> and low melting points.</w:t>
      </w:r>
    </w:p>
    <w:p w14:paraId="2E336D2C" w14:textId="77777777" w:rsidR="00CA2966" w:rsidRPr="00610A40" w:rsidRDefault="00CA2966" w:rsidP="00CA2966">
      <w:pPr>
        <w:rPr>
          <w:color w:val="auto"/>
          <w:szCs w:val="24"/>
        </w:rPr>
      </w:pPr>
    </w:p>
    <w:p w14:paraId="05EFFD44" w14:textId="77777777" w:rsidR="00CA2966" w:rsidRPr="00610A40" w:rsidRDefault="00CA2966" w:rsidP="00CA2966">
      <w:pPr>
        <w:keepNext/>
        <w:rPr>
          <w:color w:val="auto"/>
          <w:szCs w:val="24"/>
        </w:rPr>
      </w:pPr>
      <w:r w:rsidRPr="00610A40">
        <w:rPr>
          <w:noProof/>
          <w:color w:val="auto"/>
          <w:szCs w:val="24"/>
        </w:rPr>
        <w:drawing>
          <wp:inline distT="0" distB="0" distL="0" distR="0" wp14:anchorId="4778728B" wp14:editId="6AEF79D2">
            <wp:extent cx="5731510" cy="3679555"/>
            <wp:effectExtent l="0" t="0" r="2540" b="0"/>
            <wp:docPr id="18" name="Picture 18" descr="D:\Dropbox-new\Dropbox\Dropbox\IMRE work\Paper\Reviews\Chem.Soc.Rev\Zhang KY\PHA struct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ropbox-new\Dropbox\Dropbox\IMRE work\Paper\Reviews\Chem.Soc.Rev\Zhang KY\PHA structure-2.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679555"/>
                    </a:xfrm>
                    <a:prstGeom prst="rect">
                      <a:avLst/>
                    </a:prstGeom>
                    <a:noFill/>
                    <a:ln>
                      <a:noFill/>
                    </a:ln>
                  </pic:spPr>
                </pic:pic>
              </a:graphicData>
            </a:graphic>
          </wp:inline>
        </w:drawing>
      </w:r>
    </w:p>
    <w:p w14:paraId="62D3C9BB" w14:textId="2BDE5E46" w:rsidR="00CA2966" w:rsidRPr="00610A40" w:rsidRDefault="00CA2966" w:rsidP="00CA2966">
      <w:pPr>
        <w:pStyle w:val="Caption"/>
        <w:rPr>
          <w:sz w:val="24"/>
          <w:szCs w:val="24"/>
        </w:rPr>
      </w:pPr>
      <w:bookmarkStart w:id="1" w:name="_Ref506302448"/>
      <w:r w:rsidRPr="00610A40">
        <w:rPr>
          <w:sz w:val="24"/>
          <w:szCs w:val="24"/>
        </w:rPr>
        <w:t xml:space="preserve">Figure </w:t>
      </w:r>
      <w:r w:rsidRPr="00610A40">
        <w:rPr>
          <w:sz w:val="24"/>
          <w:szCs w:val="24"/>
        </w:rPr>
        <w:fldChar w:fldCharType="begin"/>
      </w:r>
      <w:r w:rsidRPr="00610A40">
        <w:rPr>
          <w:sz w:val="24"/>
          <w:szCs w:val="24"/>
        </w:rPr>
        <w:instrText xml:space="preserve"> SEQ Figure \* ARABIC </w:instrText>
      </w:r>
      <w:r w:rsidRPr="00610A40">
        <w:rPr>
          <w:sz w:val="24"/>
          <w:szCs w:val="24"/>
        </w:rPr>
        <w:fldChar w:fldCharType="separate"/>
      </w:r>
      <w:r w:rsidR="002B2E41" w:rsidRPr="00610A40">
        <w:rPr>
          <w:noProof/>
          <w:sz w:val="24"/>
          <w:szCs w:val="24"/>
        </w:rPr>
        <w:t>2</w:t>
      </w:r>
      <w:r w:rsidRPr="00610A40">
        <w:rPr>
          <w:noProof/>
          <w:sz w:val="24"/>
          <w:szCs w:val="24"/>
        </w:rPr>
        <w:fldChar w:fldCharType="end"/>
      </w:r>
      <w:bookmarkEnd w:id="1"/>
      <w:r w:rsidRPr="00610A40">
        <w:rPr>
          <w:sz w:val="24"/>
          <w:szCs w:val="24"/>
        </w:rPr>
        <w:t xml:space="preserve"> (A) Biosynthetic route of PHA </w:t>
      </w:r>
      <w:r w:rsidR="00990A40" w:rsidRPr="00610A40">
        <w:rPr>
          <w:sz w:val="24"/>
          <w:szCs w:val="24"/>
        </w:rPr>
        <w:t>catalyzed</w:t>
      </w:r>
      <w:r w:rsidRPr="00610A40">
        <w:rPr>
          <w:sz w:val="24"/>
          <w:szCs w:val="24"/>
        </w:rPr>
        <w:t xml:space="preserve"> by polyester synthases. (B) Some commonly synthesized short-chain-length PHA monomers (SCL-HA) and middle-chain-length PHA monomers (MCL-HA). 3HB: 3-hydroxybutyrate, 3HV: 3-hydroxyvalerate, 3HHx: 3-hydroxyhexanoate, 3HO: 3-hydroxyoctanoate, 3HD: 3-hydroxydecanoate, 3HDD: 3-hydroxydodecanoate</w:t>
      </w:r>
      <w:r w:rsidRPr="00610A40">
        <w:rPr>
          <w:sz w:val="24"/>
          <w:szCs w:val="24"/>
        </w:rPr>
        <w:fldChar w:fldCharType="begin" w:fldLock="1"/>
      </w:r>
      <w:r w:rsidR="00565E2A" w:rsidRPr="00610A40">
        <w:rPr>
          <w:sz w:val="24"/>
          <w:szCs w:val="24"/>
        </w:rPr>
        <w:instrText>ADDIN CSL_CITATION { "citationItems" : [ { "id" : "ITEM-1", "itemData" : { "DOI" : "10.1002/wnan.1429", "ISBN" : "1939-0041", "author" : [ { "dropping-particle" : "", "family" : "Li", "given" : "Zibiao", "non-dropping-particle" : "", "parse-names" : false, "suffix" : "" }, { "dropping-particle" : "", "family" : "Loh", "given" : "Xian Jun", "non-dropping-particle" : "", "parse-names" : false, "suffix" : "" } ], "container-title" : "Wiley Interdisciplinary Reviews: Nanomedicine and Nanobiotechnology", "id" : "ITEM-1", "issued" : { "date-parts" : [ [ "2016" ] ] }, "page" : "10.1002/wnan.1429", "publisher" : "John Wiley &amp; Sons, Inc.", "title" : "Recent advances of using polyhydroxyalkanoate-based nanovehicles as therapeutic delivery carriers", "type" : "article-journal" }, "uris" : [ "http://www.mendeley.com/documents/?uuid=77ab6860-3ea6-4936-9564-61fc0517480a", "http://www.mendeley.com/documents/?uuid=28363970-f508-4802-b5aa-e1f243c3d2ff" ] } ], "mendeley" : { "formattedCitation" : "&lt;sup&gt;31&lt;/sup&gt;", "plainTextFormattedCitation" : "31", "previouslyFormattedCitation" : "&lt;sup&gt;31&lt;/sup&gt;" }, "properties" : { "noteIndex" : 0 }, "schema" : "https://github.com/citation-style-language/schema/raw/master/csl-citation.json" }</w:instrText>
      </w:r>
      <w:r w:rsidRPr="00610A40">
        <w:rPr>
          <w:sz w:val="24"/>
          <w:szCs w:val="24"/>
        </w:rPr>
        <w:fldChar w:fldCharType="separate"/>
      </w:r>
      <w:r w:rsidR="005F04A9" w:rsidRPr="00610A40">
        <w:rPr>
          <w:b w:val="0"/>
          <w:noProof/>
          <w:sz w:val="24"/>
          <w:szCs w:val="24"/>
          <w:vertAlign w:val="superscript"/>
        </w:rPr>
        <w:t>31</w:t>
      </w:r>
      <w:r w:rsidRPr="00610A40">
        <w:rPr>
          <w:sz w:val="24"/>
          <w:szCs w:val="24"/>
        </w:rPr>
        <w:fldChar w:fldCharType="end"/>
      </w:r>
      <w:r w:rsidRPr="00610A40">
        <w:rPr>
          <w:sz w:val="24"/>
          <w:szCs w:val="24"/>
        </w:rPr>
        <w:t>.</w:t>
      </w:r>
      <w:r w:rsidR="00610A40">
        <w:rPr>
          <w:sz w:val="24"/>
          <w:szCs w:val="24"/>
        </w:rPr>
        <w:t xml:space="preserve"> </w:t>
      </w:r>
      <w:r w:rsidR="00610A40" w:rsidRPr="00610A40">
        <w:rPr>
          <w:sz w:val="24"/>
          <w:szCs w:val="24"/>
        </w:rPr>
        <w:t xml:space="preserve">Reproduced from ref. </w:t>
      </w:r>
      <w:r w:rsidR="00610A40">
        <w:rPr>
          <w:sz w:val="24"/>
          <w:szCs w:val="24"/>
        </w:rPr>
        <w:t>31</w:t>
      </w:r>
      <w:r w:rsidR="00610A40" w:rsidRPr="00610A40">
        <w:rPr>
          <w:sz w:val="24"/>
          <w:szCs w:val="24"/>
        </w:rPr>
        <w:t xml:space="preserve"> with permission from the </w:t>
      </w:r>
      <w:r w:rsidR="00610A40">
        <w:rPr>
          <w:sz w:val="24"/>
          <w:szCs w:val="24"/>
        </w:rPr>
        <w:t>Wiley</w:t>
      </w:r>
      <w:r w:rsidR="00610A40" w:rsidRPr="00610A40">
        <w:rPr>
          <w:sz w:val="24"/>
          <w:szCs w:val="24"/>
        </w:rPr>
        <w:t xml:space="preserve">, copyright </w:t>
      </w:r>
      <w:r w:rsidR="00610A40">
        <w:rPr>
          <w:sz w:val="24"/>
          <w:szCs w:val="24"/>
        </w:rPr>
        <w:t>2016</w:t>
      </w:r>
    </w:p>
    <w:p w14:paraId="71EEF554" w14:textId="77777777" w:rsidR="00CA2966" w:rsidRPr="00610A40" w:rsidRDefault="00CA2966" w:rsidP="00CA2966">
      <w:pPr>
        <w:rPr>
          <w:color w:val="auto"/>
          <w:szCs w:val="24"/>
        </w:rPr>
      </w:pPr>
    </w:p>
    <w:p w14:paraId="77469504" w14:textId="2EB15BD2" w:rsidR="00CA2966" w:rsidRPr="00610A40" w:rsidRDefault="00CA2966" w:rsidP="00CA2966">
      <w:pPr>
        <w:rPr>
          <w:color w:val="auto"/>
          <w:szCs w:val="24"/>
        </w:rPr>
      </w:pPr>
      <w:r w:rsidRPr="00610A40">
        <w:rPr>
          <w:color w:val="auto"/>
          <w:szCs w:val="24"/>
        </w:rPr>
        <w:t xml:space="preserve">A commonly used SCL-PHA is </w:t>
      </w:r>
      <w:proofErr w:type="spellStart"/>
      <w:r w:rsidRPr="00610A40">
        <w:rPr>
          <w:color w:val="auto"/>
          <w:szCs w:val="24"/>
        </w:rPr>
        <w:t>polyhydroxybutyrate</w:t>
      </w:r>
      <w:proofErr w:type="spellEnd"/>
      <w:r w:rsidRPr="00610A40">
        <w:rPr>
          <w:color w:val="auto"/>
          <w:szCs w:val="24"/>
        </w:rPr>
        <w:t xml:space="preserve"> (PHB), which is biodegradable. PHB is well known to be biocompatible based on several cell studies by different groups. A large </w:t>
      </w:r>
      <w:r w:rsidRPr="00610A40">
        <w:rPr>
          <w:color w:val="auto"/>
          <w:szCs w:val="24"/>
        </w:rPr>
        <w:lastRenderedPageBreak/>
        <w:t>quantity of PHB is already present in cellular membrane and 3-hydroxybutyric acid (3HB) is a natural metabolite. PHB degrades slowly (12-30 months) and can be utilized for longer term degradable implants. Its degradation product, 3HB, is also less acidic compared to α-</w:t>
      </w:r>
      <w:proofErr w:type="spellStart"/>
      <w:r w:rsidRPr="00610A40">
        <w:rPr>
          <w:color w:val="auto"/>
          <w:szCs w:val="24"/>
        </w:rPr>
        <w:t>hydroxy</w:t>
      </w:r>
      <w:proofErr w:type="spellEnd"/>
      <w:r w:rsidRPr="00610A40">
        <w:rPr>
          <w:color w:val="auto"/>
          <w:szCs w:val="24"/>
        </w:rPr>
        <w:t xml:space="preserve"> acids like glycolic and lactic acids degraded from PLGA. The </w:t>
      </w:r>
      <w:proofErr w:type="spellStart"/>
      <w:r w:rsidRPr="00610A40">
        <w:rPr>
          <w:color w:val="auto"/>
          <w:szCs w:val="24"/>
        </w:rPr>
        <w:t>pKa</w:t>
      </w:r>
      <w:proofErr w:type="spellEnd"/>
      <w:r w:rsidRPr="00610A40">
        <w:rPr>
          <w:color w:val="auto"/>
          <w:szCs w:val="24"/>
        </w:rPr>
        <w:t xml:space="preserve"> of 3HB is 4.41 whereas the </w:t>
      </w:r>
      <w:proofErr w:type="spellStart"/>
      <w:r w:rsidRPr="00610A40">
        <w:rPr>
          <w:color w:val="auto"/>
          <w:szCs w:val="24"/>
        </w:rPr>
        <w:t>pKa</w:t>
      </w:r>
      <w:proofErr w:type="spellEnd"/>
      <w:r w:rsidRPr="00610A40">
        <w:rPr>
          <w:color w:val="auto"/>
          <w:szCs w:val="24"/>
        </w:rPr>
        <w:t xml:space="preserve"> of lactic acid is 3.86 and that of glycolic acid is 3.83. Hydrophilic polymers such as PEG can be included to help accelerate its hydrolytic degradation according to its intended application. However, most SCL-PHAs, including PHB, are too rigid and brittle for biomedical applications due to the high degree of crystallinity</w:t>
      </w:r>
      <w:r w:rsidRPr="00610A40">
        <w:rPr>
          <w:color w:val="auto"/>
          <w:szCs w:val="24"/>
        </w:rPr>
        <w:fldChar w:fldCharType="begin" w:fldLock="1"/>
      </w:r>
      <w:r w:rsidR="00565E2A" w:rsidRPr="00610A40">
        <w:rPr>
          <w:color w:val="auto"/>
          <w:szCs w:val="24"/>
        </w:rPr>
        <w:instrText>ADDIN CSL_CITATION { "citationItems" : [ { "id" : "ITEM-1", "itemData" : { "DOI" : "http://dx.doi.org/10.1016/j.biomaterials.2007.03.003", "ISBN" : "0142-9612", "author" : [ { "dropping-particle" : "", "family" : "Zhao", "given" : "Yan", "non-dropping-particle" : "", "parse-names" : false, "suffix" : "" }, { "dropping-particle" : "", "family" : "Zou", "given" : "Bing", "non-dropping-particle" : "", "parse-names" : false, "suffix" : "" }, { "dropping-particle" : "", "family" : "Shi", "given" : "Zhenyu", "non-dropping-particle" : "", "parse-names" : false, "suffix" : "" }, { "dropping-particle" : "", "family" : "Wu", "given" : "Qiong", "non-dropping-particle" : "", "parse-names" : false, "suffix" : "" }, { "dropping-particle" : "", "family" : "Chen", "given" : "Guo-Qiang", "non-dropping-particle" : "", "parse-names" : false, "suffix" : "" } ], "container-title" : "Biomaterials", "id" : "ITEM-1", "issue" : "20", "issued" : { "date-parts" : [ [ "2007" ] ] }, "page" : "3063-3073", "title" : "The effect of 3-hydroxybutyrate on the in vitro differentiation of murine osteoblast MC3T3-E1 and in vivo bone formation in ovariectomized rats", "type" : "article-journal", "volume" : "28" }, "uris" : [ "http://www.mendeley.com/documents/?uuid=620f7c46-7cfb-4814-86dc-a61da3e7e333", "http://www.mendeley.com/documents/?uuid=005699e6-98f9-4c1a-b34b-5c810ffc90a1" ] } ], "mendeley" : { "formattedCitation" : "&lt;sup&gt;35&lt;/sup&gt;", "plainTextFormattedCitation" : "35", "previouslyFormattedCitation" : "&lt;sup&gt;35&lt;/sup&gt;"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35</w:t>
      </w:r>
      <w:r w:rsidRPr="00610A40">
        <w:rPr>
          <w:color w:val="auto"/>
          <w:szCs w:val="24"/>
        </w:rPr>
        <w:fldChar w:fldCharType="end"/>
      </w:r>
      <w:r w:rsidRPr="00610A40">
        <w:rPr>
          <w:color w:val="auto"/>
          <w:szCs w:val="24"/>
        </w:rPr>
        <w:t xml:space="preserve">. Copolymerization of PHB with PEG eliminated the brittleness of PHB and provided a Young’s modulus of 21 </w:t>
      </w:r>
      <w:proofErr w:type="spellStart"/>
      <w:r w:rsidRPr="00610A40">
        <w:rPr>
          <w:color w:val="auto"/>
          <w:szCs w:val="24"/>
        </w:rPr>
        <w:t>MPa</w:t>
      </w:r>
      <w:proofErr w:type="spellEnd"/>
      <w:r w:rsidRPr="00610A40">
        <w:rPr>
          <w:color w:val="auto"/>
          <w:szCs w:val="24"/>
        </w:rPr>
        <w:t xml:space="preserve">. Furthermore, the strain at break values increased significantly up to 1912%. This </w:t>
      </w:r>
      <w:proofErr w:type="spellStart"/>
      <w:r w:rsidRPr="00610A40">
        <w:rPr>
          <w:color w:val="auto"/>
          <w:szCs w:val="24"/>
        </w:rPr>
        <w:t>tunability</w:t>
      </w:r>
      <w:proofErr w:type="spellEnd"/>
      <w:r w:rsidRPr="00610A40">
        <w:rPr>
          <w:color w:val="auto"/>
          <w:szCs w:val="24"/>
        </w:rPr>
        <w:t xml:space="preserve"> is possible because PHB is hard and hydrophobic while PEG is soft and hydrophilic. By varying the length of the PHB and PEG block, the </w:t>
      </w:r>
      <w:proofErr w:type="spellStart"/>
      <w:r w:rsidRPr="00610A40">
        <w:rPr>
          <w:color w:val="auto"/>
          <w:szCs w:val="24"/>
        </w:rPr>
        <w:t>crystallinity</w:t>
      </w:r>
      <w:proofErr w:type="spellEnd"/>
      <w:r w:rsidRPr="00610A40">
        <w:rPr>
          <w:color w:val="auto"/>
          <w:szCs w:val="24"/>
        </w:rPr>
        <w:t xml:space="preserve"> and water uptake capacity of the copolymer can be changed to suit the application requirements. The biodegradable </w:t>
      </w:r>
      <w:proofErr w:type="spellStart"/>
      <w:r w:rsidRPr="00610A40">
        <w:rPr>
          <w:color w:val="auto"/>
          <w:szCs w:val="24"/>
        </w:rPr>
        <w:t>amphiphilic</w:t>
      </w:r>
      <w:proofErr w:type="spellEnd"/>
      <w:r w:rsidRPr="00610A40">
        <w:rPr>
          <w:color w:val="auto"/>
          <w:szCs w:val="24"/>
        </w:rPr>
        <w:t xml:space="preserve"> PHB-PEG films also demonstrated good cell biocompatibility in cytotoxicity studies</w:t>
      </w:r>
      <w:r w:rsidRPr="00610A40">
        <w:rPr>
          <w:color w:val="auto"/>
          <w:szCs w:val="24"/>
        </w:rPr>
        <w:fldChar w:fldCharType="begin" w:fldLock="1"/>
      </w:r>
      <w:r w:rsidR="00565E2A" w:rsidRPr="00610A40">
        <w:rPr>
          <w:color w:val="auto"/>
          <w:szCs w:val="24"/>
        </w:rPr>
        <w:instrText>ADDIN CSL_CITATION { "citationItems" : [ { "id" : "ITEM-1", "itemData" : { "DOI" : "10.1016/j.msec.2006.05.009", "ISBN" : "0928-4931", "ISSN" : "09284931", "abstract" : "Biodegradable PHB-PEG multi-block polyurethane copolymers comprising PHB blocks (Mn: 1100, 1740 and 3240) and PEG blocks (Mn: 1960, 3250, 4150 or 7950) were synthesized followed by characterization by GPC, 1H NMR, and FT-IR. The PHB contents ranged from 9 to 62% by weight. The copolymers displayed improved thermal stabilities compared with their respective precursors. The morphological structures of the copolymers were studied by FT-IR, DSC and XRD. FT-IR revealed the existence of amorphous and crystalline phases of PHB. Both DSC and XRD analyses showed that separate crystalline phases are formed by PEG and PHB blocks in the copolymers. Upon annealing, the melting transition temperature (Tm), melting enthalpy (??Hm) and the fractional crystallinity (Xc) of the PEG block increased when the length of PEG incorporated into the copolymer increased. These values were higher when the PHB block length is shorter as the shorter PHB chain does not disrupt the crystallization of PEG as much as the longer PHB chain. A similar disruptive effect on the crystallization of PHB segments was observed by varying PEG chain lengths but the effect is less pronounced compared with the PEG segments. A comparison of the swelling properties of the poly(ester urethane)s showed that the length and crystalline properties of the PHB block significantly affects the water uptake properties of the copolymers. The crystalline properties and the water uptake capacities of the copolymers could be fine-tuned by consideration of the length of the PHB and PEG block incorporated. The results of the cytotoxicity tests demonstrated that the poly(PHB/PEG) urethanes were non-cytotoxic and could potentially be used for biomedical purposes. ?? 2006 Elsevier B.V. All rights reserved.", "author" : [ { "dropping-particle" : "", "family" : "Loh", "given" : "Xian Jun", "non-dropping-particle" : "", "parse-names" : false, "suffix" : "" }, { "dropping-particle" : "", "family" : "Wang", "given" : "Xin", "non-dropping-particle" : "", "parse-names" : false, "suffix" : "" }, { "dropping-particle" : "", "family" : "Li", "given" : "Hongzhe", "non-dropping-particle" : "", "parse-names" : false, "suffix" : "" }, { "dropping-particle" : "", "family" : "Li", "given" : "Xu", "non-dropping-particle" : "", "parse-names" : false, "suffix" : "" }, { "dropping-particle" : "", "family" : "Li", "given" : "Jun", "non-dropping-particle" : "", "parse-names" : false, "suffix" : "" } ], "container-title" : "Materials Science and Engineering C", "id" : "ITEM-1", "issue" : "2", "issued" : { "date-parts" : [ [ "2007" ] ] }, "page" : "267-273", "title" : "Compositional study and cytotoxicity of biodegradable poly(ester urethane)s consisting of poly[(R)-3-hydroxybutyrate] and poly(ethylene glycol)", "type" : "article-journal", "volume" : "27" }, "uris" : [ "http://www.mendeley.com/documents/?uuid=ae62df73-82b8-4134-b190-330d413cf257" ] } ], "mendeley" : { "formattedCitation" : "&lt;sup&gt;36&lt;/sup&gt;", "plainTextFormattedCitation" : "36", "previouslyFormattedCitation" : "&lt;sup&gt;36&lt;/sup&gt;"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36</w:t>
      </w:r>
      <w:r w:rsidRPr="00610A40">
        <w:rPr>
          <w:color w:val="auto"/>
          <w:szCs w:val="24"/>
        </w:rPr>
        <w:fldChar w:fldCharType="end"/>
      </w:r>
      <w:r w:rsidRPr="00610A40">
        <w:rPr>
          <w:color w:val="auto"/>
          <w:szCs w:val="24"/>
        </w:rPr>
        <w:t xml:space="preserve">. Xu et al. conjugated P3/4HB with </w:t>
      </w:r>
      <w:r w:rsidR="00990A40" w:rsidRPr="00610A40">
        <w:rPr>
          <w:color w:val="auto"/>
          <w:szCs w:val="24"/>
        </w:rPr>
        <w:t>poly (</w:t>
      </w:r>
      <w:r w:rsidRPr="00610A40">
        <w:rPr>
          <w:color w:val="auto"/>
          <w:szCs w:val="24"/>
        </w:rPr>
        <w:t xml:space="preserve">ethylene glycol) (PEG) to create a myriad of soft elastomers to highly crystalline plastics. This alternating block polyurethane similarly demonstrated excellent </w:t>
      </w:r>
      <w:proofErr w:type="spellStart"/>
      <w:r w:rsidRPr="00610A40">
        <w:rPr>
          <w:color w:val="auto"/>
          <w:szCs w:val="24"/>
        </w:rPr>
        <w:t>hemocompatibility</w:t>
      </w:r>
      <w:proofErr w:type="spellEnd"/>
      <w:r w:rsidRPr="00610A40">
        <w:rPr>
          <w:color w:val="auto"/>
          <w:szCs w:val="24"/>
        </w:rPr>
        <w:t xml:space="preserve"> and good rat aortic smooth muscle cell viability</w:t>
      </w:r>
      <w:r w:rsidRPr="00610A40">
        <w:rPr>
          <w:color w:val="auto"/>
          <w:szCs w:val="24"/>
        </w:rPr>
        <w:fldChar w:fldCharType="begin" w:fldLock="1"/>
      </w:r>
      <w:r w:rsidR="00565E2A" w:rsidRPr="00610A40">
        <w:rPr>
          <w:color w:val="auto"/>
          <w:szCs w:val="24"/>
        </w:rPr>
        <w:instrText>ADDIN CSL_CITATION { "citationItems" : [ { "id" : "ITEM-1", "itemData" : { "DOI" : "http://dx.doi.org/10.1016/j.biomaterials.2009.02.005", "ISSN" : "0142-9612", "abstract" : "A series of amphiphilic alternative block polyurethane copolymers based on poly(3-hydroxybutyrate-co-4-hydroxybutyrate) (P3/4HB) and poly(ethylene glycol) (PEG) were synthesized by a coupling reaction between P3/4HB-diol and PEG-diisocyanate, with different 3HB, 4HB, PEG compositions and segment lengths. Stannous octanoate was used as catalyst. The chemical structure, alternative block arrangement, molecular weight and distribution were systematically characterized by FTIR, 1H NMR, GPC and composition analysis. The thermal property was studied by DSC and TGA. Platelet adhesion study revealed that the alternative block polyurethanes possess excellent hemocompatibility. CCK-8 assay illuminated that the non-toxic block polyurethanes maintain rat aortic smooth muscle cells (RaSMCs) good viability. The in-vitro degradation of the copolymers in PBS buffer solution and in lipase buffer medium was investigated. Results showed that the copolymer films exhibit different degradation patterns in different media from surface erosion to diffusion bulk collapsing. The synthetic methodology for the alternative block polyurethanes provides a way to control the exact structure of the biomaterials and tailor the properties to subtle requirements.", "author" : [ { "dropping-particle" : "", "family" : "Pan", "given" : "Jueyu", "non-dropping-particle" : "", "parse-names" : false, "suffix" : "" }, { "dropping-particle" : "", "family" : "Li", "given" : "Guangyao", "non-dropping-particle" : "", "parse-names" : false, "suffix" : "" }, { "dropping-particle" : "", "family" : "Chen", "given" : "Zhifei", "non-dropping-particle" : "", "parse-names" : false, "suffix" : "" }, { "dropping-particle" : "", "family" : "Chen", "given" : "Xianyu", "non-dropping-particle" : "", "parse-names" : false, "suffix" : "" }, { "dropping-particle" : "", "family" : "Zhu", "given" : "Wenfu", "non-dropping-particle" : "", "parse-names" : false, "suffix" : "" }, { "dropping-particle" : "", "family" : "Xu", "given" : "Kaitian", "non-dropping-particle" : "", "parse-names" : false, "suffix" : "" } ], "container-title" : "Biomaterials", "id" : "ITEM-1", "issue" : "16", "issued" : { "date-parts" : [ [ "2009", "6" ] ] }, "page" : "2975-2984", "title" : "Alternative block polyurethanes based on poly(3-hydroxybutyrate-co-4-hydroxybutyrate) and poly(ethylene glycol)", "type" : "article-journal", "volume" : "30" }, "uris" : [ "http://www.mendeley.com/documents/?uuid=208e6fdf-6f10-4094-ad7b-fcd1a5285966" ] } ], "mendeley" : { "formattedCitation" : "&lt;sup&gt;37&lt;/sup&gt;", "plainTextFormattedCitation" : "37", "previouslyFormattedCitation" : "&lt;sup&gt;37&lt;/sup&gt;"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37</w:t>
      </w:r>
      <w:r w:rsidRPr="00610A40">
        <w:rPr>
          <w:color w:val="auto"/>
          <w:szCs w:val="24"/>
        </w:rPr>
        <w:fldChar w:fldCharType="end"/>
      </w:r>
      <w:r w:rsidRPr="00610A40">
        <w:rPr>
          <w:color w:val="auto"/>
          <w:szCs w:val="24"/>
        </w:rPr>
        <w:t xml:space="preserve">. </w:t>
      </w:r>
    </w:p>
    <w:p w14:paraId="69CFC43E" w14:textId="77777777" w:rsidR="00CA2966" w:rsidRPr="00610A40" w:rsidRDefault="00CA2966" w:rsidP="00CA2966">
      <w:pPr>
        <w:rPr>
          <w:color w:val="auto"/>
          <w:szCs w:val="24"/>
        </w:rPr>
      </w:pPr>
    </w:p>
    <w:p w14:paraId="62A88039" w14:textId="1A5ACB4D" w:rsidR="00CA2966" w:rsidRPr="00610A40" w:rsidRDefault="00CA2966" w:rsidP="00CA2966">
      <w:pPr>
        <w:rPr>
          <w:color w:val="auto"/>
          <w:szCs w:val="24"/>
        </w:rPr>
      </w:pPr>
      <w:r w:rsidRPr="00610A40">
        <w:rPr>
          <w:color w:val="auto"/>
          <w:szCs w:val="24"/>
        </w:rPr>
        <w:t>Other types of PHAs with extended structures such as poly(3-hydroxybutyrate-co-3-hydroxyvalerate) (P3HB-co-3HV) and poly(3-hydroxybutyrate-co-4-hydroxybutyrate) (P3HB4HB) also present better flexibility and toughness</w:t>
      </w:r>
      <w:r w:rsidRPr="00610A40">
        <w:rPr>
          <w:color w:val="auto"/>
          <w:szCs w:val="24"/>
        </w:rPr>
        <w:fldChar w:fldCharType="begin" w:fldLock="1"/>
      </w:r>
      <w:r w:rsidR="00565E2A" w:rsidRPr="00610A40">
        <w:rPr>
          <w:color w:val="auto"/>
          <w:szCs w:val="24"/>
        </w:rPr>
        <w:instrText>ADDIN CSL_CITATION { "citationItems" : [ { "id" : "ITEM-1", "itemData" : { "DOI" : "10.1590/1414-431X20143930", "ISBN" : "0100-879X", "author" : [ { "dropping-particle" : "", "family" : "Chang", "given" : "H M", "non-dropping-particle" : "", "parse-names" : false, "suffix" : "" }, { "dropping-particle" : "", "family" : "Wang", "given" : "Z H", "non-dropping-particle" : "", "parse-names" : false, "suffix" : "" }, { "dropping-particle" : "", "family" : "Luo", "given" : "H N", "non-dropping-particle" : "", "parse-names" : false, "suffix" : "" }, { "dropping-particle" : "", "family" : "Xu", "given" : "M", "non-dropping-particle" : "", "parse-names" : false, "suffix" : "" }, { "dropping-particle" : "", "family" : "Ren", "given" : "X Y", "non-dropping-particle" : "", "parse-names" : false, "suffix" : "" }, { "dropping-particle" : "", "family" : "Zheng", "given" : "G X", "non-dropping-particle" : "", "parse-names" : false, "suffix" : "" }, { "dropping-particle" : "", "family" : "Wu", "given" : "B J", "non-dropping-particle" : "", "parse-names" : false, "suffix" : "" }, { "dropping-particle" : "", "family" : "Zhang", "given" : "X H", "non-dropping-particle" : "", "parse-names" : false, "suffix" : "" }, { "dropping-particle" : "", "family" : "Lu", "given" : "X Y", "non-dropping-particle" : "", "parse-names" : false, "suffix" : "" }, { "dropping-particle" : "", "family" : "Chen", "given" : "F", "non-dropping-particle" : "", "parse-names" : false, "suffix" : "" }, { "dropping-particle" : "", "family" : "Jing", "given" : "X H", "non-dropping-particle" : "", "parse-names" : false, "suffix" : "" }, { "dropping-particle" : "", "family" : "Wang", "given" : "L", "non-dropping-particle" : "", "parse-names" : false, "suffix" : "" } ], "container-title" : "Brazilian Journal of Medical and Biological Research", "id" : "ITEM-1", "issue" : "7", "issued" : { "date-parts" : [ [ "2014" ] ] }, "language" : "English", "page" : "533-539", "title" : "Poly(3-hydroxybutyrate-co-3-hydroxyhexanoate)-based scaffolds for tissue engineering", "type" : "article-journal", "volume" : "47" }, "uris" : [ "http://www.mendeley.com/documents/?uuid=43afd658-c63c-4494-926c-901822c2b8fb", "http://www.mendeley.com/documents/?uuid=f6f14349-eb0c-425c-8474-d3b41b4ce62f" ] }, { "id" : "ITEM-2", "itemData" : { "DOI" : "http://dx.doi.org/10.1016/j.biomaterials.2011.01.031", "ISSN" : "0142-9612", "abstract" : "A series of block poly(ester-urethane)s (abbreviated as PU3/4HB) based on biodegradable poly(3-hydroxybutyrate-co-4-hydroxybutyrate) (P3/4HB) segments were synthesized by a facile way of melting polymerization using 1,6-hexamethylene diisocyanate (HDI) as the coupling agent and stannous octanoate (Sn(Oct)2) as catalyst, with different 4HB contents and segment lengths. The chemical structure, molecular weight and distribution were systematically characterized by 1H nuclear magnetic resonance spectrum (NMR), Fourier transform infrared spectroscopy (FTIR) and gel permeation chromatography (GPC). The thermal property was studied by differential scanning calorimetry (DSC) and thermogravimetric analysis (TGA). The hydrophilicity was investigated by static contact angle of deionized water and CH2I2. DSC curves revealed that the PU3/4HB polyurethanes have their Tg from \u221225.6\u00a0\u00b0C to \u22124.3\u00a0\u00b0C, and crystallinity from 2.5% to 25.3%, being almost amorphous to semi-crystalline. The obtained PU3/4HBs are hydrophobic (water contact angle 77.4\u00b0\u201395.9\u00b0), and their surface free energy (SFE) were studied. The morphology of platelets adhered on the polyurethane film observed by scanning electron microscope (SEM) showed that platelets were activated on the PU3/4HB films which would lead to blood coagulation. The lactate dehydrogenase (LDH) assay revealed that the PU3/4HBs displayed higher platelet adhesion property than raw materials and biodegradable polymer polylactic acid (PLA) and would be potential hemostatic materials. Crystallinity degree, hydrophobicity, surface free energy and urethane linkage content play important roles in affecting the LDH activity and hence the platelet adhesion. CCK-8 assay showed that the PU3/4HB is non-toxic and well for cell growth and proliferation of mouse fibroblast L929. It showed that the hydrophobicity is an important factor for cell growth while 3HB content of the PU3/4HB is important for the cell proliferation. Through changing the composition and the chain-length of P3/4HB-diol prepolymers, the biocompatibility of the poly(ester-urethane)s can be tailored.", "author" : [ { "dropping-particle" : "", "family" : "Ou", "given" : "Wenfeng", "non-dropping-particle" : "", "parse-names" : false, "suffix" : "" }, { "dropping-particle" : "", "family" : "Qiu", "given" : "Handi", "non-dropping-particle" : "", "parse-names" : false, "suffix" : "" }, { "dropping-particle" : "", "family" : "Chen", "given" : "Zhifei", "non-dropping-particle" : "", "parse-names" : false, "suffix" : "" }, { "dropping-particle" : "", "family" : "Xu", "given" : "Kaitian", "non-dropping-particle" : "", "parse-names" : false, "suffix" : "" } ], "container-title" : "Biomaterials", "id" : "ITEM-2", "issue" : "12", "issued" : { "date-parts" : [ [ "2011", "4" ] ] }, "page" : "3178-3188", "title" : "Biodegradable block poly(ester-urethane)s based on poly(3-hydroxybutyrate-co-4-hydroxybutyrate) copolymers", "type" : "article-journal", "volume" : "32" }, "uris" : [ "http://www.mendeley.com/documents/?uuid=a69c013d-4497-46d8-9c08-bf0787f65a5e", "http://www.mendeley.com/documents/?uuid=85832b0c-88b6-4982-a6c9-5e87c7f6ca33" ] }, { "id" : "ITEM-3", "itemData" : { "DOI" : "10.1089/ten.teb.2008.0619", "ISBN" : "19373368", "ISSN" : "1937-3368", "PMID" : "19459780", "abstract" : "Biodegradable materials are widely used in the biomedical field because there is no postoperative surgery after implantation. Widely used synthetic biodegradable materials are polyesters, especially those used in tissue engineering. Advances in the tissue engineering field have brought much attention in terms of scaffold fabrication, such as with biodegradable polyester nanofibers. The rationale for using nanofibers for tissue engineering is that the nonwoven polymeric meshwork is a close representation of the nanoscale protein fiber meshwork in native extracellular matrix (ECM). Electrospinning technique is a promising way to fabricate controllable continuous nanofiber scaffold mimicking the ECM structure. Electrospun nanofibers provide high surface-to-volume ratio and high porosity as a promising scaffold for tissue engineering. Because the degradation behaviors of scaffolds significantly affect new tissue regeneration, the degradation of the material becomes one of the crucial factors when considering using polyester nanofibers as scaffolds in tissue engineering. In this review paper, we focus on the degradation studies of several bioresorbable polyester nanofibrous scaffolds used in tissue engineering. The degradable properties of nanofibers were compared with the corresponding degradable materials in macroscale. The factors that might affect the degradation behaviors were analyzed.", "author" : [ { "dropping-particle" : "", "family" : "Dong", "given" : "Yixiang", "non-dropping-particle" : "", "parse-names" : false, "suffix" : "" }, { "dropping-particle" : "", "family" : "Liao", "given" : "Susan", "non-dropping-particle" : "", "parse-names" : false, "suffix" : "" }, { "dropping-particle" : "", "family" : "Ngiam", "given" : "Michelle", "non-dropping-particle" : "", "parse-names" : false, "suffix" : "" }, { "dropping-particle" : "", "family" : "Chan", "given" : "Casey K", "non-dropping-particle" : "", "parse-names" : false, "suffix" : "" }, { "dropping-particle" : "", "family" : "Ramakrishna", "given" : "Seeram", "non-dropping-particle" : "", "parse-names" : false, "suffix" : "" } ], "container-title" : "Tissue engineering. Part B, Reviews", "id" : "ITEM-3", "issue" : "3", "issued" : { "date-parts" : [ [ "2009" ] ] }, "page" : "333-351", "title" : "Degradation behaviors of electrospun resorbable polyester nanofibers.", "type" : "article-journal", "volume" : "15" }, "uris" : [ "http://www.mendeley.com/documents/?uuid=88b0342f-150e-4ac9-9eeb-fac8e353cd47" ] } ], "mendeley" : { "formattedCitation" : "&lt;sup&gt;38\u201340&lt;/sup&gt;", "plainTextFormattedCitation" : "38\u201340", "previouslyFormattedCitation" : "&lt;sup&gt;38\u201340&lt;/sup&gt;"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38–40</w:t>
      </w:r>
      <w:r w:rsidRPr="00610A40">
        <w:rPr>
          <w:color w:val="auto"/>
          <w:szCs w:val="24"/>
        </w:rPr>
        <w:fldChar w:fldCharType="end"/>
      </w:r>
      <w:r w:rsidRPr="00610A40">
        <w:rPr>
          <w:color w:val="auto"/>
          <w:szCs w:val="24"/>
        </w:rPr>
        <w:t xml:space="preserve">. In addition, the copolymerization of P3HB4HB with other types of PHAs to form </w:t>
      </w:r>
      <w:proofErr w:type="gramStart"/>
      <w:r w:rsidRPr="00610A40">
        <w:rPr>
          <w:color w:val="auto"/>
          <w:szCs w:val="24"/>
        </w:rPr>
        <w:t>poly(</w:t>
      </w:r>
      <w:proofErr w:type="gramEnd"/>
      <w:r w:rsidRPr="00610A40">
        <w:rPr>
          <w:color w:val="auto"/>
          <w:szCs w:val="24"/>
        </w:rPr>
        <w:t xml:space="preserve">ester-urethanes) results in improved elastomeric properties than the individual constituents. For instance, copolymerization of </w:t>
      </w:r>
      <w:r w:rsidRPr="00610A40">
        <w:rPr>
          <w:color w:val="auto"/>
          <w:szCs w:val="24"/>
        </w:rPr>
        <w:lastRenderedPageBreak/>
        <w:t>P3HB4HB with poly(3-hydroxyhexanoate-co-3-hydroxyoctanoate) (</w:t>
      </w:r>
      <w:proofErr w:type="spellStart"/>
      <w:r w:rsidRPr="00610A40">
        <w:rPr>
          <w:color w:val="auto"/>
          <w:szCs w:val="24"/>
        </w:rPr>
        <w:t>PHHxHO</w:t>
      </w:r>
      <w:proofErr w:type="spellEnd"/>
      <w:r w:rsidRPr="00610A40">
        <w:rPr>
          <w:color w:val="auto"/>
          <w:szCs w:val="24"/>
        </w:rPr>
        <w:t>) produced an amorphous polymer with reduced glass transition temperature of approximately -23ºC</w:t>
      </w:r>
      <w:r w:rsidRPr="00610A40">
        <w:rPr>
          <w:color w:val="auto"/>
          <w:szCs w:val="24"/>
        </w:rPr>
        <w:fldChar w:fldCharType="begin" w:fldLock="1"/>
      </w:r>
      <w:r w:rsidR="00565E2A" w:rsidRPr="00610A40">
        <w:rPr>
          <w:color w:val="auto"/>
          <w:szCs w:val="24"/>
        </w:rPr>
        <w:instrText>ADDIN CSL_CITATION { "citationItems" : [ { "id" : "ITEM-1", "itemData" : { "DOI" : "10.1016/j.biomaterials.2008.12.078", "ISBN" : "0142-9612", "author" : [ { "dropping-particle" : "", "family" : "Chen", "given" : "Zhifei", "non-dropping-particle" : "", "parse-names" : false, "suffix" : "" }, { "dropping-particle" : "", "family" : "Cheng", "given" : "Shaoting", "non-dropping-particle" : "", "parse-names" : false, "suffix" : "" }, { "dropping-particle" : "", "family" : "Xu", "given" : "Kaitian", "non-dropping-particle" : "", "parse-names" : false, "suffix" : "" } ], "container-title" : "Biomaterials", "id" : "ITEM-1", "issue" : "12", "issued" : { "date-parts" : [ [ "2009" ] ] }, "page" : "2219-2230", "publisher" : "Elsevier Ltd", "publisher-place" : "England", "title" : "Block poly(ester-urethane)s based on poly(3-hydroxybutyrate- co-4-hydroxybutyrate) and poly(3-hydroxyhexanoate- co-3-hydroxyoctanoate)", "type" : "article-journal", "volume" : "30" }, "uris" : [ "http://www.mendeley.com/documents/?uuid=dee02bed-7975-4ac1-a63a-c25d544729b7", "http://www.mendeley.com/documents/?uuid=4085d35c-b047-44ff-838f-9c49c40f206c" ] } ], "mendeley" : { "formattedCitation" : "&lt;sup&gt;41&lt;/sup&gt;", "plainTextFormattedCitation" : "41", "previouslyFormattedCitation" : "&lt;sup&gt;41&lt;/sup&gt;"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41</w:t>
      </w:r>
      <w:r w:rsidRPr="00610A40">
        <w:rPr>
          <w:color w:val="auto"/>
          <w:szCs w:val="24"/>
        </w:rPr>
        <w:fldChar w:fldCharType="end"/>
      </w:r>
      <w:r w:rsidRPr="00610A40">
        <w:rPr>
          <w:color w:val="auto"/>
          <w:szCs w:val="24"/>
        </w:rPr>
        <w:t xml:space="preserve">. Varying the composition of </w:t>
      </w:r>
      <w:proofErr w:type="spellStart"/>
      <w:r w:rsidRPr="00610A40">
        <w:rPr>
          <w:color w:val="auto"/>
          <w:szCs w:val="24"/>
        </w:rPr>
        <w:t>HHx</w:t>
      </w:r>
      <w:proofErr w:type="spellEnd"/>
      <w:r w:rsidRPr="00610A40">
        <w:rPr>
          <w:color w:val="auto"/>
          <w:szCs w:val="24"/>
        </w:rPr>
        <w:t xml:space="preserve"> in </w:t>
      </w:r>
      <w:proofErr w:type="spellStart"/>
      <w:r w:rsidRPr="00610A40">
        <w:rPr>
          <w:color w:val="auto"/>
          <w:szCs w:val="24"/>
        </w:rPr>
        <w:t>PHBHHx</w:t>
      </w:r>
      <w:proofErr w:type="spellEnd"/>
      <w:r w:rsidRPr="00610A40">
        <w:rPr>
          <w:color w:val="auto"/>
          <w:szCs w:val="24"/>
        </w:rPr>
        <w:t xml:space="preserve"> </w:t>
      </w:r>
      <w:r w:rsidR="004E2F50" w:rsidRPr="00610A40">
        <w:rPr>
          <w:color w:val="auto"/>
          <w:szCs w:val="24"/>
        </w:rPr>
        <w:t xml:space="preserve">may also change </w:t>
      </w:r>
      <w:r w:rsidRPr="00610A40">
        <w:rPr>
          <w:color w:val="auto"/>
          <w:szCs w:val="24"/>
        </w:rPr>
        <w:t xml:space="preserve">the smoothness and </w:t>
      </w:r>
      <w:proofErr w:type="spellStart"/>
      <w:r w:rsidRPr="00610A40">
        <w:rPr>
          <w:color w:val="auto"/>
          <w:szCs w:val="24"/>
        </w:rPr>
        <w:t>hydrophilicity</w:t>
      </w:r>
      <w:proofErr w:type="spellEnd"/>
      <w:r w:rsidRPr="00610A40">
        <w:rPr>
          <w:color w:val="auto"/>
          <w:szCs w:val="24"/>
        </w:rPr>
        <w:t xml:space="preserve"> of the surface. </w:t>
      </w:r>
    </w:p>
    <w:p w14:paraId="754BF4A7" w14:textId="77777777" w:rsidR="00CA2966" w:rsidRPr="00610A40" w:rsidRDefault="00CA2966" w:rsidP="00CA2966">
      <w:pPr>
        <w:rPr>
          <w:color w:val="auto"/>
          <w:szCs w:val="24"/>
        </w:rPr>
      </w:pPr>
    </w:p>
    <w:p w14:paraId="7DF5A4B9" w14:textId="5C81BA6C" w:rsidR="00CA2966" w:rsidRPr="00610A40" w:rsidRDefault="00CA2966" w:rsidP="00CA2966">
      <w:pPr>
        <w:rPr>
          <w:color w:val="auto"/>
          <w:szCs w:val="24"/>
        </w:rPr>
      </w:pPr>
      <w:r w:rsidRPr="00610A40">
        <w:rPr>
          <w:color w:val="auto"/>
          <w:szCs w:val="24"/>
        </w:rPr>
        <w:t xml:space="preserve">In contrast to SCL-PHAs, MCL-PHAs have lower melting temperature, glass transition temperature and degree of </w:t>
      </w:r>
      <w:proofErr w:type="spellStart"/>
      <w:r w:rsidRPr="00610A40">
        <w:rPr>
          <w:color w:val="auto"/>
          <w:szCs w:val="24"/>
        </w:rPr>
        <w:t>crystallinity</w:t>
      </w:r>
      <w:proofErr w:type="spellEnd"/>
      <w:r w:rsidRPr="00610A40">
        <w:rPr>
          <w:color w:val="auto"/>
          <w:szCs w:val="24"/>
        </w:rPr>
        <w:t>. The physical properties of MCL-PHAs can be tuned from semi-crystalline elastomers to amorphous tacky polymers with the observation that the glass transition temperature decreases with increasing pendant chain length. At certain side chain lengths, MCL-PHAs are useful elastomeric biopolymers, displaying low tensile strength and high elongation at break. Further increase in the side chain length of MCL-PHAs will lead to more viscous polymers</w:t>
      </w:r>
      <w:r w:rsidRPr="00610A40">
        <w:rPr>
          <w:color w:val="auto"/>
          <w:szCs w:val="24"/>
        </w:rPr>
        <w:fldChar w:fldCharType="begin" w:fldLock="1"/>
      </w:r>
      <w:r w:rsidR="00565E2A" w:rsidRPr="00610A40">
        <w:rPr>
          <w:color w:val="auto"/>
          <w:szCs w:val="24"/>
        </w:rPr>
        <w:instrText>ADDIN CSL_CITATION { "citationItems" : [ { "id" : "ITEM-1", "itemData" : { "ISBN" : "978-1-63321-659-4", "author" : [ { "dropping-particle" : "", "family" : "Thiago Caon", "given" : "", "non-dropping-particle" : "", "parse-names" : false, "suffix" : "" }, { "dropping-particle" : "", "family" : "Nathalie Berezina", "given" : "", "non-dropping-particle" : "", "parse-names" : false, "suffix" : "" }, { "dropping-particle" : "", "family" : "Carol Sze Ki Lin", "given" : "", "non-dropping-particle" : "", "parse-names" : false, "suffix" : "" }, { "dropping-particle" : "", "family" : "Farayde Matta Fakhouri", "given" : "", "non-dropping-particle" : "", "parse-names" : false, "suffix" : "" }, { "dropping-particle" : "", "family" : "Martelli", "given" : "Silvia Maria", "non-dropping-particle" : "", "parse-names" : false, "suffix" : "" } ], "chapter-number" : "18", "container-title" : "Polyhydroxyalkanoates (PHAs): Biosynthesis, Industrial Production and Applications in Medicine", "editor" : [ { "dropping-particle" : "", "family" : "Linping", "given" : "Wu", "non-dropping-particle" : "", "parse-names" : false, "suffix" : "" } ], "id" : "ITEM-1", "issued" : { "date-parts" : [ [ "2014" ] ] }, "page" : "219-236", "publisher" : "Nova Science Publishers", "publisher-place" : "USA", "title" : "Polyhydroxyalkanoates and Their Potential in Controlled-Release Drug Delivery Systems - Biomedical Applications and Factors Affecting the Drug Release", "type" : "chapter" }, "uris" : [ "http://www.mendeley.com/documents/?uuid=4d9d19b4-e8ca-424f-89c3-faf248fd17eb", "http://www.mendeley.com/documents/?uuid=0220c091-89ec-4401-a74a-929dfd5aa0ca" ] } ], "mendeley" : { "formattedCitation" : "&lt;sup&gt;42&lt;/sup&gt;", "plainTextFormattedCitation" : "42", "previouslyFormattedCitation" : "&lt;sup&gt;42&lt;/sup&gt;"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42</w:t>
      </w:r>
      <w:r w:rsidRPr="00610A40">
        <w:rPr>
          <w:color w:val="auto"/>
          <w:szCs w:val="24"/>
        </w:rPr>
        <w:fldChar w:fldCharType="end"/>
      </w:r>
      <w:r w:rsidRPr="00610A40">
        <w:rPr>
          <w:color w:val="auto"/>
          <w:szCs w:val="24"/>
        </w:rPr>
        <w:t>. Ongoing studies can improve these properties through blending or copolymerization with other materials. Some of these materials include natural or synthetic rubbers, as well as other polymers. For example, MCL-PHA poly(3-hydroxyundecenoate) (PHU) may be grafted with PEG to modulate the mechanical properties of the copolymer</w:t>
      </w:r>
      <w:r w:rsidRPr="00610A40">
        <w:rPr>
          <w:color w:val="auto"/>
          <w:szCs w:val="24"/>
        </w:rPr>
        <w:fldChar w:fldCharType="begin" w:fldLock="1"/>
      </w:r>
      <w:r w:rsidR="00565E2A" w:rsidRPr="00610A40">
        <w:rPr>
          <w:color w:val="auto"/>
          <w:szCs w:val="24"/>
        </w:rPr>
        <w:instrText>ADDIN CSL_CITATION { "citationItems" : [ { "id" : "ITEM-1", "itemData" : { "DOI" : "http://dx.doi.org/10.1016/S0141-8130(03)00020-5", "ISBN" : "0141-8130", "author" : [ { "dropping-particle" : "", "family" : "Chung", "given" : "Chung Wook", "non-dropping-particle" : "", "parse-names" : false, "suffix" : "" }, { "dropping-particle" : "", "family" : "Kim", "given" : "Hyung Woo", "non-dropping-particle" : "", "parse-names" : false, "suffix" : "" }, { "dropping-particle" : "", "family" : "Kim", "given" : "Young Baek", "non-dropping-particle" : "", "parse-names" : false, "suffix" : "" }, { "dropping-particle" : "", "family" : "Rhee", "given" : "Young Ha", "non-dropping-particle" : "", "parse-names" : false, "suffix" : "" } ], "container-title" : "International Journal of Biological Macromolecules", "id" : "ITEM-1", "issue" : "1\u20132", "issued" : { "date-parts" : [ [ "2003" ] ] }, "page" : "17-22", "title" : "Poly(ethylene glycol)-grafted poly(3-hydroxyundecenoate) networks for enhanced blood compatibility", "type" : "article-journal", "volume" : "32" }, "uris" : [ "http://www.mendeley.com/documents/?uuid=cd42198c-bc94-4f54-9067-ecc905a119a5", "http://www.mendeley.com/documents/?uuid=5f973f09-4300-4fb1-9300-f106c934910f" ] } ], "mendeley" : { "formattedCitation" : "&lt;sup&gt;43&lt;/sup&gt;", "plainTextFormattedCitation" : "43", "previouslyFormattedCitation" : "&lt;sup&gt;43&lt;/sup&gt;"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43</w:t>
      </w:r>
      <w:r w:rsidRPr="00610A40">
        <w:rPr>
          <w:color w:val="auto"/>
          <w:szCs w:val="24"/>
        </w:rPr>
        <w:fldChar w:fldCharType="end"/>
      </w:r>
      <w:r w:rsidRPr="00610A40">
        <w:rPr>
          <w:color w:val="auto"/>
          <w:szCs w:val="24"/>
        </w:rPr>
        <w:t xml:space="preserve">. With increasing PEG content in PHU-g-PEG, the elongation at break and tensile strength increased to maximum values of 606% and 263 </w:t>
      </w:r>
      <w:proofErr w:type="spellStart"/>
      <w:r w:rsidRPr="00610A40">
        <w:rPr>
          <w:color w:val="auto"/>
          <w:szCs w:val="24"/>
        </w:rPr>
        <w:t>MPa</w:t>
      </w:r>
      <w:proofErr w:type="spellEnd"/>
      <w:r w:rsidRPr="00610A40">
        <w:rPr>
          <w:color w:val="auto"/>
          <w:szCs w:val="24"/>
        </w:rPr>
        <w:t xml:space="preserve"> respectively. The biocompatibility of the PHU-g-PEG copolymer also improved significantly in the presence of PEG. In summary, both SCL-PHAs and MCL-PHAs are useful polymers that can be fabricated into elastomeric materials for more advanced applications. </w:t>
      </w:r>
    </w:p>
    <w:p w14:paraId="53BD495D" w14:textId="77777777" w:rsidR="00CA2966" w:rsidRPr="00610A40" w:rsidRDefault="00CA2966" w:rsidP="00CA2966">
      <w:pPr>
        <w:rPr>
          <w:color w:val="auto"/>
          <w:szCs w:val="24"/>
        </w:rPr>
      </w:pPr>
    </w:p>
    <w:p w14:paraId="1FB44DE1" w14:textId="2835F6E8" w:rsidR="00CA2966" w:rsidRPr="00610A40" w:rsidRDefault="00CA2966" w:rsidP="00CA2966">
      <w:pPr>
        <w:pStyle w:val="Heading2"/>
        <w:rPr>
          <w:sz w:val="24"/>
          <w:szCs w:val="24"/>
        </w:rPr>
      </w:pPr>
      <w:r w:rsidRPr="00610A40">
        <w:rPr>
          <w:sz w:val="24"/>
          <w:szCs w:val="24"/>
        </w:rPr>
        <w:lastRenderedPageBreak/>
        <w:t xml:space="preserve">2.3 </w:t>
      </w:r>
      <w:r w:rsidR="00990A40" w:rsidRPr="00610A40">
        <w:rPr>
          <w:sz w:val="24"/>
          <w:szCs w:val="24"/>
        </w:rPr>
        <w:t>Poly (</w:t>
      </w:r>
      <w:proofErr w:type="spellStart"/>
      <w:r w:rsidRPr="00610A40">
        <w:rPr>
          <w:sz w:val="24"/>
          <w:szCs w:val="24"/>
        </w:rPr>
        <w:t>polyol</w:t>
      </w:r>
      <w:proofErr w:type="spellEnd"/>
      <w:r w:rsidRPr="00610A40">
        <w:rPr>
          <w:sz w:val="24"/>
          <w:szCs w:val="24"/>
        </w:rPr>
        <w:t xml:space="preserve"> </w:t>
      </w:r>
      <w:proofErr w:type="spellStart"/>
      <w:r w:rsidRPr="00610A40">
        <w:rPr>
          <w:sz w:val="24"/>
          <w:szCs w:val="24"/>
        </w:rPr>
        <w:t>sebacate</w:t>
      </w:r>
      <w:proofErr w:type="spellEnd"/>
      <w:r w:rsidRPr="00610A40">
        <w:rPr>
          <w:sz w:val="24"/>
          <w:szCs w:val="24"/>
        </w:rPr>
        <w:t>)</w:t>
      </w:r>
    </w:p>
    <w:p w14:paraId="631C6317" w14:textId="44513874" w:rsidR="00CA2966" w:rsidRPr="00610A40" w:rsidRDefault="00990A40" w:rsidP="00CA2966">
      <w:pPr>
        <w:rPr>
          <w:rFonts w:cs="Times New Roman"/>
          <w:color w:val="auto"/>
          <w:szCs w:val="24"/>
        </w:rPr>
      </w:pPr>
      <w:r w:rsidRPr="00610A40">
        <w:rPr>
          <w:rFonts w:cs="Times New Roman"/>
          <w:color w:val="auto"/>
          <w:szCs w:val="24"/>
        </w:rPr>
        <w:t>Poly (</w:t>
      </w:r>
      <w:r w:rsidR="00CA2966" w:rsidRPr="00610A40">
        <w:rPr>
          <w:rFonts w:cs="Times New Roman"/>
          <w:color w:val="auto"/>
          <w:szCs w:val="24"/>
        </w:rPr>
        <w:t xml:space="preserve">glycerol </w:t>
      </w:r>
      <w:proofErr w:type="spellStart"/>
      <w:r w:rsidR="00CA2966" w:rsidRPr="00610A40">
        <w:rPr>
          <w:rFonts w:cs="Times New Roman"/>
          <w:color w:val="auto"/>
          <w:szCs w:val="24"/>
        </w:rPr>
        <w:t>sebacate</w:t>
      </w:r>
      <w:proofErr w:type="spellEnd"/>
      <w:r w:rsidR="00CA2966" w:rsidRPr="00610A40">
        <w:rPr>
          <w:rFonts w:cs="Times New Roman"/>
          <w:color w:val="auto"/>
          <w:szCs w:val="24"/>
        </w:rPr>
        <w:t xml:space="preserve">) (PGS) is a transparent, almost colorless polyester synthesized from glycerol and </w:t>
      </w:r>
      <w:proofErr w:type="spellStart"/>
      <w:r w:rsidR="00CA2966" w:rsidRPr="00610A40">
        <w:rPr>
          <w:rFonts w:cs="Times New Roman"/>
          <w:color w:val="auto"/>
          <w:szCs w:val="24"/>
        </w:rPr>
        <w:t>sebacic</w:t>
      </w:r>
      <w:proofErr w:type="spellEnd"/>
      <w:r w:rsidR="00CA2966" w:rsidRPr="00610A40">
        <w:rPr>
          <w:rFonts w:cs="Times New Roman"/>
          <w:color w:val="auto"/>
          <w:szCs w:val="24"/>
        </w:rPr>
        <w:t xml:space="preserve"> acid. </w:t>
      </w:r>
      <w:proofErr w:type="spellStart"/>
      <w:r w:rsidR="00CA2966" w:rsidRPr="00610A40">
        <w:rPr>
          <w:rFonts w:cs="Times New Roman"/>
          <w:color w:val="auto"/>
          <w:szCs w:val="24"/>
        </w:rPr>
        <w:t>Polyols</w:t>
      </w:r>
      <w:proofErr w:type="spellEnd"/>
      <w:r w:rsidR="00CA2966" w:rsidRPr="00610A40">
        <w:rPr>
          <w:rFonts w:cs="Times New Roman"/>
          <w:color w:val="auto"/>
          <w:szCs w:val="24"/>
        </w:rPr>
        <w:t xml:space="preserve"> and </w:t>
      </w:r>
      <w:proofErr w:type="spellStart"/>
      <w:r w:rsidR="00CA2966" w:rsidRPr="00610A40">
        <w:rPr>
          <w:rFonts w:cs="Times New Roman"/>
          <w:color w:val="auto"/>
          <w:szCs w:val="24"/>
        </w:rPr>
        <w:t>sebacic</w:t>
      </w:r>
      <w:proofErr w:type="spellEnd"/>
      <w:r w:rsidR="00CA2966" w:rsidRPr="00610A40">
        <w:rPr>
          <w:rFonts w:cs="Times New Roman"/>
          <w:color w:val="auto"/>
          <w:szCs w:val="24"/>
        </w:rPr>
        <w:t xml:space="preserve"> acid are endogenous human metabolites and they have already been applied in the food, drug and cosmetic industries. PGS is formed in two steps (1) </w:t>
      </w:r>
      <w:proofErr w:type="spellStart"/>
      <w:r w:rsidR="00CA2966" w:rsidRPr="00610A40">
        <w:rPr>
          <w:rFonts w:cs="Times New Roman"/>
          <w:color w:val="auto"/>
          <w:szCs w:val="24"/>
        </w:rPr>
        <w:t>polycondensation</w:t>
      </w:r>
      <w:proofErr w:type="spellEnd"/>
      <w:r w:rsidR="00CA2966" w:rsidRPr="00610A40">
        <w:rPr>
          <w:rFonts w:cs="Times New Roman"/>
          <w:color w:val="auto"/>
          <w:szCs w:val="24"/>
        </w:rPr>
        <w:t xml:space="preserve"> of glycerol and </w:t>
      </w:r>
      <w:proofErr w:type="spellStart"/>
      <w:r w:rsidR="00CA2966" w:rsidRPr="00610A40">
        <w:rPr>
          <w:rFonts w:cs="Times New Roman"/>
          <w:color w:val="auto"/>
          <w:szCs w:val="24"/>
        </w:rPr>
        <w:t>sebacic</w:t>
      </w:r>
      <w:proofErr w:type="spellEnd"/>
      <w:r w:rsidR="00CA2966" w:rsidRPr="00610A40">
        <w:rPr>
          <w:rFonts w:cs="Times New Roman"/>
          <w:color w:val="auto"/>
          <w:szCs w:val="24"/>
        </w:rPr>
        <w:t xml:space="preserve"> acid and (2) crosslinking</w:t>
      </w:r>
      <w:r w:rsidR="00CA2966"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"10.1016/j.progpolymsci.2012.02.001", "ISBN" : "0079-6700", "ISSN" : "00796700", "abstract" : "Poly(glycerol sebacate) (PGS) is a biodegradable polymer increasingly used in a variety of biomedical applications. This polyester is prepared by polycondensation of glycerol and sebacic acid. PGS exhibits biocompatibility and biodegradability, both highly relevant properties in biomedical applications. PGS also involves cost effective production with the possibility of up scaling to industrial production. In addition, the mechanical properties and degradation kinetics of PGS can be tailored to match the requirements of intended applications by controlling curing time, curing temperature, reactants concentration and the degree of acrylation in acrylated PGS. Because of the flexible and elastomeric nature of PGS, its biomedical applications have mainly targeted soft tissue replacement and the engineering of soft tissues, such as cardiac muscle, blood, nerve, cartilage and retina. However, applications of PGS are being expanded to include drug delivery, tissue adhesive and hard tissue (i.e., bone) regeneration. The design and fabrication of PGS based devices for applications that mimic native physiological conditions are also being pursued. Novel designs range from accordion-like honeycomb structures for cardiac patches, gecko-like surfaces for tissue adhesives to PGS (nano) fibers for extra cellular matrix (ECM) like constructs; new design avenues are being investigated to meet the ever growing demand for replacement tissues and organs. In less than a decade PGS has become a material of great scrutiny and interest by the biomedical research community. In this review we consolidate the valuable existing knowledge in the fields of synthesis, properties and biomedical applications of PGS and PGS-related biomaterials and devices. \u00a9 2012 Elsevier Ltd.", "author" : [ { "dropping-particle" : "", "family" : "Rai", "given" : "Ranjana", "non-dropping-particle" : "", "parse-names" : false, "suffix" : "" }, { "dropping-particle" : "", "family" : "Tallawi", "given" : "Marwa", "non-dropping-particle" : "", "parse-names" : false, "suffix" : "" }, { "dropping-particle" : "", "family" : "Grigore", "given" : "Alexandra", "non-dropping-particle" : "", "parse-names" : false, "suffix" : "" }, { "dropping-particle" : "", "family" : "Boccaccini", "given" : "Aldo R.", "non-dropping-particle" : "", "parse-names" : false, "suffix" : "" } ], "container-title" : "Progress in Polymer Science", "id" : "ITEM-1", "issue" : "8", "issued" : { "date-parts" : [ [ "2012" ] ] }, "page" : "1051-1078", "publisher" : "Elsevier Ltd", "title" : "Synthesis, properties and biomedical applications of poly(glycerol sebacate) (PGS): A review", "type" : "article-journal", "volume" : "37" }, "uris" : [ "http://www.mendeley.com/documents/?uuid=0a8e702f-c378-4513-8906-ece6ca716a13" ] } ], "mendeley" : { "formattedCitation" : "&lt;sup&gt;44&lt;/sup&gt;", "plainTextFormattedCitation" : "44", "previouslyFormattedCitation" : "&lt;sup&gt;44&lt;/sup&gt;" }, "properties" : { "noteIndex" : 0 }, "schema" : "https://github.com/citation-style-language/schema/raw/master/csl-citation.json" }</w:instrText>
      </w:r>
      <w:r w:rsidR="00CA2966" w:rsidRPr="00610A40">
        <w:rPr>
          <w:rFonts w:cs="Times New Roman"/>
          <w:color w:val="auto"/>
          <w:szCs w:val="24"/>
        </w:rPr>
        <w:fldChar w:fldCharType="separate"/>
      </w:r>
      <w:r w:rsidR="00E907D0" w:rsidRPr="00610A40">
        <w:rPr>
          <w:rFonts w:cs="Times New Roman"/>
          <w:noProof/>
          <w:color w:val="auto"/>
          <w:szCs w:val="24"/>
          <w:vertAlign w:val="superscript"/>
        </w:rPr>
        <w:t>44</w:t>
      </w:r>
      <w:r w:rsidR="00CA2966" w:rsidRPr="00610A40">
        <w:rPr>
          <w:rFonts w:cs="Times New Roman"/>
          <w:color w:val="auto"/>
          <w:szCs w:val="24"/>
        </w:rPr>
        <w:fldChar w:fldCharType="end"/>
      </w:r>
      <w:r w:rsidR="008E7F94" w:rsidRPr="00610A40">
        <w:rPr>
          <w:rFonts w:cs="Times New Roman"/>
          <w:color w:val="auto"/>
          <w:szCs w:val="24"/>
        </w:rPr>
        <w:t xml:space="preserve"> (</w:t>
      </w:r>
      <w:r w:rsidR="008E7F94" w:rsidRPr="00610A40">
        <w:rPr>
          <w:rFonts w:cs="Times New Roman"/>
          <w:color w:val="auto"/>
          <w:szCs w:val="24"/>
        </w:rPr>
        <w:fldChar w:fldCharType="begin"/>
      </w:r>
      <w:r w:rsidR="008E7F94" w:rsidRPr="00610A40">
        <w:rPr>
          <w:rFonts w:cs="Times New Roman"/>
          <w:color w:val="auto"/>
          <w:szCs w:val="24"/>
        </w:rPr>
        <w:instrText xml:space="preserve"> REF _Ref506240422 \h </w:instrText>
      </w:r>
      <w:r w:rsidR="008E7F94" w:rsidRPr="00610A40">
        <w:rPr>
          <w:rFonts w:cs="Times New Roman"/>
          <w:color w:val="auto"/>
          <w:szCs w:val="24"/>
        </w:rPr>
      </w:r>
      <w:r w:rsidR="00610A40">
        <w:rPr>
          <w:rFonts w:cs="Times New Roman"/>
          <w:color w:val="auto"/>
          <w:szCs w:val="24"/>
        </w:rPr>
        <w:instrText xml:space="preserve"> \* MERGEFORMAT </w:instrText>
      </w:r>
      <w:r w:rsidR="008E7F94" w:rsidRPr="00610A40">
        <w:rPr>
          <w:rFonts w:cs="Times New Roman"/>
          <w:color w:val="auto"/>
          <w:szCs w:val="24"/>
        </w:rPr>
        <w:fldChar w:fldCharType="separate"/>
      </w:r>
      <w:r w:rsidR="002B2E41" w:rsidRPr="00610A40">
        <w:t xml:space="preserve">Figure </w:t>
      </w:r>
      <w:r w:rsidR="002B2E41" w:rsidRPr="00610A40">
        <w:rPr>
          <w:noProof/>
        </w:rPr>
        <w:t>1</w:t>
      </w:r>
      <w:r w:rsidR="008E7F94" w:rsidRPr="00610A40">
        <w:rPr>
          <w:rFonts w:cs="Times New Roman"/>
          <w:color w:val="auto"/>
          <w:szCs w:val="24"/>
        </w:rPr>
        <w:fldChar w:fldCharType="end"/>
      </w:r>
      <w:r w:rsidR="008E7F94" w:rsidRPr="00610A40">
        <w:rPr>
          <w:rFonts w:cs="Times New Roman"/>
          <w:color w:val="auto"/>
          <w:szCs w:val="24"/>
        </w:rPr>
        <w:t>)</w:t>
      </w:r>
      <w:r w:rsidR="00CA2966" w:rsidRPr="00610A40">
        <w:rPr>
          <w:rFonts w:cs="Times New Roman"/>
          <w:color w:val="auto"/>
          <w:szCs w:val="24"/>
        </w:rPr>
        <w:t xml:space="preserve">. For the conventional </w:t>
      </w:r>
      <w:proofErr w:type="spellStart"/>
      <w:r w:rsidR="00CA2966" w:rsidRPr="00610A40">
        <w:rPr>
          <w:rFonts w:cs="Times New Roman"/>
          <w:color w:val="auto"/>
          <w:szCs w:val="24"/>
        </w:rPr>
        <w:t>polycondensation</w:t>
      </w:r>
      <w:proofErr w:type="spellEnd"/>
      <w:r w:rsidR="00CA2966" w:rsidRPr="00610A40">
        <w:rPr>
          <w:rFonts w:cs="Times New Roman"/>
          <w:color w:val="auto"/>
          <w:szCs w:val="24"/>
        </w:rPr>
        <w:t xml:space="preserve"> reaction, </w:t>
      </w:r>
      <w:proofErr w:type="spellStart"/>
      <w:r w:rsidR="00CA2966" w:rsidRPr="00610A40">
        <w:rPr>
          <w:rFonts w:cs="Times New Roman"/>
          <w:color w:val="auto"/>
          <w:szCs w:val="24"/>
        </w:rPr>
        <w:t>equimolar</w:t>
      </w:r>
      <w:proofErr w:type="spellEnd"/>
      <w:r w:rsidR="00CA2966" w:rsidRPr="00610A40">
        <w:rPr>
          <w:rFonts w:cs="Times New Roman"/>
          <w:color w:val="auto"/>
          <w:szCs w:val="24"/>
        </w:rPr>
        <w:t xml:space="preserve"> mixtures of glycerol and </w:t>
      </w:r>
      <w:proofErr w:type="spellStart"/>
      <w:r w:rsidR="00CA2966" w:rsidRPr="00610A40">
        <w:rPr>
          <w:rFonts w:cs="Times New Roman"/>
          <w:color w:val="auto"/>
          <w:szCs w:val="24"/>
        </w:rPr>
        <w:t>sebacic</w:t>
      </w:r>
      <w:proofErr w:type="spellEnd"/>
      <w:r w:rsidR="00CA2966" w:rsidRPr="00610A40">
        <w:rPr>
          <w:rFonts w:cs="Times New Roman"/>
          <w:color w:val="auto"/>
          <w:szCs w:val="24"/>
        </w:rPr>
        <w:t xml:space="preserve"> acid were polymerized at 120 °C under argon for 24 h</w:t>
      </w:r>
      <w:r w:rsidR="00CA2966" w:rsidRPr="00610A40">
        <w:rPr>
          <w:rFonts w:ascii="GulliverRM" w:hAnsi="GulliverRM" w:cs="GulliverRM"/>
          <w:color w:val="auto"/>
          <w:szCs w:val="24"/>
        </w:rPr>
        <w:t>.</w:t>
      </w:r>
      <w:r w:rsidR="00CA2966" w:rsidRPr="00610A40">
        <w:rPr>
          <w:rFonts w:cs="Times New Roman"/>
          <w:color w:val="auto"/>
          <w:szCs w:val="24"/>
        </w:rPr>
        <w:t xml:space="preserve"> Curing requires high temperature (&gt; 80</w:t>
      </w:r>
      <w:r w:rsidR="00CA2966" w:rsidRPr="00610A40">
        <w:rPr>
          <w:rFonts w:cs="Times New Roman"/>
          <w:color w:val="auto"/>
          <w:szCs w:val="24"/>
          <w:vertAlign w:val="superscript"/>
        </w:rPr>
        <w:t>o</w:t>
      </w:r>
      <w:r w:rsidR="00CA2966" w:rsidRPr="00610A40">
        <w:rPr>
          <w:rFonts w:cs="Times New Roman"/>
          <w:color w:val="auto"/>
          <w:szCs w:val="24"/>
        </w:rPr>
        <w:t xml:space="preserve">C) and long reaction times (&gt; 24hrs) and this prevents in-situ tissue polymerization and the incorporation of many therapeutics. To overcome the harsh reaction condition, </w:t>
      </w:r>
      <w:proofErr w:type="spellStart"/>
      <w:r w:rsidR="00CA2966" w:rsidRPr="00610A40">
        <w:rPr>
          <w:rFonts w:cs="Times New Roman"/>
          <w:color w:val="auto"/>
          <w:szCs w:val="24"/>
        </w:rPr>
        <w:t>photocrosslinking</w:t>
      </w:r>
      <w:proofErr w:type="spellEnd"/>
      <w:r w:rsidR="00CA2966" w:rsidRPr="00610A40">
        <w:rPr>
          <w:rFonts w:cs="Times New Roman"/>
          <w:color w:val="auto"/>
          <w:szCs w:val="24"/>
        </w:rPr>
        <w:t xml:space="preserve"> is now made possible by adding the acrylate moiety to </w:t>
      </w:r>
      <w:proofErr w:type="spellStart"/>
      <w:r w:rsidR="00CA2966" w:rsidRPr="00610A40">
        <w:rPr>
          <w:rFonts w:cs="Times New Roman"/>
          <w:color w:val="auto"/>
          <w:szCs w:val="24"/>
        </w:rPr>
        <w:t>prepolymers</w:t>
      </w:r>
      <w:proofErr w:type="spellEnd"/>
      <w:r w:rsidR="00CA2966" w:rsidRPr="00610A40">
        <w:rPr>
          <w:rFonts w:cs="Times New Roman"/>
          <w:color w:val="auto"/>
          <w:szCs w:val="24"/>
        </w:rPr>
        <w:t xml:space="preserve"> </w:t>
      </w:r>
      <w:r w:rsidR="00CA2966"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"10.1002/adma.200702377", "ISSN" : "09359648", "author" : [ { "dropping-particle" : "", "family" : "Bruggeman", "given" : "Joost P.", "non-dropping-particle" : "", "parse-names" : false, "suffix" : "" }, { "dropping-particle" : "", "family" : "Bettinger", "given" : "Christopher J.", "non-dropping-particle" : "", "parse-names" : false, "suffix" : "" }, { "dropping-particle" : "", "family" : "Nijst", "given" : "Christiaan L.E.", "non-dropping-particle" : "", "parse-names" : false, "suffix" : "" }, { "dropping-particle" : "", "family" : "Kohane", "given" : "Daniel S.", "non-dropping-particle" : "", "parse-names" : false, "suffix" : "" }, { "dropping-particle" : "", "family" : "Langer", "given" : "Robert", "non-dropping-particle" : "", "parse-names" : false, "suffix" : "" } ], "container-title" : "Advanced Materials", "id" : "ITEM-1", "issue" : "10", "issued" : { "date-parts" : [ [ "2008" ] ] }, "page" : "1922-1927", "title" : "Biodegradable Xylitol-Based Polymers", "type" : "article-journal", "volume" : "20" }, "uris" : [ "http://www.mendeley.com/documents/?uuid=e3a71fdd-236c-41f4-967e-448972b36527" ] } ], "mendeley" : { "formattedCitation" : "&lt;sup&gt;45&lt;/sup&gt;", "plainTextFormattedCitation" : "45", "previouslyFormattedCitation" : "&lt;sup&gt;45&lt;/sup&gt;" }, "properties" : { "noteIndex" : 0 }, "schema" : "https://github.com/citation-style-language/schema/raw/master/csl-citation.json" }</w:instrText>
      </w:r>
      <w:r w:rsidR="00CA2966" w:rsidRPr="00610A40">
        <w:rPr>
          <w:rFonts w:cs="Times New Roman"/>
          <w:color w:val="auto"/>
          <w:szCs w:val="24"/>
        </w:rPr>
        <w:fldChar w:fldCharType="separate"/>
      </w:r>
      <w:r w:rsidR="00E907D0" w:rsidRPr="00610A40">
        <w:rPr>
          <w:rFonts w:cs="Times New Roman"/>
          <w:noProof/>
          <w:color w:val="auto"/>
          <w:szCs w:val="24"/>
          <w:vertAlign w:val="superscript"/>
        </w:rPr>
        <w:t>45</w:t>
      </w:r>
      <w:r w:rsidR="00CA2966" w:rsidRPr="00610A40">
        <w:rPr>
          <w:rFonts w:cs="Times New Roman"/>
          <w:color w:val="auto"/>
          <w:szCs w:val="24"/>
        </w:rPr>
        <w:fldChar w:fldCharType="end"/>
      </w:r>
      <w:r w:rsidR="00CA2966" w:rsidRPr="00610A40">
        <w:rPr>
          <w:rFonts w:cs="Times New Roman"/>
          <w:color w:val="auto"/>
          <w:szCs w:val="24"/>
        </w:rPr>
        <w:t xml:space="preserve">. Poly(glycerol </w:t>
      </w:r>
      <w:proofErr w:type="spellStart"/>
      <w:r w:rsidR="00CA2966" w:rsidRPr="00610A40">
        <w:rPr>
          <w:rFonts w:cs="Times New Roman"/>
          <w:color w:val="auto"/>
          <w:szCs w:val="24"/>
        </w:rPr>
        <w:t>sebacate</w:t>
      </w:r>
      <w:proofErr w:type="spellEnd"/>
      <w:r w:rsidR="00CA2966" w:rsidRPr="00610A40">
        <w:rPr>
          <w:rFonts w:cs="Times New Roman"/>
          <w:color w:val="auto"/>
          <w:szCs w:val="24"/>
        </w:rPr>
        <w:t>) acrylate (PGSA) can be cured much more quickly on the scale of minutes, and at ambient temperatures</w:t>
      </w:r>
      <w:r w:rsidR="00CA2966"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"10.1021/bm070423u.Synthesis", "author" : [ { "dropping-particle" : "", "family" : "Nijst", "given" : "Christiaan L E", "non-dropping-particle" : "", "parse-names" : false, "suffix" : "" }, { "dropping-particle" : "", "family" : "Bruggeman", "given" : "Joost P", "non-dropping-particle" : "", "parse-names" : false, "suffix" : "" }, { "dropping-particle" : "", "family" : "Karp", "given" : "Jeffrey M", "non-dropping-particle" : "", "parse-names" : false, "suffix" : "" }, { "dropping-particle" : "", "family" : "Ferreira", "given" : "Lino", "non-dropping-particle" : "", "parse-names" : false, "suffix" : "" }, { "dropping-particle" : "", "family" : "Bettinger", "given" : "Christopher J", "non-dropping-particle" : "", "parse-names" : false, "suffix" : "" }, { "dropping-particle" : "", "family" : "Langer", "given" : "Robert", "non-dropping-particle" : "", "parse-names" : false, "suffix" : "" } ], "container-title" : "Biomacromolecules", "id" : "ITEM-1", "issue" : "10", "issued" : { "date-parts" : [ [ "2007" ] ] }, "page" : "3067-3073", "title" : "Synthesis and Characterization of Photocurable Elastomers from Poly(glycerol-co-sebacate)", "type" : "article-journal", "volume" : "8" }, "uris" : [ "http://www.mendeley.com/documents/?uuid=a382dea7-f977-4403-a046-e84e3eff961c" ] } ], "mendeley" : { "formattedCitation" : "&lt;sup&gt;46&lt;/sup&gt;", "plainTextFormattedCitation" : "46", "previouslyFormattedCitation" : "&lt;sup&gt;46&lt;/sup&gt;" }, "properties" : { "noteIndex" : 0 }, "schema" : "https://github.com/citation-style-language/schema/raw/master/csl-citation.json" }</w:instrText>
      </w:r>
      <w:r w:rsidR="00CA2966" w:rsidRPr="00610A40">
        <w:rPr>
          <w:rFonts w:cs="Times New Roman"/>
          <w:color w:val="auto"/>
          <w:szCs w:val="24"/>
        </w:rPr>
        <w:fldChar w:fldCharType="separate"/>
      </w:r>
      <w:r w:rsidR="00E907D0" w:rsidRPr="00610A40">
        <w:rPr>
          <w:rFonts w:cs="Times New Roman"/>
          <w:noProof/>
          <w:color w:val="auto"/>
          <w:szCs w:val="24"/>
          <w:vertAlign w:val="superscript"/>
        </w:rPr>
        <w:t>46</w:t>
      </w:r>
      <w:r w:rsidR="00CA2966" w:rsidRPr="00610A40">
        <w:rPr>
          <w:rFonts w:cs="Times New Roman"/>
          <w:color w:val="auto"/>
          <w:szCs w:val="24"/>
        </w:rPr>
        <w:fldChar w:fldCharType="end"/>
      </w:r>
      <w:r w:rsidR="00CA2966" w:rsidRPr="00610A40">
        <w:rPr>
          <w:rFonts w:cs="Times New Roman"/>
          <w:color w:val="auto"/>
          <w:szCs w:val="24"/>
        </w:rPr>
        <w:t xml:space="preserve">. By controlling the polymerization parameters, such as the curing temperature, curing time and the molar ratio of alcohol to acid, PGS with a wide range of </w:t>
      </w:r>
      <w:proofErr w:type="spellStart"/>
      <w:r w:rsidR="00CA2966" w:rsidRPr="00610A40">
        <w:rPr>
          <w:rFonts w:cs="Times New Roman"/>
          <w:color w:val="auto"/>
          <w:szCs w:val="24"/>
        </w:rPr>
        <w:t>physico</w:t>
      </w:r>
      <w:proofErr w:type="spellEnd"/>
      <w:r w:rsidR="00CA2966" w:rsidRPr="00610A40">
        <w:rPr>
          <w:rFonts w:cs="Times New Roman"/>
          <w:color w:val="auto"/>
          <w:szCs w:val="24"/>
        </w:rPr>
        <w:t xml:space="preserve">-chemical properties can be synthesized. PGS is a </w:t>
      </w:r>
      <w:proofErr w:type="spellStart"/>
      <w:r w:rsidR="00CA2966" w:rsidRPr="00610A40">
        <w:rPr>
          <w:rFonts w:cs="Times New Roman"/>
          <w:color w:val="auto"/>
          <w:szCs w:val="24"/>
        </w:rPr>
        <w:t>semicrystalline</w:t>
      </w:r>
      <w:proofErr w:type="spellEnd"/>
      <w:r w:rsidR="00CA2966" w:rsidRPr="00610A40">
        <w:rPr>
          <w:rFonts w:cs="Times New Roman"/>
          <w:color w:val="auto"/>
          <w:szCs w:val="24"/>
        </w:rPr>
        <w:t xml:space="preserve"> polymer. It was reported that PGS displays a very low glass transition temperature (&lt; 80 °C) and is completely amorphous above 37 °C. </w:t>
      </w:r>
      <w:r w:rsidR="00CA2966" w:rsidRPr="00610A40">
        <w:rPr>
          <w:color w:val="auto"/>
          <w:szCs w:val="24"/>
        </w:rPr>
        <w:t>A wide range of properties of PGS is possible by controlling the curing temperature, curing time and the molar ratio of alcohol to acid. However, the glass transition temperature is not affected by the degree of crosslinking. </w:t>
      </w:r>
      <w:r w:rsidR="00CA2966" w:rsidRPr="00610A40" w:rsidDel="00654D83">
        <w:rPr>
          <w:rFonts w:cs="Times New Roman"/>
          <w:color w:val="auto"/>
          <w:szCs w:val="24"/>
        </w:rPr>
        <w:t xml:space="preserve"> </w:t>
      </w:r>
      <w:r w:rsidR="00CA2966" w:rsidRPr="00610A40">
        <w:rPr>
          <w:rFonts w:cs="Times New Roman"/>
          <w:color w:val="auto"/>
          <w:szCs w:val="24"/>
        </w:rPr>
        <w:t xml:space="preserve">The degree of crystallization for PGS can be significantly decreased with increasing curing time and temperature. PGS shows the typical nonlinear stress–strain behavior similar to that of vulcanized rubber, with average Young’s modulus of 0.03–1.2 </w:t>
      </w:r>
      <w:proofErr w:type="spellStart"/>
      <w:r w:rsidR="00CA2966" w:rsidRPr="00610A40">
        <w:rPr>
          <w:rFonts w:cs="Times New Roman"/>
          <w:color w:val="auto"/>
          <w:szCs w:val="24"/>
        </w:rPr>
        <w:t>MPa</w:t>
      </w:r>
      <w:proofErr w:type="spellEnd"/>
      <w:r w:rsidR="00CA2966" w:rsidRPr="00610A40">
        <w:rPr>
          <w:rFonts w:cs="Times New Roman"/>
          <w:color w:val="auto"/>
          <w:szCs w:val="24"/>
        </w:rPr>
        <w:t xml:space="preserve">, tensile strength of ~0.5 </w:t>
      </w:r>
      <w:proofErr w:type="spellStart"/>
      <w:r w:rsidR="00CA2966" w:rsidRPr="00610A40">
        <w:rPr>
          <w:rFonts w:cs="Times New Roman"/>
          <w:color w:val="auto"/>
          <w:szCs w:val="24"/>
        </w:rPr>
        <w:t>MPa</w:t>
      </w:r>
      <w:proofErr w:type="spellEnd"/>
      <w:r w:rsidR="00CA2966" w:rsidRPr="00610A40">
        <w:rPr>
          <w:rFonts w:cs="Times New Roman"/>
          <w:color w:val="auto"/>
          <w:szCs w:val="24"/>
        </w:rPr>
        <w:t>, and elongation at break of more than 300%</w:t>
      </w:r>
      <w:r w:rsidR="00CA2966"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"10.1038/nbt0602-602", "ISBN" : "1087-0156", "ISSN" : "10870156", "PMID" : "12042865", "abstract" : "Biodegradable polymers have significant potential in biotechnology and bioengineering. However, for some applications, they are limited by their inferior mechanical properties and unsatisfactory compatibility with cells and tissues. A strong, biodegradable, and biocompatible elastomer could be useful for fields such as tissue engineering, drug delivery, and in vivo sensing. We designed, synthesized, and characterized a tough biodegradable elastomer from biocompatible monomers. This elastomer forms a covalently crosslinked, three-dimensional network of random coils with hydroxyl groups attached to its backbone. Both crosslinking and the hydrogen-bonding interactions between the hydroxyl groups likely contribute to the unique properties of the elastomer. In vitro and in vivo studies show that the polymer has good biocompatibility. Polymer implants under animal skin are absorbed completely within 60 days with restoration of the implantation sites to their normal architecture.", "author" : [ { "dropping-particle" : "", "family" : "Wang", "given" : "Yadong", "non-dropping-particle" : "", "parse-names" : false, "suffix" : "" }, { "dropping-particle" : "", "family" : "Ameer", "given" : "Guillermo A.", "non-dropping-particle" : "", "parse-names" : false, "suffix" : "" }, { "dropping-particle" : "", "family" : "Sheppard", "given" : "Barbara J.", "non-dropping-particle" : "", "parse-names" : false, "suffix" : "" }, { "dropping-particle" : "", "family" : "Langer", "given" : "Robert", "non-dropping-particle" : "", "parse-names" : false, "suffix" : "" } ], "container-title" : "Nature Biotechnology", "id" : "ITEM-1", "issue" : "6", "issued" : { "date-parts" : [ [ "2002" ] ] }, "page" : "602-606", "title" : "A tough biodegradable elastomer", "type" : "article-journal", "volume" : "20" }, "uris" : [ "http://www.mendeley.com/documents/?uuid=12386d41-2b77-4bc5-9d59-bd42f19c1ed0", "http://www.mendeley.com/documents/?uuid=bd897e22-f8fc-40f3-b22a-c40e7e50855f" ] } ], "mendeley" : { "formattedCitation" : "&lt;sup&gt;47&lt;/sup&gt;", "plainTextFormattedCitation" : "47", "previouslyFormattedCitation" : "&lt;sup&gt;47&lt;/sup&gt;" }, "properties" : { "noteIndex" : 0 }, "schema" : "https://github.com/citation-style-language/schema/raw/master/csl-citation.json" }</w:instrText>
      </w:r>
      <w:r w:rsidR="00CA2966" w:rsidRPr="00610A40">
        <w:rPr>
          <w:rFonts w:cs="Times New Roman"/>
          <w:color w:val="auto"/>
          <w:szCs w:val="24"/>
        </w:rPr>
        <w:fldChar w:fldCharType="separate"/>
      </w:r>
      <w:r w:rsidR="00E907D0" w:rsidRPr="00610A40">
        <w:rPr>
          <w:rFonts w:cs="Times New Roman"/>
          <w:noProof/>
          <w:color w:val="auto"/>
          <w:szCs w:val="24"/>
          <w:vertAlign w:val="superscript"/>
        </w:rPr>
        <w:t>47</w:t>
      </w:r>
      <w:r w:rsidR="00CA2966" w:rsidRPr="00610A40">
        <w:rPr>
          <w:rFonts w:cs="Times New Roman"/>
          <w:color w:val="auto"/>
          <w:szCs w:val="24"/>
        </w:rPr>
        <w:fldChar w:fldCharType="end"/>
      </w:r>
      <w:r w:rsidR="00CA2966" w:rsidRPr="00610A40">
        <w:rPr>
          <w:rFonts w:cs="Times New Roman"/>
          <w:color w:val="auto"/>
          <w:szCs w:val="24"/>
        </w:rPr>
        <w:t>. Both the covalent crosslinking of the polymer network and the hydrogen bonding interaction between random coils contribute to the special elastomeric properties of PGS. PGS has been considered as a next-</w:t>
      </w:r>
      <w:r w:rsidR="00CA2966" w:rsidRPr="00610A40">
        <w:rPr>
          <w:rFonts w:cs="Times New Roman"/>
          <w:color w:val="auto"/>
          <w:szCs w:val="24"/>
        </w:rPr>
        <w:lastRenderedPageBreak/>
        <w:t>generation biomaterial for soft tissue engineering, as its Young’s modulus matches that of native ligaments, blood vessels and human myocardium</w:t>
      </w:r>
      <w:r w:rsidR="00CA2966"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"10.1016/j.progpolymsci.2012.02.001", "ISBN" : "0079-6700", "ISSN" : "00796700", "abstract" : "Poly(glycerol sebacate) (PGS) is a biodegradable polymer increasingly used in a variety of biomedical applications. This polyester is prepared by polycondensation of glycerol and sebacic acid. PGS exhibits biocompatibility and biodegradability, both highly relevant properties in biomedical applications. PGS also involves cost effective production with the possibility of up scaling to industrial production. In addition, the mechanical properties and degradation kinetics of PGS can be tailored to match the requirements of intended applications by controlling curing time, curing temperature, reactants concentration and the degree of acrylation in acrylated PGS. Because of the flexible and elastomeric nature of PGS, its biomedical applications have mainly targeted soft tissue replacement and the engineering of soft tissues, such as cardiac muscle, blood, nerve, cartilage and retina. However, applications of PGS are being expanded to include drug delivery, tissue adhesive and hard tissue (i.e., bone) regeneration. The design and fabrication of PGS based devices for applications that mimic native physiological conditions are also being pursued. Novel designs range from accordion-like honeycomb structures for cardiac patches, gecko-like surfaces for tissue adhesives to PGS (nano) fibers for extra cellular matrix (ECM) like constructs; new design avenues are being investigated to meet the ever growing demand for replacement tissues and organs. In less than a decade PGS has become a material of great scrutiny and interest by the biomedical research community. In this review we consolidate the valuable existing knowledge in the fields of synthesis, properties and biomedical applications of PGS and PGS-related biomaterials and devices. \u00a9 2012 Elsevier Ltd.", "author" : [ { "dropping-particle" : "", "family" : "Rai", "given" : "Ranjana", "non-dropping-particle" : "", "parse-names" : false, "suffix" : "" }, { "dropping-particle" : "", "family" : "Tallawi", "given" : "Marwa", "non-dropping-particle" : "", "parse-names" : false, "suffix" : "" }, { "dropping-particle" : "", "family" : "Grigore", "given" : "Alexandra", "non-dropping-particle" : "", "parse-names" : false, "suffix" : "" }, { "dropping-particle" : "", "family" : "Boccaccini", "given" : "Aldo R.", "non-dropping-particle" : "", "parse-names" : false, "suffix" : "" } ], "container-title" : "Progress in Polymer Science", "id" : "ITEM-1", "issue" : "8", "issued" : { "date-parts" : [ [ "2012" ] ] }, "page" : "1051-1078", "publisher" : "Elsevier Ltd", "title" : "Synthesis, properties and biomedical applications of poly(glycerol sebacate) (PGS): A review", "type" : "article-journal", "volume" : "37" }, "uris" : [ "http://www.mendeley.com/documents/?uuid=0a8e702f-c378-4513-8906-ece6ca716a13" ] } ], "mendeley" : { "formattedCitation" : "&lt;sup&gt;44&lt;/sup&gt;", "plainTextFormattedCitation" : "44", "previouslyFormattedCitation" : "&lt;sup&gt;44&lt;/sup&gt;" }, "properties" : { "noteIndex" : 0 }, "schema" : "https://github.com/citation-style-language/schema/raw/master/csl-citation.json" }</w:instrText>
      </w:r>
      <w:r w:rsidR="00CA2966" w:rsidRPr="00610A40">
        <w:rPr>
          <w:rFonts w:cs="Times New Roman"/>
          <w:color w:val="auto"/>
          <w:szCs w:val="24"/>
        </w:rPr>
        <w:fldChar w:fldCharType="separate"/>
      </w:r>
      <w:r w:rsidR="00E907D0" w:rsidRPr="00610A40">
        <w:rPr>
          <w:rFonts w:cs="Times New Roman"/>
          <w:noProof/>
          <w:color w:val="auto"/>
          <w:szCs w:val="24"/>
          <w:vertAlign w:val="superscript"/>
        </w:rPr>
        <w:t>44</w:t>
      </w:r>
      <w:r w:rsidR="00CA2966" w:rsidRPr="00610A40">
        <w:rPr>
          <w:rFonts w:cs="Times New Roman"/>
          <w:color w:val="auto"/>
          <w:szCs w:val="24"/>
        </w:rPr>
        <w:fldChar w:fldCharType="end"/>
      </w:r>
      <w:r w:rsidR="00CA2966" w:rsidRPr="00610A40">
        <w:rPr>
          <w:rFonts w:cs="Times New Roman"/>
          <w:color w:val="auto"/>
          <w:szCs w:val="24"/>
          <w:vertAlign w:val="superscript"/>
        </w:rPr>
        <w:t>,</w:t>
      </w:r>
      <w:r w:rsidR="00CA2966"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"10.1007/s10853-010-4259-0", "ISBN" : "1085301042590", "ISSN" : "0022-2461", "author" : [ { "dropping-particle" : "", "family" : "Jaafar", "given" : "Israd H.", "non-dropping-particle" : "", "parse-names" : false, "suffix" : "" }, { "dropping-particle" : "", "family" : "Ammar", "given" : "Mohamed M.", "non-dropping-particle" : "", "parse-names" : false, "suffix" : "" }, { "dropping-particle" : "", "family" : "Jedlicka", "given" : "Sabrina S.", "non-dropping-particle" : "", "parse-names" : false, "suffix" : "" }, { "dropping-particle" : "", "family" : "Pearson", "given" : "Raymond a.", "non-dropping-particle" : "", "parse-names" : false, "suffix" : "" }, { "dropping-particle" : "", "family" : "Coulter", "given" : "John P.", "non-dropping-particle" : "", "parse-names" : false, "suffix" : "" } ], "container-title" : "Journal of Materials Science", "id" : "ITEM-1", "issue" : "9", "issued" : { "date-parts" : [ [ "2010" ] ] }, "page" : "2525-2529", "title" : "Spectroscopic evaluation, thermal, and thermomechanical characterization of poly(glycerol-sebacate) with variations in curing temperatures and durations", "type" : "article-journal", "volume" : "45" }, "uris" : [ "http://www.mendeley.com/documents/?uuid=ed8e7cf3-e963-4d11-84f6-20a52673169f" ] } ], "mendeley" : { "formattedCitation" : "&lt;sup&gt;48&lt;/sup&gt;", "plainTextFormattedCitation" : "48", "previouslyFormattedCitation" : "&lt;sup&gt;48&lt;/sup&gt;" }, "properties" : { "noteIndex" : 0 }, "schema" : "https://github.com/citation-style-language/schema/raw/master/csl-citation.json" }</w:instrText>
      </w:r>
      <w:r w:rsidR="00CA2966" w:rsidRPr="00610A40">
        <w:rPr>
          <w:rFonts w:cs="Times New Roman"/>
          <w:color w:val="auto"/>
          <w:szCs w:val="24"/>
        </w:rPr>
        <w:fldChar w:fldCharType="separate"/>
      </w:r>
      <w:r w:rsidR="00E907D0" w:rsidRPr="00610A40">
        <w:rPr>
          <w:rFonts w:cs="Times New Roman"/>
          <w:noProof/>
          <w:color w:val="auto"/>
          <w:szCs w:val="24"/>
          <w:vertAlign w:val="superscript"/>
        </w:rPr>
        <w:t>48</w:t>
      </w:r>
      <w:r w:rsidR="00CA2966" w:rsidRPr="00610A40">
        <w:rPr>
          <w:rFonts w:cs="Times New Roman"/>
          <w:color w:val="auto"/>
          <w:szCs w:val="24"/>
        </w:rPr>
        <w:fldChar w:fldCharType="end"/>
      </w:r>
      <w:r w:rsidR="00CA2966" w:rsidRPr="00610A40">
        <w:rPr>
          <w:rFonts w:cs="Times New Roman"/>
          <w:color w:val="auto"/>
          <w:szCs w:val="24"/>
        </w:rPr>
        <w:t>.</w:t>
      </w:r>
    </w:p>
    <w:p w14:paraId="53124597" w14:textId="77777777" w:rsidR="00CA2966" w:rsidRPr="00610A40" w:rsidRDefault="00CA2966" w:rsidP="00CA2966">
      <w:pPr>
        <w:rPr>
          <w:rFonts w:cs="Times New Roman"/>
          <w:color w:val="auto"/>
          <w:szCs w:val="24"/>
        </w:rPr>
      </w:pPr>
    </w:p>
    <w:p w14:paraId="7F04A2B2" w14:textId="68977EDA" w:rsidR="00CA2966" w:rsidRPr="00610A40" w:rsidRDefault="00CA2966" w:rsidP="00CA2966">
      <w:pPr>
        <w:rPr>
          <w:rFonts w:cs="Times New Roman"/>
          <w:color w:val="auto"/>
          <w:szCs w:val="24"/>
        </w:rPr>
      </w:pPr>
      <w:r w:rsidRPr="00610A40">
        <w:rPr>
          <w:rFonts w:cs="Times New Roman"/>
          <w:color w:val="auto"/>
          <w:szCs w:val="24"/>
        </w:rPr>
        <w:t xml:space="preserve">Beside elasticity, the biodegradation mechanism of PGS is another reason why it is attractive in tissue engineering. PGS degrades via surface erosion, allowing the implant geometry to be preserved and mechanical strength maintained. In contrast, many </w:t>
      </w:r>
      <w:proofErr w:type="gramStart"/>
      <w:r w:rsidRPr="00610A40">
        <w:rPr>
          <w:rFonts w:cs="Times New Roman"/>
          <w:color w:val="auto"/>
          <w:szCs w:val="24"/>
        </w:rPr>
        <w:t>polyesters</w:t>
      </w:r>
      <w:proofErr w:type="gramEnd"/>
      <w:r w:rsidRPr="00610A40">
        <w:rPr>
          <w:rFonts w:cs="Times New Roman"/>
          <w:color w:val="auto"/>
          <w:szCs w:val="24"/>
        </w:rPr>
        <w:t>, such as PLA, PLGA and PCL experience bulk degradation, leading to catastrophic and unpredictable loss in implant geometry and integrity.  The mechanical strength of PGS decreases markedly prior to mass loss</w:t>
      </w:r>
      <w:r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"10.1016/j.progpolymsci.2012.02.001", "ISBN" : "0079-6700", "ISSN" : "00796700", "abstract" : "Poly(glycerol sebacate) (PGS) is a biodegradable polymer increasingly used in a variety of biomedical applications. This polyester is prepared by polycondensation of glycerol and sebacic acid. PGS exhibits biocompatibility and biodegradability, both highly relevant properties in biomedical applications. PGS also involves cost effective production with the possibility of up scaling to industrial production. In addition, the mechanical properties and degradation kinetics of PGS can be tailored to match the requirements of intended applications by controlling curing time, curing temperature, reactants concentration and the degree of acrylation in acrylated PGS. Because of the flexible and elastomeric nature of PGS, its biomedical applications have mainly targeted soft tissue replacement and the engineering of soft tissues, such as cardiac muscle, blood, nerve, cartilage and retina. However, applications of PGS are being expanded to include drug delivery, tissue adhesive and hard tissue (i.e., bone) regeneration. The design and fabrication of PGS based devices for applications that mimic native physiological conditions are also being pursued. Novel designs range from accordion-like honeycomb structures for cardiac patches, gecko-like surfaces for tissue adhesives to PGS (nano) fibers for extra cellular matrix (ECM) like constructs; new design avenues are being investigated to meet the ever growing demand for replacement tissues and organs. In less than a decade PGS has become a material of great scrutiny and interest by the biomedical research community. In this review we consolidate the valuable existing knowledge in the fields of synthesis, properties and biomedical applications of PGS and PGS-related biomaterials and devices. \u00a9 2012 Elsevier Ltd.", "author" : [ { "dropping-particle" : "", "family" : "Rai", "given" : "Ranjana", "non-dropping-particle" : "", "parse-names" : false, "suffix" : "" }, { "dropping-particle" : "", "family" : "Tallawi", "given" : "Marwa", "non-dropping-particle" : "", "parse-names" : false, "suffix" : "" }, { "dropping-particle" : "", "family" : "Grigore", "given" : "Alexandra", "non-dropping-particle" : "", "parse-names" : false, "suffix" : "" }, { "dropping-particle" : "", "family" : "Boccaccini", "given" : "Aldo R.", "non-dropping-particle" : "", "parse-names" : false, "suffix" : "" } ], "container-title" : "Progress in Polymer Science", "id" : "ITEM-1", "issue" : "8", "issued" : { "date-parts" : [ [ "2012" ] ] }, "page" : "1051-1078", "publisher" : "Elsevier Ltd", "title" : "Synthesis, properties and biomedical applications of poly(glycerol sebacate) (PGS): A review", "type" : "article-journal", "volume" : "37" }, "uris" : [ "http://www.mendeley.com/documents/?uuid=0a8e702f-c378-4513-8906-ece6ca716a13" ] } ], "mendeley" : { "formattedCitation" : "&lt;sup&gt;44&lt;/sup&gt;", "plainTextFormattedCitation" : "44", "previouslyFormattedCitation" : "&lt;sup&gt;44&lt;/sup&gt;" }, "properties" : { "noteIndex" : 0 }, "schema" : "https://github.com/citation-style-language/schema/raw/master/csl-citation.json" }</w:instrText>
      </w:r>
      <w:r w:rsidRPr="00610A40">
        <w:rPr>
          <w:rFonts w:cs="Times New Roman"/>
          <w:color w:val="auto"/>
          <w:szCs w:val="24"/>
        </w:rPr>
        <w:fldChar w:fldCharType="separate"/>
      </w:r>
      <w:r w:rsidR="00E907D0" w:rsidRPr="00610A40">
        <w:rPr>
          <w:rFonts w:cs="Times New Roman"/>
          <w:noProof/>
          <w:color w:val="auto"/>
          <w:szCs w:val="24"/>
          <w:vertAlign w:val="superscript"/>
        </w:rPr>
        <w:t>44</w:t>
      </w:r>
      <w:r w:rsidRPr="00610A40">
        <w:rPr>
          <w:rFonts w:cs="Times New Roman"/>
          <w:color w:val="auto"/>
          <w:szCs w:val="24"/>
        </w:rPr>
        <w:fldChar w:fldCharType="end"/>
      </w:r>
      <w:r w:rsidRPr="00610A40">
        <w:rPr>
          <w:rFonts w:cs="Times New Roman"/>
          <w:color w:val="auto"/>
          <w:szCs w:val="24"/>
          <w:vertAlign w:val="superscript"/>
        </w:rPr>
        <w:t>,</w:t>
      </w:r>
      <w:r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"10.1002/pi.2996", "ISSN" : "1097-0126", "abstract" : "This review focuses on a new class of elastomers, namely poly[octanediol-co-(citric acid)-co-(sebacic acid)] (p(OCS)), synthesised from 1,8-octanediol, citric acid and sebacic acid in a catalyst-free polyesterification reaction. The review begins with a detailed description of the synthesis, characterisation and structure\u2013property\u2013performance relationship of some reported elastomers suitable for tissue engineering. The control of the physicochemical properties of the new p(OCS) by simple variation of initial monomer concentrations in polyesterification forms the pivotal part of the synthesis. As tissue engineering requires complex designs, thin films and porous three-dimensional structures of p(OCS) were fabricated to demonstrate their ease of processing. The fundamental material properties of p(OCS) are discussed for p(OCS) pre-polymers and final polymers. The elastomers exhibit versatility in mechanical properties, hydration and hydrolytic degradation, as determined by their chemical structure. Surface analysis of spin-coated p(OCS) suggests that the surface morphology, chemistry and concentration of the surface functional groups can be controlled simply by varying the initial citric acid/sebacic acid concentration in polyesterification. These tunable molecular architectures and material properties are crucial in biological interactions. The in vitro biocompatibility testing of p(OCS) with MG63 osteoblast-like cells suggests that p(OCS) is an excellent candidate for potential elastic biomaterials for tissue engineering applications without the need for any post-synthesis modification. Copyright \u00a9 2011 Society of Chemical Industry", "author" : [ { "dropping-particle" : "", "family" : "Djordjevic", "given" : "Ivan", "non-dropping-particle" : "", "parse-names" : false, "suffix" : "" }, { "dropping-particle" : "", "family" : "Choudhury", "given" : "Namita Roy", "non-dropping-particle" : "", "parse-names" : false, "suffix" : "" }, { "dropping-particle" : "", "family" : "Dutta", "given" : "Naba K", "non-dropping-particle" : "", "parse-names" : false, "suffix" : "" }, { "dropping-particle" : "", "family" : "Kumar", "given" : "Sunil", "non-dropping-particle" : "", "parse-names" : false, "suffix" : "" } ], "container-title" : "Polymer International", "id" : "ITEM-1", "issue" : "3", "issued" : { "date-parts" : [ [ "2011", "3", "1" ] ] }, "page" : "333-343", "publisher" : "John Wiley &amp; Sons, Ltd.", "title" : "Poly[octanediol-co-(citric acid)-co-(sebacic acid)] elastomers: novel bio-elastomers for tissue engineering", "type" : "article-journal", "volume" : "60" }, "uris" : [ "http://www.mendeley.com/documents/?uuid=ccc181bf-1b77-41db-915b-8debdc143c77" ] } ], "mendeley" : { "formattedCitation" : "&lt;sup&gt;49&lt;/sup&gt;", "plainTextFormattedCitation" : "49", "previouslyFormattedCitation" : "&lt;sup&gt;49&lt;/sup&gt;" }, "properties" : { "noteIndex" : 0 }, "schema" : "https://github.com/citation-style-language/schema/raw/master/csl-citation.json" }</w:instrText>
      </w:r>
      <w:r w:rsidRPr="00610A40">
        <w:rPr>
          <w:rFonts w:cs="Times New Roman"/>
          <w:color w:val="auto"/>
          <w:szCs w:val="24"/>
        </w:rPr>
        <w:fldChar w:fldCharType="separate"/>
      </w:r>
      <w:r w:rsidR="00E907D0" w:rsidRPr="00610A40">
        <w:rPr>
          <w:rFonts w:cs="Times New Roman"/>
          <w:noProof/>
          <w:color w:val="auto"/>
          <w:szCs w:val="24"/>
          <w:vertAlign w:val="superscript"/>
        </w:rPr>
        <w:t>49</w:t>
      </w:r>
      <w:r w:rsidRPr="00610A40">
        <w:rPr>
          <w:rFonts w:cs="Times New Roman"/>
          <w:color w:val="auto"/>
          <w:szCs w:val="24"/>
        </w:rPr>
        <w:fldChar w:fldCharType="end"/>
      </w:r>
      <w:r w:rsidRPr="00610A40">
        <w:rPr>
          <w:rFonts w:cs="Times New Roman"/>
          <w:bCs/>
          <w:color w:val="auto"/>
          <w:szCs w:val="24"/>
        </w:rPr>
        <w:t xml:space="preserve">. </w:t>
      </w:r>
      <w:r w:rsidRPr="00610A40">
        <w:rPr>
          <w:rFonts w:cs="Times New Roman"/>
          <w:color w:val="auto"/>
          <w:szCs w:val="24"/>
        </w:rPr>
        <w:t xml:space="preserve">The degradation rate of PGS correlates highly its degree of crosslinking. It is found that the in vitro degradation rate (soaking in culture medium) of PGS was 0.6 – 0.9 mm/month for those </w:t>
      </w:r>
      <w:proofErr w:type="spellStart"/>
      <w:r w:rsidRPr="00610A40">
        <w:rPr>
          <w:rFonts w:cs="Times New Roman"/>
          <w:color w:val="auto"/>
          <w:szCs w:val="24"/>
        </w:rPr>
        <w:t>crosslinked</w:t>
      </w:r>
      <w:proofErr w:type="spellEnd"/>
      <w:r w:rsidRPr="00610A40">
        <w:rPr>
          <w:rFonts w:cs="Times New Roman"/>
          <w:color w:val="auto"/>
          <w:szCs w:val="24"/>
        </w:rPr>
        <w:t xml:space="preserve"> for 2 days, and those PGS sheets </w:t>
      </w:r>
      <w:proofErr w:type="spellStart"/>
      <w:r w:rsidRPr="00610A40">
        <w:rPr>
          <w:rFonts w:cs="Times New Roman"/>
          <w:color w:val="auto"/>
          <w:szCs w:val="24"/>
        </w:rPr>
        <w:t>crosslinked</w:t>
      </w:r>
      <w:proofErr w:type="spellEnd"/>
      <w:r w:rsidRPr="00610A40">
        <w:rPr>
          <w:rFonts w:cs="Times New Roman"/>
          <w:color w:val="auto"/>
          <w:szCs w:val="24"/>
        </w:rPr>
        <w:t xml:space="preserve"> for 7 days displayed a lower degradation rate of 0.2 – 0.6 mm/month. The </w:t>
      </w:r>
      <w:r w:rsidRPr="00610A40">
        <w:rPr>
          <w:rFonts w:cs="Times New Roman"/>
          <w:i/>
          <w:color w:val="auto"/>
          <w:szCs w:val="24"/>
        </w:rPr>
        <w:t>in vivo</w:t>
      </w:r>
      <w:r w:rsidRPr="00610A40">
        <w:rPr>
          <w:rFonts w:cs="Times New Roman"/>
          <w:color w:val="auto"/>
          <w:szCs w:val="24"/>
        </w:rPr>
        <w:t xml:space="preserve"> degradation of PGS was found to range from 0.2 to 1.5 mm/month</w:t>
      </w:r>
      <w:r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"10.1016/j.biomaterials.2011.07.080", "ISSN" : "01429612", "author" : [ { "dropping-particle" : "", "family" : "Liang", "given" : "Shu-Ling", "non-dropping-particle" : "", "parse-names" : false, "suffix" : "" }, { "dropping-particle" : "", "family" : "Yang", "given" : "Xue-Yuan", "non-dropping-particle" : "", "parse-names" : false, "suffix" : "" }, { "dropping-particle" : "", "family" : "Fang", "given" : "Xi-Ya", "non-dropping-particle" : "", "parse-names" : false, "suffix" : "" }, { "dropping-particle" : "", "family" : "Cook", "given" : "Wayne D.", "non-dropping-particle" : "", "parse-names" : false, "suffix" : "" }, { "dropping-particle" : "", "family" : "Thouas", "given" : "George A.", "non-dropping-particle" : "", "parse-names" : false, "suffix" : "" }, { "dropping-particle" : "", "family" : "Chen", "given" : "Qi-Zhi", "non-dropping-particle" : "", "parse-names" : false, "suffix" : "" } ], "container-title" : "Biomaterials", "id" : "ITEM-1", "issue" : "33", "issued" : { "date-parts" : [ [ "2011", "11" ] ] }, "page" : "8486-8496", "title" : "In\u00a0Vitro enzymatic degradation of poly (glycerol sebacate)-based materials", "type" : "article-journal", "volume" : "32" }, "uris" : [ "http://www.mendeley.com/documents/?uuid=77455d74-baf4-359f-b383-0966e5915bfb", "http://www.mendeley.com/documents/?uuid=bd8309d9-dd98-40d4-9236-ffc1ab61eef1" ] } ], "mendeley" : { "formattedCitation" : "&lt;sup&gt;50&lt;/sup&gt;", "plainTextFormattedCitation" : "50", "previouslyFormattedCitation" : "&lt;sup&gt;50&lt;/sup&gt;" }, "properties" : { "noteIndex" : 0 }, "schema" : "https://github.com/citation-style-language/schema/raw/master/csl-citation.json" }</w:instrText>
      </w:r>
      <w:r w:rsidRPr="00610A40">
        <w:rPr>
          <w:rFonts w:cs="Times New Roman"/>
          <w:color w:val="auto"/>
          <w:szCs w:val="24"/>
        </w:rPr>
        <w:fldChar w:fldCharType="separate"/>
      </w:r>
      <w:r w:rsidR="00E907D0" w:rsidRPr="00610A40">
        <w:rPr>
          <w:rFonts w:cs="Times New Roman"/>
          <w:noProof/>
          <w:color w:val="auto"/>
          <w:szCs w:val="24"/>
          <w:vertAlign w:val="superscript"/>
        </w:rPr>
        <w:t>50</w:t>
      </w:r>
      <w:r w:rsidRPr="00610A40">
        <w:rPr>
          <w:rFonts w:cs="Times New Roman"/>
          <w:color w:val="auto"/>
          <w:szCs w:val="24"/>
        </w:rPr>
        <w:fldChar w:fldCharType="end"/>
      </w:r>
      <w:r w:rsidRPr="00610A40">
        <w:rPr>
          <w:rFonts w:cs="Times New Roman"/>
          <w:color w:val="auto"/>
          <w:szCs w:val="24"/>
        </w:rPr>
        <w:t xml:space="preserve">. PGS as a biomaterial also shows good biocompatibility with cells. The degradation products of PGS are glycerol and </w:t>
      </w:r>
      <w:proofErr w:type="spellStart"/>
      <w:r w:rsidRPr="00610A40">
        <w:rPr>
          <w:rFonts w:cs="Times New Roman"/>
          <w:color w:val="auto"/>
          <w:szCs w:val="24"/>
        </w:rPr>
        <w:t>sebacic</w:t>
      </w:r>
      <w:proofErr w:type="spellEnd"/>
      <w:r w:rsidRPr="00610A40">
        <w:rPr>
          <w:rFonts w:cs="Times New Roman"/>
          <w:color w:val="auto"/>
          <w:szCs w:val="24"/>
        </w:rPr>
        <w:t xml:space="preserve"> acid, which are natural metabolites in the human body. Although PGS has not been approved by FDA, some copolymers containing glycerol and </w:t>
      </w:r>
      <w:proofErr w:type="spellStart"/>
      <w:r w:rsidRPr="00610A40">
        <w:rPr>
          <w:rFonts w:cs="Times New Roman"/>
          <w:color w:val="auto"/>
          <w:szCs w:val="24"/>
        </w:rPr>
        <w:t>sebacic</w:t>
      </w:r>
      <w:proofErr w:type="spellEnd"/>
      <w:r w:rsidRPr="00610A40">
        <w:rPr>
          <w:rFonts w:cs="Times New Roman"/>
          <w:color w:val="auto"/>
          <w:szCs w:val="24"/>
        </w:rPr>
        <w:t xml:space="preserve"> acid have been approved for certain medical applications</w:t>
      </w:r>
      <w:r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"10.1016/j.biomaterials.2011.07.080", "ISSN" : "01429612", "author" : [ { "dropping-particle" : "", "family" : "Liang", "given" : "Shu-Ling", "non-dropping-particle" : "", "parse-names" : false, "suffix" : "" }, { "dropping-particle" : "", "family" : "Yang", "given" : "Xue-Yuan", "non-dropping-particle" : "", "parse-names" : false, "suffix" : "" }, { "dropping-particle" : "", "family" : "Fang", "given" : "Xi-Ya", "non-dropping-particle" : "", "parse-names" : false, "suffix" : "" }, { "dropping-particle" : "", "family" : "Cook", "given" : "Wayne D.", "non-dropping-particle" : "", "parse-names" : false, "suffix" : "" }, { "dropping-particle" : "", "family" : "Thouas", "given" : "George A.", "non-dropping-particle" : "", "parse-names" : false, "suffix" : "" }, { "dropping-particle" : "", "family" : "Chen", "given" : "Qi-Zhi", "non-dropping-particle" : "", "parse-names" : false, "suffix" : "" } ], "container-title" : "Biomaterials", "id" : "ITEM-1", "issue" : "33", "issued" : { "date-parts" : [ [ "2011", "11" ] ] }, "page" : "8486-8496", "title" : "In\u00a0Vitro enzymatic degradation of poly (glycerol sebacate)-based materials", "type" : "article-journal", "volume" : "32" }, "uris" : [ "http://www.mendeley.com/documents/?uuid=bd8309d9-dd98-40d4-9236-ffc1ab61eef1", "http://www.mendeley.com/documents/?uuid=77455d74-baf4-359f-b383-0966e5915bfb" ] } ], "mendeley" : { "formattedCitation" : "&lt;sup&gt;50&lt;/sup&gt;", "plainTextFormattedCitation" : "50", "previouslyFormattedCitation" : "&lt;sup&gt;50&lt;/sup&gt;" }, "properties" : { "noteIndex" : 0 }, "schema" : "https://github.com/citation-style-language/schema/raw/master/csl-citation.json" }</w:instrText>
      </w:r>
      <w:r w:rsidRPr="00610A40">
        <w:rPr>
          <w:rFonts w:cs="Times New Roman"/>
          <w:color w:val="auto"/>
          <w:szCs w:val="24"/>
        </w:rPr>
        <w:fldChar w:fldCharType="separate"/>
      </w:r>
      <w:r w:rsidR="00E907D0" w:rsidRPr="00610A40">
        <w:rPr>
          <w:rFonts w:cs="Times New Roman"/>
          <w:noProof/>
          <w:color w:val="auto"/>
          <w:szCs w:val="24"/>
          <w:vertAlign w:val="superscript"/>
        </w:rPr>
        <w:t>50</w:t>
      </w:r>
      <w:r w:rsidRPr="00610A40">
        <w:rPr>
          <w:rFonts w:cs="Times New Roman"/>
          <w:color w:val="auto"/>
          <w:szCs w:val="24"/>
        </w:rPr>
        <w:fldChar w:fldCharType="end"/>
      </w:r>
      <w:r w:rsidRPr="00610A40">
        <w:rPr>
          <w:rFonts w:cs="Times New Roman"/>
          <w:color w:val="auto"/>
          <w:szCs w:val="24"/>
        </w:rPr>
        <w:t xml:space="preserve">. Moreover, there are no catalysts or additives applied during PGS polymerization, which eliminates potential toxicity in vivo applications.  </w:t>
      </w:r>
    </w:p>
    <w:p w14:paraId="6FE275A1" w14:textId="77777777" w:rsidR="00CA2966" w:rsidRPr="00610A40" w:rsidRDefault="00CA2966" w:rsidP="00CA2966">
      <w:pPr>
        <w:rPr>
          <w:color w:val="auto"/>
          <w:szCs w:val="24"/>
        </w:rPr>
      </w:pPr>
    </w:p>
    <w:p w14:paraId="5DC7A223" w14:textId="6ADAD17A" w:rsidR="00CA2966" w:rsidRPr="00610A40" w:rsidRDefault="00CA2966" w:rsidP="00CA2966">
      <w:pPr>
        <w:rPr>
          <w:color w:val="auto"/>
          <w:szCs w:val="24"/>
        </w:rPr>
      </w:pPr>
      <w:r w:rsidRPr="00610A40">
        <w:rPr>
          <w:color w:val="auto"/>
          <w:szCs w:val="24"/>
        </w:rPr>
        <w:t xml:space="preserve">A major challenge in the design of a biodegradable elastomer is to achieve </w:t>
      </w:r>
      <w:proofErr w:type="spellStart"/>
      <w:r w:rsidRPr="00610A40">
        <w:rPr>
          <w:color w:val="auto"/>
          <w:szCs w:val="24"/>
        </w:rPr>
        <w:t>cytocompatibility</w:t>
      </w:r>
      <w:proofErr w:type="spellEnd"/>
      <w:r w:rsidRPr="00610A40">
        <w:rPr>
          <w:color w:val="auto"/>
          <w:szCs w:val="24"/>
        </w:rPr>
        <w:t xml:space="preserve"> while preserving good elasticity.  Fully </w:t>
      </w:r>
      <w:proofErr w:type="spellStart"/>
      <w:r w:rsidRPr="00610A40">
        <w:rPr>
          <w:color w:val="auto"/>
          <w:szCs w:val="24"/>
        </w:rPr>
        <w:t>crosslinked</w:t>
      </w:r>
      <w:proofErr w:type="spellEnd"/>
      <w:r w:rsidRPr="00610A40">
        <w:rPr>
          <w:color w:val="auto"/>
          <w:szCs w:val="24"/>
        </w:rPr>
        <w:t xml:space="preserve"> PGS are highly biocompatible but they are brittle and inelastic</w:t>
      </w:r>
      <w:r w:rsidRPr="00610A40">
        <w:rPr>
          <w:color w:val="auto"/>
          <w:szCs w:val="24"/>
        </w:rPr>
        <w:fldChar w:fldCharType="begin" w:fldLock="1"/>
      </w:r>
      <w:r w:rsidR="00565E2A" w:rsidRPr="00610A40">
        <w:rPr>
          <w:color w:val="auto"/>
          <w:szCs w:val="24"/>
        </w:rPr>
        <w:instrText>ADDIN CSL_CITATION { "citationItems" : [ { "id" : "ITEM-1", "itemData" : { "DOI" : "10.1016/j.progpolymsci.2012.05.003", "ISSN" : "00796700",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"Progress in Polymer Science", "id" : "ITEM-1", "issue" : "3-4", "issued" : { "date-parts" : [ [ "2013" ] ] }, "page" : "584-671", "publisher" : "Elsevier Ltd", "title" : "Elastomeric Biomaterials for Tissue Engineering", "type" : "article-journal", "volume" : "38" }, "uris" : [ "http://www.mendeley.com/documents/?uuid=2652891f-87cb-422a-92c4-f901ca24dc96" ] } ], "mendeley" : { "formattedCitation" : "&lt;sup&gt;1&lt;/sup&gt;", "plainTextFormattedCitation" : "1", "previouslyFormattedCitation" : "&lt;sup&gt;1&lt;/sup&gt;" }, "properties" : { "noteIndex" : 0 }, "schema" : "https://github.com/citation-style-language/schema/raw/master/csl-citation.json" }</w:instrText>
      </w:r>
      <w:r w:rsidRPr="00610A40">
        <w:rPr>
          <w:color w:val="auto"/>
          <w:szCs w:val="24"/>
        </w:rPr>
        <w:fldChar w:fldCharType="separate"/>
      </w:r>
      <w:r w:rsidRPr="00610A40">
        <w:rPr>
          <w:noProof/>
          <w:color w:val="auto"/>
          <w:szCs w:val="24"/>
          <w:vertAlign w:val="superscript"/>
        </w:rPr>
        <w:t>1</w:t>
      </w:r>
      <w:r w:rsidRPr="00610A40">
        <w:rPr>
          <w:color w:val="auto"/>
          <w:szCs w:val="24"/>
        </w:rPr>
        <w:fldChar w:fldCharType="end"/>
      </w:r>
      <w:r w:rsidRPr="00610A40">
        <w:rPr>
          <w:color w:val="auto"/>
          <w:szCs w:val="24"/>
        </w:rPr>
        <w:t xml:space="preserve">. This can be attributed to the less rapid accumulation of toxic degradation products when more ester linkages have to be cleaved in a fully </w:t>
      </w:r>
      <w:proofErr w:type="spellStart"/>
      <w:r w:rsidRPr="00610A40">
        <w:rPr>
          <w:color w:val="auto"/>
          <w:szCs w:val="24"/>
        </w:rPr>
        <w:t>crosslinked</w:t>
      </w:r>
      <w:proofErr w:type="spellEnd"/>
      <w:r w:rsidRPr="00610A40">
        <w:rPr>
          <w:color w:val="auto"/>
          <w:szCs w:val="24"/>
        </w:rPr>
        <w:t xml:space="preserve"> polymer. Alternative </w:t>
      </w:r>
      <w:r w:rsidRPr="00610A40">
        <w:rPr>
          <w:color w:val="auto"/>
          <w:szCs w:val="24"/>
        </w:rPr>
        <w:lastRenderedPageBreak/>
        <w:t>chemical approaches are required to decrease the rate of enzymatic hydrolysis. A slower degradation can better match tissue recovery rates which could be in months and years</w:t>
      </w:r>
      <w:r w:rsidRPr="00610A40">
        <w:rPr>
          <w:color w:val="auto"/>
          <w:szCs w:val="24"/>
        </w:rPr>
        <w:fldChar w:fldCharType="begin" w:fldLock="1"/>
      </w:r>
      <w:r w:rsidR="00565E2A" w:rsidRPr="00610A40">
        <w:rPr>
          <w:color w:val="auto"/>
          <w:szCs w:val="24"/>
        </w:rPr>
        <w:instrText>ADDIN CSL_CITATION { "citationItems" : [ { "id" : "ITEM-1", "itemData" : { "DOI" : "10.1016/j.progpolymsci.2012.05.003", "ISSN" : "00796700",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"Progress in Polymer Science", "id" : "ITEM-1", "issue" : "3-4", "issued" : { "date-parts" : [ [ "2013" ] ] }, "page" : "584-671", "publisher" : "Elsevier Ltd", "title" : "Elastomeric Biomaterials for Tissue Engineering", "type" : "article-journal", "volume" : "38" }, "uris" : [ "http://www.mendeley.com/documents/?uuid=2652891f-87cb-422a-92c4-f901ca24dc96" ] } ], "mendeley" : { "formattedCitation" : "&lt;sup&gt;1&lt;/sup&gt;", "plainTextFormattedCitation" : "1", "previouslyFormattedCitation" : "&lt;sup&gt;1&lt;/sup&gt;" }, "properties" : { "noteIndex" : 0 }, "schema" : "https://github.com/citation-style-language/schema/raw/master/csl-citation.json" }</w:instrText>
      </w:r>
      <w:r w:rsidRPr="00610A40">
        <w:rPr>
          <w:color w:val="auto"/>
          <w:szCs w:val="24"/>
        </w:rPr>
        <w:fldChar w:fldCharType="separate"/>
      </w:r>
      <w:r w:rsidRPr="00610A40">
        <w:rPr>
          <w:noProof/>
          <w:color w:val="auto"/>
          <w:szCs w:val="24"/>
          <w:vertAlign w:val="superscript"/>
        </w:rPr>
        <w:t>1</w:t>
      </w:r>
      <w:r w:rsidRPr="00610A40">
        <w:rPr>
          <w:color w:val="auto"/>
          <w:szCs w:val="24"/>
        </w:rPr>
        <w:fldChar w:fldCharType="end"/>
      </w:r>
      <w:r w:rsidRPr="00610A40">
        <w:rPr>
          <w:color w:val="auto"/>
          <w:szCs w:val="24"/>
        </w:rPr>
        <w:t>. PGS can be copolymerized with other polyesters</w:t>
      </w:r>
      <w:r w:rsidRPr="00610A40">
        <w:rPr>
          <w:color w:val="auto"/>
          <w:szCs w:val="24"/>
        </w:rPr>
        <w:fldChar w:fldCharType="begin" w:fldLock="1"/>
      </w:r>
      <w:r w:rsidR="00565E2A" w:rsidRPr="00610A40">
        <w:rPr>
          <w:color w:val="auto"/>
          <w:szCs w:val="24"/>
        </w:rPr>
        <w:instrText>ADDIN CSL_CITATION { "citationItems" : [ { "id" : "ITEM-1", "itemData" : { "DOI" : "10.1039/C1SM05350G", "ISSN" : "1744-683X", "abstract" : "Surgical sealants are currently used in conjunction with sutures to reduce the incidence of air or fluid leaks. Although fibrin and collagen sealants can effectively promote wound healing, there are serious concerns about blood-borne virus contamination. Hence, synthetic sealants have been considered a safer alternative. In this work, a new family of synthetic surgical sealant copolymers were derived from poly(glycerol sebacate) (PGS) and lactic acid (LA). The newly developed PGS-co-LA tissue sealants had significantly higher adhesive strength than either fibrin sealants or synthetic PleuraSeal[trade mark sign]. Secondly, the addition of lactic acid to PGS significantly improved the cytocompatibility of the materials, compared with pure PGS. Thirdly, the new sealants were able to be pasted in liquid form at [similar]45 [degree]C, which subsequently solidified into a soft wax-like patch at body temperature. These properties make the PGS-co-LA materials promising candidates for soft tissue sealants.",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"Soft Matter", "id" : "ITEM-1", "issue" : "14", "issued" : { "date-parts" : [ [ "2011" ] ] }, "page" : "6484-6492", "publisher" : "The Royal Society of Chemistry", "title" : "Synthesis and characterisation of poly(glycerol sebacate)-co-lactic acid as surgical sealants", "type" : "article-journal", "volume" : "7" }, "uris" : [ "http://www.mendeley.com/documents/?uuid=10b965e8-0ef9-48a5-9318-d0b73a81d19a" ] } ], "mendeley" : { "formattedCitation" : "&lt;sup&gt;51&lt;/sup&gt;", "plainTextFormattedCitation" : "51", "previouslyFormattedCitation" : "&lt;sup&gt;51&lt;/sup&gt;"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51</w:t>
      </w:r>
      <w:r w:rsidRPr="00610A40">
        <w:rPr>
          <w:color w:val="auto"/>
          <w:szCs w:val="24"/>
        </w:rPr>
        <w:fldChar w:fldCharType="end"/>
      </w:r>
      <w:r w:rsidRPr="00610A40">
        <w:rPr>
          <w:color w:val="auto"/>
          <w:szCs w:val="24"/>
        </w:rPr>
        <w:t xml:space="preserve"> or made into a composite. For example, alkaline bioactive micron-sized </w:t>
      </w:r>
      <w:proofErr w:type="spellStart"/>
      <w:r w:rsidRPr="00610A40">
        <w:rPr>
          <w:color w:val="auto"/>
          <w:szCs w:val="24"/>
        </w:rPr>
        <w:t>Bioglass</w:t>
      </w:r>
      <w:proofErr w:type="spellEnd"/>
      <w:r w:rsidRPr="00610A40">
        <w:rPr>
          <w:color w:val="auto"/>
          <w:szCs w:val="24"/>
        </w:rPr>
        <w:t>® filler has been shown to enhance both mechanical properties and biocompatibility</w:t>
      </w:r>
      <w:r w:rsidRPr="00610A40">
        <w:rPr>
          <w:color w:val="auto"/>
          <w:szCs w:val="24"/>
        </w:rPr>
        <w:fldChar w:fldCharType="begin" w:fldLock="1"/>
      </w:r>
      <w:r w:rsidR="00565E2A" w:rsidRPr="00610A40">
        <w:rPr>
          <w:color w:val="auto"/>
          <w:szCs w:val="24"/>
        </w:rPr>
        <w:instrText>ADDIN CSL_CITATION { "citationItems" : [ { "id" : "ITEM-1", "itemData" : { "DOI" : "http://dx.doi.org/10.1016/j.biomaterials.2010.07.105", "ISSN" : "0142-9612", "abstract" : "Biodegradable elastomeric materials have gained much recent attention in the field of soft tissue engineering. Poly(glycerol sebacate) (PGS) is one of a new family of elastomers which are promising candidates used for soft tissue engineering. However, PGS has a limited range of mechanical properties and has drawbacks, such as cytotoxicity caused by the acidic degradation products of very soft PGS and degradation kinetics that are too fast in vivo to provide sufficient mechanical support to the tissue. However, the development of PGS/based elastomeric composites containing alkaline bioactive fillers could be a method for addressing these drawbacks and thus may pave the way towards wide clinical applications. In this study, we synthesized a new PGS composite system consisting of a micron-sized Bioglass\u00ae filler. In addition to much improved cytocompatibility, the PGS/Bioglass\u00ae composites demonstrated three remarkable mechanical properties. First, contrary to previous reports, the addition of microsized Bioglass\u00ae increases the elongation at break from 160 to 550%, while enhancing the Young\u2019s modulus of the composites by up to a factor of four. Second, the modulus of the PGS/Bioglass\u00ae composites drops abruptly in a physiological environment (culture medium), and the level of drop can be tuned such that the addition of Bioglass\u00ae does not harden the composite in vivo and thus the desired compliance required for soft tissue engineering are maintained. Third, after the abrupt drop in modulus, the composites exhibited mechanical stability over an extended period. This latter observation is an important feature of the new composites, because they can provide reliable mechanical support to damaged tissues during the lag phase of the healing process. These mechanical properties, together with improved biocompatibility, make this family of composites better candidates than plastic and related composite biomaterials for the applications of tissue engineering.", "author" : [ { "dropping-particle" : "", "family" : "Liang", "given" : "Shu-Ling", "non-dropping-particle" : "", "parse-names" : false, "suffix" : "" }, { "dropping-particle" : "", "family" : "Cook", "given" : "Wayne D", "non-dropping-particle" : "", "parse-names" : false, "suffix" : "" }, { "dropping-particle" : "", "family" : "Thouas", "given" : "George A", "non-dropping-particle" : "", "parse-names" : false, "suffix" : "" }, { "dropping-particle" : "", "family" : "Chen", "given" : "Qi-Zhi", "non-dropping-particle" : "", "parse-names" : false, "suffix" : "" } ], "container-title" : "Biomaterials", "id" : "ITEM-1", "issue" : "33", "issued" : { "date-parts" : [ [ "2010", "11" ] ] }, "page" : "8516-8529", "title" : "The mechanical characteristics and in vitro biocompatibility of poly(glycerol sebacate)-Bioglass\u00ae elastomeric composites", "type" : "article-journal", "volume" : "31" }, "uris" : [ "http://www.mendeley.com/documents/?uuid=fd4e236f-a5a2-4e91-9cac-dda1715f1558" ] } ], "mendeley" : { "formattedCitation" : "&lt;sup&gt;52&lt;/sup&gt;", "plainTextFormattedCitation" : "52", "previouslyFormattedCitation" : "&lt;sup&gt;52&lt;/sup&gt;"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52</w:t>
      </w:r>
      <w:r w:rsidRPr="00610A40">
        <w:rPr>
          <w:color w:val="auto"/>
          <w:szCs w:val="24"/>
        </w:rPr>
        <w:fldChar w:fldCharType="end"/>
      </w:r>
      <w:r w:rsidRPr="00610A40">
        <w:rPr>
          <w:color w:val="auto"/>
          <w:szCs w:val="24"/>
        </w:rPr>
        <w:t>.</w:t>
      </w:r>
      <w:r w:rsidRPr="00610A40">
        <w:rPr>
          <w:b/>
          <w:bCs/>
          <w:color w:val="auto"/>
          <w:szCs w:val="24"/>
        </w:rPr>
        <w:t> </w:t>
      </w:r>
      <w:r w:rsidRPr="00610A40">
        <w:rPr>
          <w:color w:val="auto"/>
          <w:szCs w:val="24"/>
        </w:rPr>
        <w:t>However, </w:t>
      </w:r>
      <w:proofErr w:type="spellStart"/>
      <w:r w:rsidRPr="00610A40">
        <w:rPr>
          <w:color w:val="auto"/>
          <w:szCs w:val="24"/>
        </w:rPr>
        <w:t>Pomerantseva</w:t>
      </w:r>
      <w:proofErr w:type="spellEnd"/>
      <w:r w:rsidRPr="00610A40">
        <w:rPr>
          <w:color w:val="auto"/>
          <w:szCs w:val="24"/>
        </w:rPr>
        <w:t xml:space="preserve"> et al. showed that PGS implants in vivo do not differ much in degradation rate and biocompatibility when different crosslinking densities were used. Histological examination revealed good overall biocompatibility across different samples</w:t>
      </w:r>
      <w:r w:rsidRPr="00610A40">
        <w:rPr>
          <w:color w:val="auto"/>
          <w:szCs w:val="24"/>
        </w:rPr>
        <w:fldChar w:fldCharType="begin" w:fldLock="1"/>
      </w:r>
      <w:r w:rsidR="00565E2A" w:rsidRPr="00610A40">
        <w:rPr>
          <w:color w:val="auto"/>
          <w:szCs w:val="24"/>
        </w:rPr>
        <w:instrText>ADDIN CSL_CITATION { "citationItems" : [ { "id" : "ITEM-1", "itemData" : { "DOI" : "10.1002/jbm.a.32327", "ISBN" : "1549-3296", "ISSN" : "15493296", "PMID" : "19107788", "abstract" : "Poly(glycerol sebacate) (PGS), a promising scaffold material for soft tissue engineering applications, is a soft, tough elastomer with excellent biocompatibility. However, the rapid in vivo degradation rate of PGS limits its use as a scaffold material. To determine the impact of crosslink density on degradation rate, a family of PGS materials was synthesized by incrementally increasing the curing time from 42 to 144 h, at 120 degrees C and 10 mTorr vacuum. As expected, PGS became a stiffer, tougher, and stronger elastomer with increasing curing time. PGS disks were subcutaneously implanted into rats and periodically harvested; only mild tissue responses were observed and the biocompatibility remained excellent. Regardless of crosslink density, surface erosion degradation was observed. The sample dimensions linearly decreased with implantation time, and the mass loss rates were constant after 1-week implantation. As surface erosion degradation frequently correlates with enzymatic digestion, parallel in vitro digestion studies were conducted in lipase solutions which hydrolyze ester bonds. Enzymatic digestion played a significant role in degrading PGS, and the mass loss rates were not a function of curing time. Alternative chemistry approaches will be required to decrease the enzymatic hydrolysis rate of the ester bonds in PGS polymers.", "author" : [ { "dropping-particle" : "", "family" : "Pomerantseva", "given" : "Irina", "non-dropping-particle" : "", "parse-names" : false, "suffix" : "" }, { "dropping-particle" : "", "family" : "Krebs", "given" : "Nicholas", "non-dropping-particle" : "", "parse-names" : false, "suffix" : "" }, { "dropping-particle" : "", "family" : "Hart", "given" : "Alison", "non-dropping-particle" : "", "parse-names" : false, "suffix" : "" }, { "dropping-particle" : "", "family" : "Neville", "given" : "Craig M.", "non-dropping-particle" : "", "parse-names" : false, "suffix" : "" }, { "dropping-particle" : "", "family" : "Huang", "given" : "Albert Y.", "non-dropping-particle" : "", "parse-names" : false, "suffix" : "" }, { "dropping-particle" : "", "family" : "Sundback", "given" : "Cathryn a.", "non-dropping-particle" : "", "parse-names" : false, "suffix" : "" } ], "container-title" : "Journal of Biomedical Materials Research - Part A", "id" : "ITEM-1", "issue" : "4", "issued" : { "date-parts" : [ [ "2009" ] ] }, "page" : "1038-1047", "title" : "Degradation behavior of poly(glycerol sebacate)", "type" : "article-journal", "volume" : "91" }, "uris" : [ "http://www.mendeley.com/documents/?uuid=bafa54d0-b008-4ba7-ad57-045e13da1993" ] } ], "mendeley" : { "formattedCitation" : "&lt;sup&gt;53&lt;/sup&gt;", "plainTextFormattedCitation" : "53", "previouslyFormattedCitation" : "&lt;sup&gt;53&lt;/sup&gt;"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53</w:t>
      </w:r>
      <w:r w:rsidRPr="00610A40">
        <w:rPr>
          <w:color w:val="auto"/>
          <w:szCs w:val="24"/>
        </w:rPr>
        <w:fldChar w:fldCharType="end"/>
      </w:r>
      <w:r w:rsidRPr="00610A40">
        <w:rPr>
          <w:color w:val="auto"/>
          <w:szCs w:val="24"/>
        </w:rPr>
        <w:t>. Interestingly, PGS elastomer also displays excellent shape-memory behavior which would be very useful in applications such as vascular stents and orthodontic wires. At room temperature, PGS is a straight rubber strip at its permanent form. The sample is then deformed by external source, cooled to -40</w:t>
      </w:r>
      <w:r w:rsidRPr="00610A40">
        <w:rPr>
          <w:color w:val="auto"/>
          <w:szCs w:val="24"/>
          <w:vertAlign w:val="superscript"/>
        </w:rPr>
        <w:t>o</w:t>
      </w:r>
      <w:r w:rsidRPr="00610A40">
        <w:rPr>
          <w:color w:val="auto"/>
          <w:szCs w:val="24"/>
        </w:rPr>
        <w:t>C and the force removed. This deformed shape is stable and returns to the original shape when the room temperature is restored again. Shape restoration occurs within 20s and the recovery ratio is 99.5%</w:t>
      </w:r>
      <w:r w:rsidRPr="00610A40">
        <w:rPr>
          <w:color w:val="auto"/>
          <w:szCs w:val="24"/>
        </w:rPr>
        <w:fldChar w:fldCharType="begin" w:fldLock="1"/>
      </w:r>
      <w:r w:rsidR="00565E2A" w:rsidRPr="00610A40">
        <w:rPr>
          <w:color w:val="auto"/>
          <w:szCs w:val="24"/>
        </w:rPr>
        <w:instrText>ADDIN CSL_CITATION { "citationItems" : [ { "id" : "ITEM-1", "itemData" : { "DOI" : "10.1016/j.matlet.2007.11.042", "ISBN" : "0167-577X", "ISSN" : "0167577X", "abstract" : "In the present work, we report the excellent shape-memory behavior of Poly (glycerol-sebacate) (PGS) elastomer for the first time. It is found that the crosslinked, three-dimensional networks of the PGS acting as fixed phase and the amorphous phase of the PGS acting as reversible phase are the two necessary conditions for PGS with shape memory behavior. The response temperature of shape memory is dependent on the glass transition temperature of PGS. The PGS polymer developed has an excellent shape-memory effect, having a shape-memory ratio of above 99.5%. ?? 2007 Elsevier B.V. All rights reserved.", "author" : [ { "dropping-particle" : "", "family" : "Cai", "given" : "Wei", "non-dropping-particle" : "", "parse-names" : false, "suffix" : "" }, { "dropping-particle" : "", "family" : "Liu", "given" : "Lili", "non-dropping-particle" : "", "parse-names" : false, "suffix" : "" } ], "container-title" : "Materials Letters", "id" : "ITEM-1", "issue" : "14", "issued" : { "date-parts" : [ [ "2008" ] ] }, "page" : "2175-2177", "title" : "Shape-memory effect of poly (glycerol-sebacate) elastomer", "type" : "article-journal", "volume" : "62" }, "uris" : [ "http://www.mendeley.com/documents/?uuid=a53e9af1-1afc-4e38-8d5a-f98fca8ce7b1" ] } ], "mendeley" : { "formattedCitation" : "&lt;sup&gt;54&lt;/sup&gt;", "plainTextFormattedCitation" : "54", "previouslyFormattedCitation" : "&lt;sup&gt;54&lt;/sup&gt;"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54</w:t>
      </w:r>
      <w:r w:rsidRPr="00610A40">
        <w:rPr>
          <w:color w:val="auto"/>
          <w:szCs w:val="24"/>
        </w:rPr>
        <w:fldChar w:fldCharType="end"/>
      </w:r>
      <w:r w:rsidRPr="00610A40">
        <w:rPr>
          <w:color w:val="auto"/>
          <w:szCs w:val="24"/>
        </w:rPr>
        <w:t>.</w:t>
      </w:r>
      <w:r w:rsidRPr="00610A40">
        <w:rPr>
          <w:b/>
          <w:bCs/>
          <w:color w:val="auto"/>
          <w:szCs w:val="24"/>
        </w:rPr>
        <w:t> </w:t>
      </w:r>
    </w:p>
    <w:p w14:paraId="4EA41445" w14:textId="16EA602B" w:rsidR="00CA2966" w:rsidRPr="00610A40" w:rsidRDefault="00CA2966" w:rsidP="00CA2966">
      <w:pPr>
        <w:pStyle w:val="Heading2"/>
        <w:rPr>
          <w:sz w:val="24"/>
          <w:szCs w:val="24"/>
        </w:rPr>
      </w:pPr>
      <w:r w:rsidRPr="00610A40">
        <w:rPr>
          <w:sz w:val="24"/>
          <w:szCs w:val="24"/>
        </w:rPr>
        <w:t xml:space="preserve">2.4 </w:t>
      </w:r>
      <w:r w:rsidR="00990A40" w:rsidRPr="00610A40">
        <w:rPr>
          <w:sz w:val="24"/>
          <w:szCs w:val="24"/>
        </w:rPr>
        <w:t>Poly (</w:t>
      </w:r>
      <w:proofErr w:type="spellStart"/>
      <w:r w:rsidRPr="00610A40">
        <w:rPr>
          <w:sz w:val="24"/>
          <w:szCs w:val="24"/>
        </w:rPr>
        <w:t>diol</w:t>
      </w:r>
      <w:proofErr w:type="spellEnd"/>
      <w:r w:rsidRPr="00610A40">
        <w:rPr>
          <w:sz w:val="24"/>
          <w:szCs w:val="24"/>
        </w:rPr>
        <w:t xml:space="preserve"> citrate) (PDC)</w:t>
      </w:r>
    </w:p>
    <w:p w14:paraId="07AA8911" w14:textId="7AEF93D4" w:rsidR="00CA2966" w:rsidRPr="00610A40" w:rsidRDefault="00CA2966" w:rsidP="00CA2966">
      <w:pPr>
        <w:rPr>
          <w:color w:val="auto"/>
          <w:szCs w:val="24"/>
        </w:rPr>
      </w:pPr>
      <w:r w:rsidRPr="00610A40">
        <w:rPr>
          <w:color w:val="auto"/>
          <w:szCs w:val="24"/>
        </w:rPr>
        <w:t xml:space="preserve">Similar to the polymerization process of PGS, </w:t>
      </w:r>
      <w:r w:rsidR="00990A40" w:rsidRPr="00610A40">
        <w:rPr>
          <w:color w:val="auto"/>
          <w:szCs w:val="24"/>
        </w:rPr>
        <w:t>poly (</w:t>
      </w:r>
      <w:proofErr w:type="spellStart"/>
      <w:r w:rsidRPr="00610A40">
        <w:rPr>
          <w:color w:val="auto"/>
          <w:szCs w:val="24"/>
        </w:rPr>
        <w:t>diol</w:t>
      </w:r>
      <w:proofErr w:type="spellEnd"/>
      <w:r w:rsidRPr="00610A40">
        <w:rPr>
          <w:color w:val="auto"/>
          <w:szCs w:val="24"/>
        </w:rPr>
        <w:t xml:space="preserve"> citrate) (PDC) is synthesized from the conjugation of </w:t>
      </w:r>
      <w:r w:rsidR="00990A40" w:rsidRPr="00610A40">
        <w:rPr>
          <w:color w:val="auto"/>
          <w:szCs w:val="24"/>
        </w:rPr>
        <w:t xml:space="preserve">a </w:t>
      </w:r>
      <w:r w:rsidRPr="00610A40">
        <w:rPr>
          <w:color w:val="auto"/>
          <w:szCs w:val="24"/>
        </w:rPr>
        <w:t>three</w:t>
      </w:r>
      <w:r w:rsidR="00BB6F0A" w:rsidRPr="00610A40">
        <w:rPr>
          <w:color w:val="auto"/>
          <w:szCs w:val="24"/>
        </w:rPr>
        <w:t xml:space="preserve"> </w:t>
      </w:r>
      <w:r w:rsidRPr="00610A40">
        <w:rPr>
          <w:color w:val="auto"/>
          <w:szCs w:val="24"/>
        </w:rPr>
        <w:t xml:space="preserve">carboxyl compound (citric acid) to </w:t>
      </w:r>
      <w:r w:rsidR="00990A40" w:rsidRPr="00610A40">
        <w:rPr>
          <w:color w:val="auto"/>
          <w:szCs w:val="24"/>
        </w:rPr>
        <w:t xml:space="preserve">a </w:t>
      </w:r>
      <w:r w:rsidRPr="00610A40">
        <w:rPr>
          <w:color w:val="auto"/>
          <w:szCs w:val="24"/>
        </w:rPr>
        <w:t>two hydroxyl compound (</w:t>
      </w:r>
      <w:proofErr w:type="spellStart"/>
      <w:r w:rsidRPr="00610A40">
        <w:rPr>
          <w:color w:val="auto"/>
          <w:szCs w:val="24"/>
        </w:rPr>
        <w:t>diols</w:t>
      </w:r>
      <w:proofErr w:type="spellEnd"/>
      <w:r w:rsidRPr="00610A40">
        <w:rPr>
          <w:color w:val="auto"/>
          <w:szCs w:val="24"/>
        </w:rPr>
        <w:t xml:space="preserve"> or glycols) via thermal </w:t>
      </w:r>
      <w:proofErr w:type="spellStart"/>
      <w:r w:rsidRPr="00610A40">
        <w:rPr>
          <w:color w:val="auto"/>
          <w:szCs w:val="24"/>
        </w:rPr>
        <w:t>polycondensation</w:t>
      </w:r>
      <w:proofErr w:type="spellEnd"/>
      <w:r w:rsidR="008E7F94" w:rsidRPr="00610A40">
        <w:rPr>
          <w:color w:val="auto"/>
          <w:szCs w:val="24"/>
        </w:rPr>
        <w:t xml:space="preserve"> (</w:t>
      </w:r>
      <w:r w:rsidR="008E7F94" w:rsidRPr="00610A40">
        <w:rPr>
          <w:color w:val="auto"/>
          <w:szCs w:val="24"/>
        </w:rPr>
        <w:fldChar w:fldCharType="begin"/>
      </w:r>
      <w:r w:rsidR="008E7F94" w:rsidRPr="00610A40">
        <w:rPr>
          <w:color w:val="auto"/>
          <w:szCs w:val="24"/>
        </w:rPr>
        <w:instrText xml:space="preserve"> REF _Ref506240422 \h </w:instrText>
      </w:r>
      <w:r w:rsidR="008E7F94" w:rsidRPr="00610A40">
        <w:rPr>
          <w:color w:val="auto"/>
          <w:szCs w:val="24"/>
        </w:rPr>
      </w:r>
      <w:r w:rsidR="00610A40">
        <w:rPr>
          <w:color w:val="auto"/>
          <w:szCs w:val="24"/>
        </w:rPr>
        <w:instrText xml:space="preserve"> \* MERGEFORMAT </w:instrText>
      </w:r>
      <w:r w:rsidR="008E7F94" w:rsidRPr="00610A40">
        <w:rPr>
          <w:color w:val="auto"/>
          <w:szCs w:val="24"/>
        </w:rPr>
        <w:fldChar w:fldCharType="separate"/>
      </w:r>
      <w:r w:rsidR="002B2E41" w:rsidRPr="00610A40">
        <w:t xml:space="preserve">Figure </w:t>
      </w:r>
      <w:r w:rsidR="002B2E41" w:rsidRPr="00610A40">
        <w:rPr>
          <w:noProof/>
        </w:rPr>
        <w:t>1</w:t>
      </w:r>
      <w:r w:rsidR="008E7F94" w:rsidRPr="00610A40">
        <w:rPr>
          <w:color w:val="auto"/>
          <w:szCs w:val="24"/>
        </w:rPr>
        <w:fldChar w:fldCharType="end"/>
      </w:r>
      <w:r w:rsidR="008E7F94" w:rsidRPr="00610A40">
        <w:rPr>
          <w:color w:val="auto"/>
          <w:szCs w:val="24"/>
        </w:rPr>
        <w:t>)</w:t>
      </w:r>
      <w:r w:rsidRPr="00610A40">
        <w:rPr>
          <w:color w:val="auto"/>
          <w:szCs w:val="24"/>
        </w:rPr>
        <w:t xml:space="preserve">. As citric acid monomer is a metabolic product of the </w:t>
      </w:r>
      <w:proofErr w:type="spellStart"/>
      <w:r w:rsidRPr="00610A40">
        <w:rPr>
          <w:color w:val="auto"/>
          <w:szCs w:val="24"/>
        </w:rPr>
        <w:t>Kreb</w:t>
      </w:r>
      <w:proofErr w:type="spellEnd"/>
      <w:r w:rsidRPr="00610A40">
        <w:rPr>
          <w:color w:val="auto"/>
          <w:szCs w:val="24"/>
        </w:rPr>
        <w:t xml:space="preserve"> cycle, the degradation by-product of the polymer should be safe to the body. After </w:t>
      </w:r>
      <w:proofErr w:type="spellStart"/>
      <w:r w:rsidRPr="00610A40">
        <w:rPr>
          <w:color w:val="auto"/>
          <w:szCs w:val="24"/>
        </w:rPr>
        <w:t>polycondensation</w:t>
      </w:r>
      <w:proofErr w:type="spellEnd"/>
      <w:r w:rsidRPr="00610A40">
        <w:rPr>
          <w:color w:val="auto"/>
          <w:szCs w:val="24"/>
        </w:rPr>
        <w:t>, crosslinking or curing can be performed under relatively low temperatures (as low as 37</w:t>
      </w:r>
      <w:r w:rsidRPr="00610A40">
        <w:rPr>
          <w:color w:val="auto"/>
          <w:szCs w:val="24"/>
          <w:vertAlign w:val="superscript"/>
        </w:rPr>
        <w:t>o</w:t>
      </w:r>
      <w:r w:rsidRPr="00610A40">
        <w:rPr>
          <w:color w:val="auto"/>
          <w:szCs w:val="24"/>
        </w:rPr>
        <w:t>C) at atmospheric pressure, in the absence of toxic catalysts or crosslinking agents</w:t>
      </w:r>
      <w:r w:rsidRPr="00610A40">
        <w:rPr>
          <w:color w:val="auto"/>
          <w:szCs w:val="24"/>
        </w:rPr>
        <w:fldChar w:fldCharType="begin" w:fldLock="1"/>
      </w:r>
      <w:r w:rsidR="00565E2A" w:rsidRPr="00610A40">
        <w:rPr>
          <w:color w:val="auto"/>
          <w:szCs w:val="24"/>
        </w:rPr>
        <w:instrText>ADDIN CSL_CITATION { "citationItems" : [ { "id" : "ITEM-1", "itemData" : { "DOI" : "10.3390/ijms10104223", "ISBN" : "1422-0067 (Electronic)\\n1422-0067 (Linking)", "ISSN" : "14220067", "PMID" : "20057942", "abstract" : "This article reviews the degradability of chemically synthesized bioelastomers, mainly designed for soft tissue repair. These bioelastomers involve biodegradable polyurethanes, polyphosphazenes, linear and crosslinked poly(ether/ester)s, poly(epsilon-caprolactone) copolymers, poly(1,3-trimethylene carbonate) and their copolymers, poly(polyol sebacate)s, poly(diol-citrates) and poly(ester amide)s. The in vitro and in vivo degradation mechanisms and impact factors influencing degradation behaviors are discussed. In addition, the molecular designs, synthesis methods, structure properties, mechanical properties, biocompatibility and potential applications of these bioelastomers were also presented.", "author" : [ { "dropping-particle" : "", "family" : "Shi", "given" : "Rui", "non-dropping-particle" : "", "parse-names" : false, "suffix" : "" }, { "dropping-particle" : "", "family" : "Chen", "given" : "Dafu", "non-dropping-particle" : "", "parse-names" : false, "suffix" : "" }, { "dropping-particle" : "", "family" : "Liu", "given" : "Quanyong", "non-dropping-particle" : "", "parse-names" : false, "suffix" : "" }, { "dropping-particle" : "", "family" : "Wu", "given" : "Yan", "non-dropping-particle" : "", "parse-names" : false, "suffix" : "" }, { "dropping-particle" : "", "family" : "Xu", "given" : "Xiaochuan", "non-dropping-particle" : "", "parse-names" : false, "suffix" : "" }, { "dropping-particle" : "", "family" : "Zhang", "given" : "Liqun", "non-dropping-particle" : "", "parse-names" : false, "suffix" : "" }, { "dropping-particle" : "", "family" : "Tian", "given" : "Wei", "non-dropping-particle" : "", "parse-names" : false, "suffix" : "" } ], "container-title" : "International Journal of Molecular Sciences", "id" : "ITEM-1", "issue" : "10", "issued" : { "date-parts" : [ [ "2009" ] ] }, "page" : "4223-4256", "title" : "Recent advances in synthetic bioelastomers", "type" : "article-journal", "volume" : "10" }, "uris" : [ "http://www.mendeley.com/documents/?uuid=cf55ae4e-0b9f-4019-9ea8-7fa11ad765fc" ] }, { "id" : "ITEM-2", "itemData" : { "DOI" : "10.1039/c2ra20736b", "ISSN" : "20462069", "abstract" : "Recently there have been increasing research efforts in the development of elastomeric biomaterials with desirable biocompatibility, degradation profiles and mechanical properties for use in soft tissue engineering. This review provides an update on the progresses of developing biodegradable, soft elastomeric biomaterials and their tissue engineering scaffolding techniques. Following a brief review on traditional thermoplastic elastomers, including polyurethane (PU), polyhydroxyalkanoates (PHA) and aliphatic copolyesters, detailed review is devoted to the synthesis, properties and scaffold fabrication of recently developed soft, biodegradable elastomers, including poly(polyol sebacate) (PPS), PPS-based elastomers, and citric-acid based elastomers. Although biodegradable, soft elastomeric biomaterials have advantages (compliant and biodegradable), this review also identified a number of issues associated with these elastomers, including cytotoxicity, rapid in vivo degradation rates, and poor reproducibility. Future research directions are discussed to address these issues.", "author" : [ { "dropping-particle" : "", "family" : "Li", "given" : "Yuan", "non-dropping-particle" : "", "parse-names" : false, "suffix" : "" }, { "dropping-particle" : "", "family" : "Thouas", "given" : "George a", "non-dropping-particle" : "", "parse-names" : false, "suffix" : "" }, { "dropping-particle" : "", "family" : "Chen", "given" : "Qi-Zhi", "non-dropping-particle" : "", "parse-names" : false, "suffix" : "" } ], "container-title" : "RSC Advances", "id" : "ITEM-2", "issue" : "22", "issued" : { "date-parts" : [ [ "2012" ] ] }, "page" : "8229", "title" : "Biodegradable soft elastomers: synthesis/properties of materials and fabrication of scaffolds", "type" : "article-journal", "volume" : "2" }, "uris" : [ "http://www.mendeley.com/documents/?uuid=4bf4cac5-240a-4e16-9b74-98f653e8af60" ] } ], "mendeley" : { "formattedCitation" : "&lt;sup&gt;55,56&lt;/sup&gt;", "plainTextFormattedCitation" : "55,56", "previouslyFormattedCitation" : "&lt;sup&gt;55,56&lt;/sup&gt;"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55,56</w:t>
      </w:r>
      <w:r w:rsidRPr="00610A40">
        <w:rPr>
          <w:color w:val="auto"/>
          <w:szCs w:val="24"/>
        </w:rPr>
        <w:fldChar w:fldCharType="end"/>
      </w:r>
      <w:r w:rsidRPr="00610A40">
        <w:rPr>
          <w:color w:val="auto"/>
          <w:szCs w:val="24"/>
        </w:rPr>
        <w:t>.  Unlike the harsh polymerization condition of PGS, the mild synthesis conditions of PDC would allow proteins and other temperature-sensitive therapeutic molecules to be entrapped in the polymeric network during crosslinking</w:t>
      </w:r>
      <w:r w:rsidRPr="00610A40">
        <w:rPr>
          <w:color w:val="auto"/>
          <w:szCs w:val="24"/>
        </w:rPr>
        <w:fldChar w:fldCharType="begin" w:fldLock="1"/>
      </w:r>
      <w:r w:rsidR="00565E2A" w:rsidRPr="00610A40">
        <w:rPr>
          <w:color w:val="auto"/>
          <w:szCs w:val="24"/>
        </w:rPr>
        <w:instrText>ADDIN CSL_CITATION { "citationItems" : [ { "id" : "ITEM-1", "itemData" : { "DOI" : "10.1002/adma.200306264", "ISSN" : "0935-9648", "author" : [ { "dropping-particle" : "", "family" : "Yang", "given" : "J.", "non-dropping-particle" : "", "parse-names" : false, "suffix" : "" }, { "dropping-particle" : "", "family" : "Webb", "given" : "A.\u2009R.", "non-dropping-particle" : "", "parse-names" : false, "suffix" : "" }, { "dropping-particle" : "", "family" : "Ameer", "given" : "G.\u2009A.", "non-dropping-particle" : "", "parse-names" : false, "suffix" : "" } ], "container-title" : "Advanced Materials", "id" : "ITEM-1", "issue" : "6", "issued" : { "date-parts" : [ [ "2004", "3" ] ] }, "page" : "511-516", "publisher" : "WILEY\u2010VCH Verlag", "title" : "Novel Citric Acid-Based Biodegradable Elastomers for Tissue Engineering", "type" : "article-journal", "volume" : "16" }, "uris" : [ "http://www.mendeley.com/documents/?uuid=3d0dc67a-1950-3723-be63-6972f32285cf", "http://www.mendeley.com/documents/?uuid=a4d427d5-ea00-4d46-9133-7b666773808e" ] }, { "id" : "ITEM-2", "itemData" : { "DOI" : "10.1016/j.biomaterials.2005.05.106", "ISBN" : "0142-9612 (Print)\\r0142-9612 (Linking)", "ISSN" : "0142-9612", "PMID" : "16290904", "abstract" : "Herein, we report the synthesis and evaluation of a novel family of biodegradable and elastomeric polyesters, poly(diol citrates). Poly(diol citrates) were synthesized by reacting citric acid with various diols to form a covalent cross-linked network via a polycondensation reaction without using exogenous catalysts. The tensile strength of poly(diol citrates) were as high as 11.15+/-2.62 MPa and Young's modulus ranged from 1.60+/-0.05 to 13.98+/-3.05 MPa under the synthesis conditions that were investigated. Elongation was as high as 502+/-16%. No permanent deformation was found during mechanical tests. The equilibrium water-in-air contact angles of measured poly(diol citrates) films ranged from 15 degrees to 53 degrees . The mechanical properties, degradation and surface characteristics of poly(diol citrates) could be controlled by choosing different diols as well as by controlling the cross-link density of the polyester network. Various types of poly(diol citrate) scaffolds were fabricated to demonstrate their processing potential. These scaffolds were soft and could recover from deformation. In vitro and in vivo evaluation using cell culture and subcutaneous implantation, respectively, confirmed cell and tissue compatibility. The introduction of poly(diol citrates) will expand the repertoire of currently available biodegradable polymeric elastomers and should help meet the requirements of tissue engineering applications.", "author" : [ { "dropping-particle" : "", "family" : "Yang", "given" : "Jian", "non-dropping-particle" : "", "parse-names" : false, "suffix" : "" }, { "dropping-particle" : "", "family" : "Webb", "given" : "Antonio R", "non-dropping-particle" : "", "parse-names" : false, "suffix" : "" }, { "dropping-particle" : "", "family" : "Pickerill", "given" : "Samuel J", "non-dropping-particle" : "", "parse-names" : false, "suffix" : "" }, { "dropping-particle" : "", "family" : "Hageman", "given" : "Gretchen", "non-dropping-particle" : "", "parse-names" : false, "suffix" : "" }, { "dropping-particle" : "", "family" : "Ameer", "given" : "Guillermo a", "non-dropping-particle" : "", "parse-names" : false, "suffix" : "" } ], "container-title" : "Biomaterials", "id" : "ITEM-2", "issue" : "9", "issued" : { "date-parts" : [ [ "2006" ] ] }, "page" : "1889-98", "title" : "Synthesis and evaluation of poly(diol citrate) biodegradable elastomers.", "type" : "article-journal", "volume" : "27" }, "uris" : [ "http://www.mendeley.com/documents/?uuid=592b76bd-b4f0-4b68-921d-49623b10213e" ] } ], "mendeley" : { "formattedCitation" : "&lt;sup&gt;57,58&lt;/sup&gt;", "plainTextFormattedCitation" : "57,58", "previouslyFormattedCitation" : "&lt;sup&gt;57,58&lt;/sup&gt;"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57,58</w:t>
      </w:r>
      <w:r w:rsidRPr="00610A40">
        <w:rPr>
          <w:color w:val="auto"/>
          <w:szCs w:val="24"/>
        </w:rPr>
        <w:fldChar w:fldCharType="end"/>
      </w:r>
      <w:r w:rsidRPr="00610A40">
        <w:rPr>
          <w:color w:val="auto"/>
          <w:szCs w:val="24"/>
        </w:rPr>
        <w:t xml:space="preserve">. Four aliphatic </w:t>
      </w:r>
      <w:proofErr w:type="spellStart"/>
      <w:r w:rsidRPr="00610A40">
        <w:rPr>
          <w:color w:val="auto"/>
          <w:szCs w:val="24"/>
        </w:rPr>
        <w:t>diols</w:t>
      </w:r>
      <w:proofErr w:type="spellEnd"/>
      <w:r w:rsidRPr="00610A40">
        <w:rPr>
          <w:color w:val="auto"/>
          <w:szCs w:val="24"/>
        </w:rPr>
        <w:t xml:space="preserve"> are typically used for PDC </w:t>
      </w:r>
      <w:r w:rsidRPr="00610A40">
        <w:rPr>
          <w:color w:val="auto"/>
          <w:szCs w:val="24"/>
        </w:rPr>
        <w:lastRenderedPageBreak/>
        <w:t>synthesis: 1</w:t>
      </w:r>
      <w:proofErr w:type="gramStart"/>
      <w:r w:rsidRPr="00610A40">
        <w:rPr>
          <w:color w:val="auto"/>
          <w:szCs w:val="24"/>
        </w:rPr>
        <w:t>,6</w:t>
      </w:r>
      <w:proofErr w:type="gramEnd"/>
      <w:r w:rsidRPr="00610A40">
        <w:rPr>
          <w:color w:val="auto"/>
          <w:szCs w:val="24"/>
        </w:rPr>
        <w:t xml:space="preserve">-hexanediol, 1,8-octanediol, 1,10-decanediol, and 1,12-dodecanediol. The most commonly studied is </w:t>
      </w:r>
      <w:proofErr w:type="gramStart"/>
      <w:r w:rsidRPr="00610A40">
        <w:rPr>
          <w:color w:val="auto"/>
          <w:szCs w:val="24"/>
        </w:rPr>
        <w:t>poly(</w:t>
      </w:r>
      <w:proofErr w:type="gramEnd"/>
      <w:r w:rsidRPr="00610A40">
        <w:rPr>
          <w:color w:val="auto"/>
          <w:szCs w:val="24"/>
        </w:rPr>
        <w:t xml:space="preserve">1,8-octanediol) (POC). POC is desirable for its mechanical properties: Young’s modulus ranging from 0.92– 16.4 </w:t>
      </w:r>
      <w:proofErr w:type="spellStart"/>
      <w:r w:rsidRPr="00610A40">
        <w:rPr>
          <w:color w:val="auto"/>
          <w:szCs w:val="24"/>
        </w:rPr>
        <w:t>MPa</w:t>
      </w:r>
      <w:proofErr w:type="spellEnd"/>
      <w:r w:rsidRPr="00610A40">
        <w:rPr>
          <w:color w:val="auto"/>
          <w:szCs w:val="24"/>
        </w:rPr>
        <w:t xml:space="preserve">, tensile strength of 6.1 </w:t>
      </w:r>
      <w:proofErr w:type="spellStart"/>
      <w:r w:rsidRPr="00610A40">
        <w:rPr>
          <w:color w:val="auto"/>
          <w:szCs w:val="24"/>
        </w:rPr>
        <w:t>MPa</w:t>
      </w:r>
      <w:proofErr w:type="spellEnd"/>
      <w:r w:rsidRPr="00610A40">
        <w:rPr>
          <w:color w:val="auto"/>
          <w:szCs w:val="24"/>
        </w:rPr>
        <w:t xml:space="preserve"> and elongation at break of 117–265%, which is suitable for soft tissue engineering applications. </w:t>
      </w:r>
      <w:r w:rsidR="00D605E6" w:rsidRPr="00610A40">
        <w:rPr>
          <w:color w:val="auto"/>
          <w:szCs w:val="24"/>
        </w:rPr>
        <w:t>POC has demonstrated great biocompatibility and minimal inflammatory potential for vascular, cartilage and bone tissue engineering</w:t>
      </w:r>
      <w:r w:rsidR="00D605E6" w:rsidRPr="00610A40">
        <w:rPr>
          <w:color w:val="auto"/>
          <w:szCs w:val="24"/>
        </w:rPr>
        <w:fldChar w:fldCharType="begin" w:fldLock="1"/>
      </w:r>
      <w:r w:rsidR="00565E2A" w:rsidRPr="00610A40">
        <w:rPr>
          <w:color w:val="auto"/>
          <w:szCs w:val="24"/>
        </w:rPr>
        <w:instrText>ADDIN CSL_CITATION { "citationItems" : [ { "id" : "ITEM-1", "itemData" : { "DOI" : "10.1002/pi.2996", "ISSN" : "1097-0126", "abstract" : "This review focuses on a new class of elastomers, namely poly[octanediol-co-(citric acid)-co-(sebacic acid)] (p(OCS)), synthesised from 1,8-octanediol, citric acid and sebacic acid in a catalyst-free polyesterification reaction. The review begins with a detailed description of the synthesis, characterisation and structure\u2013property\u2013performance relationship of some reported elastomers suitable for tissue engineering. The control of the physicochemical properties of the new p(OCS) by simple variation of initial monomer concentrations in polyesterification forms the pivotal part of the synthesis. As tissue engineering requires complex designs, thin films and porous three-dimensional structures of p(OCS) were fabricated to demonstrate their ease of processing. The fundamental material properties of p(OCS) are discussed for p(OCS) pre-polymers and final polymers. The elastomers exhibit versatility in mechanical properties, hydration and hydrolytic degradation, as determined by their chemical structure. Surface analysis of spin-coated p(OCS) suggests that the surface morphology, chemistry and concentration of the surface functional groups can be controlled simply by varying the initial citric acid/sebacic acid concentration in polyesterification. These tunable molecular architectures and material properties are crucial in biological interactions. The in vitro biocompatibility testing of p(OCS) with MG63 osteoblast-like cells suggests that p(OCS) is an excellent candidate for potential elastic biomaterials for tissue engineering applications without the need for any post-synthesis modification. Copyright \u00a9 2011 Society of Chemical Industry", "author" : [ { "dropping-particle" : "", "family" : "Djordjevic", "given" : "Ivan", "non-dropping-particle" : "", "parse-names" : false, "suffix" : "" }, { "dropping-particle" : "", "family" : "Choudhury", "given" : "Namita Roy", "non-dropping-particle" : "", "parse-names" : false, "suffix" : "" }, { "dropping-particle" : "", "family" : "Dutta", "given" : "Naba K", "non-dropping-particle" : "", "parse-names" : false, "suffix" : "" }, { "dropping-particle" : "", "family" : "Kumar", "given" : "Sunil", "non-dropping-particle" : "", "parse-names" : false, "suffix" : "" } ], "container-title" : "Polymer International", "id" : "ITEM-1", "issue" : "3", "issued" : { "date-parts" : [ [ "2011", "3", "1" ] ] }, "page" : "333-343", "publisher" : "John Wiley &amp; Sons, Ltd.", "title" : "Poly[octanediol-co-(citric acid)-co-(sebacic acid)] elastomers: novel bio-elastomers for tissue engineering", "type" : "article-journal", "volume" : "60" }, "uris" : [ "http://www.mendeley.com/documents/?uuid=ccc181bf-1b77-41db-915b-8debdc143c77" ] } ], "mendeley" : { "formattedCitation" : "&lt;sup&gt;49&lt;/sup&gt;", "plainTextFormattedCitation" : "49", "previouslyFormattedCitation" : "&lt;sup&gt;49&lt;/sup&gt;" }, "properties" : { "noteIndex" : 0 }, "schema" : "https://github.com/citation-style-language/schema/raw/master/csl-citation.json" }</w:instrText>
      </w:r>
      <w:r w:rsidR="00D605E6" w:rsidRPr="00610A40">
        <w:rPr>
          <w:color w:val="auto"/>
          <w:szCs w:val="24"/>
        </w:rPr>
        <w:fldChar w:fldCharType="separate"/>
      </w:r>
      <w:r w:rsidR="00E907D0" w:rsidRPr="00610A40">
        <w:rPr>
          <w:noProof/>
          <w:color w:val="auto"/>
          <w:szCs w:val="24"/>
          <w:vertAlign w:val="superscript"/>
        </w:rPr>
        <w:t>49</w:t>
      </w:r>
      <w:r w:rsidR="00D605E6" w:rsidRPr="00610A40">
        <w:rPr>
          <w:color w:val="auto"/>
          <w:szCs w:val="24"/>
        </w:rPr>
        <w:fldChar w:fldCharType="end"/>
      </w:r>
      <w:r w:rsidR="00D605E6" w:rsidRPr="00610A40">
        <w:rPr>
          <w:color w:val="auto"/>
          <w:szCs w:val="24"/>
          <w:vertAlign w:val="superscript"/>
        </w:rPr>
        <w:t>,</w:t>
      </w:r>
      <w:r w:rsidR="00D605E6" w:rsidRPr="00610A40">
        <w:rPr>
          <w:color w:val="auto"/>
          <w:szCs w:val="24"/>
        </w:rPr>
        <w:fldChar w:fldCharType="begin" w:fldLock="1"/>
      </w:r>
      <w:r w:rsidR="00565E2A" w:rsidRPr="00610A40">
        <w:rPr>
          <w:color w:val="auto"/>
          <w:szCs w:val="24"/>
        </w:rPr>
        <w:instrText>ADDIN CSL_CITATION { "citationItems" : [ { "id" : "ITEM-1", "itemData" : { "DOI" : "10.1002/jbm.a.31211", "ISSN" : "1552-4965", "abstract" : "One of the ongoing challenges in tissue engineering is the synthesis of a hemocompatible vascular graft. Specifically, the material used in the construct should have antithrombogenic properties and support the growth of vascular cells. Our laboratory has designed a novel biodegradable, elastomeric copolymer, poly(1,8-octanediol citrate) (POC), with mechanical and degradation properties suitable for vascular tissue engineering. The hemocompatibility of POC in vitro and its ability to support the attachment and differentiation of human aortic endothelial cell (HAEC) was assessed. The thrombogenicity and inflammatory potential of POC were assessed relative to poly(l-lactide-co-glycolide) and expanded poly(tetrafluoroethylene), as they have been used in FDA-approved devices for blood contact. Specifically, platelet aggregation and activation, protein adsorption, plasma clotting, and hemolysis were investigated. To assess the inflammatory potential of POC, the release of IL-1\u03b2 and TNF-\u03b1 from THP-1 cells was measured. The cell compatibility of POC was assessed by confirming HAEC differentiation and attachment under flow conditions. POC exhibited decreased platelet adhesion and clotting relative to control materials. Hemolysis was negligible and protein adsorption was comparable to reference materials. IL-1\u03b2 and TNF-\u03b1 release from THP-1 cells was comparable among all materials tested, suggesting minimal inflammatory potential. POC supported HAEC differentiation and attachment without any premodification of the surface. The results described herein are encouraging and suggest that POC is hemocompatible and an adequate candidate biomaterial for in vivo vascular tissue engineering. \u00a9 2007 Wiley Periodicals, Inc. J Biomed Mater Res, 2007", "author" : [ { "dropping-particle" : "", "family" : "Motlagh", "given" : "Delara", "non-dropping-particle" : "", "parse-names" : false, "suffix" : "" }, { "dropping-particle" : "", "family" : "Allen", "given" : "Josephine", "non-dropping-particle" : "", "parse-names" : false, "suffix" : "" }, { "dropping-particle" : "", "family" : "Hoshi", "given" : "Ryan", "non-dropping-particle" : "", "parse-names" : false, "suffix" : "" }, { "dropping-particle" : "", "family" : "Yang", "given" : "Jian", "non-dropping-particle" : "", "parse-names" : false, "suffix" : "" }, { "dropping-particle" : "", "family" : "Lui", "given" : "Karen", "non-dropping-particle" : "", "parse-names" : false, "suffix" : "" }, { "dropping-particle" : "", "family" : "Ameer", "given" : "Guillermo", "non-dropping-particle" : "", "parse-names" : false, "suffix" : "" } ], "container-title" : "Journal of Biomedical Materials Research Part A", "id" : "ITEM-1", "issue" : "4", "issued" : { "date-parts" : [ [ "2007", "9", "15" ] ] }, "page" : "907-916", "publisher" : "Wiley Subscription Services, Inc., A Wiley Company", "title" : "Hemocompatibility evaluation of poly(diol citrate) in vitro for vascular tissue engineering", "type" : "article-journal", "volume" : "82A" }, "uris" : [ "http://www.mendeley.com/documents/?uuid=b18cc229-1766-40d7-900b-524dda10f7b1" ] } ], "mendeley" : { "formattedCitation" : "&lt;sup&gt;59&lt;/sup&gt;", "plainTextFormattedCitation" : "59", "previouslyFormattedCitation" : "&lt;sup&gt;59&lt;/sup&gt;" }, "properties" : { "noteIndex" : 0 }, "schema" : "https://github.com/citation-style-language/schema/raw/master/csl-citation.json" }</w:instrText>
      </w:r>
      <w:r w:rsidR="00D605E6" w:rsidRPr="00610A40">
        <w:rPr>
          <w:color w:val="auto"/>
          <w:szCs w:val="24"/>
        </w:rPr>
        <w:fldChar w:fldCharType="separate"/>
      </w:r>
      <w:r w:rsidR="00E907D0" w:rsidRPr="00610A40">
        <w:rPr>
          <w:noProof/>
          <w:color w:val="auto"/>
          <w:szCs w:val="24"/>
          <w:vertAlign w:val="superscript"/>
        </w:rPr>
        <w:t>59</w:t>
      </w:r>
      <w:r w:rsidR="00D605E6" w:rsidRPr="00610A40">
        <w:rPr>
          <w:color w:val="auto"/>
          <w:szCs w:val="24"/>
        </w:rPr>
        <w:fldChar w:fldCharType="end"/>
      </w:r>
      <w:r w:rsidR="00D605E6" w:rsidRPr="00610A40">
        <w:rPr>
          <w:color w:val="auto"/>
          <w:szCs w:val="24"/>
        </w:rPr>
        <w:t>. </w:t>
      </w:r>
      <w:r w:rsidRPr="00610A40">
        <w:rPr>
          <w:color w:val="auto"/>
          <w:szCs w:val="24"/>
        </w:rPr>
        <w:t>Its mechanical properties</w:t>
      </w:r>
      <w:r w:rsidR="00D605E6" w:rsidRPr="00610A40">
        <w:rPr>
          <w:color w:val="auto"/>
          <w:szCs w:val="24"/>
        </w:rPr>
        <w:t xml:space="preserve"> and biocompatibility</w:t>
      </w:r>
      <w:r w:rsidRPr="00610A40">
        <w:rPr>
          <w:color w:val="auto"/>
          <w:szCs w:val="24"/>
        </w:rPr>
        <w:t>, together with other properties such as degradation rate</w:t>
      </w:r>
      <w:r w:rsidR="00D605E6" w:rsidRPr="00610A40">
        <w:rPr>
          <w:color w:val="auto"/>
          <w:szCs w:val="24"/>
        </w:rPr>
        <w:t xml:space="preserve"> and </w:t>
      </w:r>
      <w:r w:rsidRPr="00610A40">
        <w:rPr>
          <w:color w:val="auto"/>
          <w:szCs w:val="24"/>
        </w:rPr>
        <w:t>wettability can be fine-tuned by varying the synthesis and curing parameters (curing temperature, curing duration, use of vacuum, and initial monomer molar ratio)</w:t>
      </w:r>
      <w:r w:rsidRPr="00610A40">
        <w:rPr>
          <w:color w:val="auto"/>
          <w:szCs w:val="24"/>
          <w:vertAlign w:val="superscript"/>
        </w:rPr>
        <w:fldChar w:fldCharType="begin" w:fldLock="1"/>
      </w:r>
      <w:r w:rsidR="00565E2A" w:rsidRPr="00610A40">
        <w:rPr>
          <w:color w:val="auto"/>
          <w:szCs w:val="24"/>
          <w:vertAlign w:val="superscript"/>
        </w:rPr>
        <w:instrText>ADDIN CSL_CITATION { "citationItems" : [ { "id" : "ITEM-1", "itemData" : { "DOI" : "10.1002/adma.200306264", "ISBN" : "0935-9648", "ISSN" : "09359648", "abstract" : "The synthesis and characterization of novel biodegradable elastomers, exemplified by poly(1,8-octanediol-co-citric acid), is reported. Biodegradation, mechanical, and biocompatibility data suggest very good potential for use as porous scaffolds in cardiovascular tissue engineering (see Figure). Material properties can be tailored by modulating the monomer ratio and post-polymerization conditions.", "author" : [ { "dropping-particle" : "", "family" : "Yang", "given" : "Jian", "non-dropping-particle" : "", "parse-names" : false, "suffix" : "" }, { "dropping-particle" : "", "family" : "Webb", "given" : "Antonio R.", "non-dropping-particle" : "", "parse-names" : false, "suffix" : "" }, { "dropping-particle" : "", "family" : "Ameer", "given" : "Guillermo a.", "non-dropping-particle" : "", "parse-names" : false, "suffix" : "" } ], "container-title" : "Advanced Materials", "id" : "ITEM-1", "issue" : "6", "issued" : { "date-parts" : [ [ "2004" ] ] }, "page" : "511-516", "title" : "Novel Citric Acid-Based Biodegradable Elastomers for Tissue Engineering", "type" : "article-journal", "volume" : "16" }, "uris" : [ "http://www.mendeley.com/documents/?uuid=a9c887d0-b8a1-4f12-bf4c-72b756b2655f" ] } ], "mendeley" : { "formattedCitation" : "&lt;sup&gt;60&lt;/sup&gt;", "plainTextFormattedCitation" : "60", "previouslyFormattedCitation" : "&lt;sup&gt;60&lt;/sup&gt;" }, "properties" : { "noteIndex" : 0 }, "schema" : "https://github.com/citation-style-language/schema/raw/master/csl-citation.json" }</w:instrText>
      </w:r>
      <w:r w:rsidRPr="00610A40">
        <w:rPr>
          <w:color w:val="auto"/>
          <w:szCs w:val="24"/>
          <w:vertAlign w:val="superscript"/>
        </w:rPr>
        <w:fldChar w:fldCharType="separate"/>
      </w:r>
      <w:r w:rsidR="00E907D0" w:rsidRPr="00610A40">
        <w:rPr>
          <w:noProof/>
          <w:color w:val="auto"/>
          <w:szCs w:val="24"/>
          <w:vertAlign w:val="superscript"/>
        </w:rPr>
        <w:t>60</w:t>
      </w:r>
      <w:r w:rsidRPr="00610A40">
        <w:rPr>
          <w:color w:val="auto"/>
          <w:szCs w:val="24"/>
          <w:vertAlign w:val="superscript"/>
        </w:rPr>
        <w:fldChar w:fldCharType="end"/>
      </w:r>
      <w:r w:rsidRPr="00610A40">
        <w:rPr>
          <w:color w:val="auto"/>
          <w:szCs w:val="24"/>
        </w:rPr>
        <w:t>. For example, increasing the crosslinking temperatures and time will increase the ultimate tensile strength and Young's modulus. At the same time, the elongation at break will decrease. The degradation rate of PDC is tunable by varying the synthesis processing. A curing processing under harsh conditions (such as high temperature with low atmosphere pressure) always leads to a low degradation rate, due to the high crosslinking degree of the polymer. The in vitro degradation time (soaking in PBS at 37 °C) is about half a year, and the in vivo degradation of PDC is usually faster than in vitro degradation due to the enzymatic or cellular effects.</w:t>
      </w:r>
    </w:p>
    <w:p w14:paraId="001817EE" w14:textId="77777777" w:rsidR="002B2E41" w:rsidRPr="00610A40" w:rsidRDefault="002B2E41">
      <w:pPr>
        <w:rPr>
          <w:color w:val="auto"/>
          <w:szCs w:val="24"/>
        </w:rPr>
      </w:pPr>
    </w:p>
    <w:p w14:paraId="0FBC5B07" w14:textId="4C775561" w:rsidR="002B2E41" w:rsidRPr="00610A40" w:rsidRDefault="002B2E41">
      <w:pPr>
        <w:rPr>
          <w:color w:val="auto"/>
          <w:szCs w:val="24"/>
        </w:rPr>
      </w:pPr>
      <w:r w:rsidRPr="00610A40">
        <w:rPr>
          <w:color w:val="auto"/>
          <w:szCs w:val="24"/>
        </w:rPr>
        <w:t>Loading labile active pharmaceutical ingredients into poly (</w:t>
      </w:r>
      <w:proofErr w:type="spellStart"/>
      <w:r w:rsidRPr="00610A40">
        <w:rPr>
          <w:color w:val="auto"/>
          <w:szCs w:val="24"/>
        </w:rPr>
        <w:t>diol</w:t>
      </w:r>
      <w:proofErr w:type="spellEnd"/>
      <w:r w:rsidRPr="00610A40">
        <w:rPr>
          <w:color w:val="auto"/>
          <w:szCs w:val="24"/>
        </w:rPr>
        <w:t xml:space="preserve"> citrate) may damage the drug content because of the required high temperatures used in monomer dissolution. Post-synthesis loading is also not feasible due to non-homogenous drug distribution. To overcome this, Serrano et al. used deep eutectic solvents (DES) based on mixtures of </w:t>
      </w:r>
      <w:proofErr w:type="spellStart"/>
      <w:r w:rsidRPr="00610A40">
        <w:rPr>
          <w:color w:val="auto"/>
          <w:szCs w:val="24"/>
        </w:rPr>
        <w:t>octanediol</w:t>
      </w:r>
      <w:proofErr w:type="spellEnd"/>
      <w:r w:rsidRPr="00610A40">
        <w:rPr>
          <w:color w:val="auto"/>
          <w:szCs w:val="24"/>
        </w:rPr>
        <w:t xml:space="preserve"> and </w:t>
      </w:r>
      <w:proofErr w:type="spellStart"/>
      <w:r w:rsidRPr="00610A40">
        <w:rPr>
          <w:color w:val="auto"/>
          <w:szCs w:val="24"/>
        </w:rPr>
        <w:t>lidocaine</w:t>
      </w:r>
      <w:proofErr w:type="spellEnd"/>
      <w:r w:rsidRPr="00610A40">
        <w:rPr>
          <w:color w:val="auto"/>
          <w:szCs w:val="24"/>
        </w:rPr>
        <w:t xml:space="preserve"> drug</w:t>
      </w:r>
      <w:r w:rsidR="00565E2A" w:rsidRPr="00610A40">
        <w:rPr>
          <w:color w:val="auto"/>
          <w:szCs w:val="24"/>
        </w:rPr>
        <w:fldChar w:fldCharType="begin" w:fldLock="1"/>
      </w:r>
      <w:r w:rsidR="00565E2A" w:rsidRPr="00610A40">
        <w:rPr>
          <w:color w:val="auto"/>
          <w:szCs w:val="24"/>
        </w:rPr>
        <w:instrText>ADDIN CSL_CITATION { "citationItems" : [ { "id" : "ITEM-1", "itemData" : { "DOI" : "10.1039/C1CC15284J", "ISBN" : "1359-7345", "ISSN" : "1359-7345", "PMID" : "22109350", "abstract" : "Poly(octanediol-co-citrate) elastomers containing high loading of lidocaine were synthesized at temperatures below 100 \u00b0C by means of using deep eutectic mixtures of 1,8-octanediol and lidocaine. The preservation of lidocaine integrity resulted in high-capacity drug-eluting elastomers.", "author" : [ { "dropping-particle" : "", "family" : "Serrano", "given" : "M. Concepci\u00f3n", "non-dropping-particle" : "", "parse-names" : false, "suffix" : "" }, { "dropping-particle" : "", "family" : "Guti\u00e9rrez", "given" : "Mar\u00eda C.", "non-dropping-particle" : "", "parse-names" : false, "suffix" : "" }, { "dropping-particle" : "", "family" : "Jim\u00e9nez", "given" : "Ricardo", "non-dropping-particle" : "", "parse-names" : false, "suffix" : "" }, { "dropping-particle" : "", "family" : "Ferrer", "given" : "M. Luisa", "non-dropping-particle" : "", "parse-names" : false, "suffix" : "" }, { "dropping-particle" : "Del", "family" : "Monte", "given" : "Francisco", "non-dropping-particle" : "", "parse-names" : false, "suffix" : "" } ], "container-title" : "Chem. Commun.", "id" : "ITEM-1", "issue" : "4", "issued" : { "date-parts" : [ [ "2012" ] ] }, "page" : "579-581", "title" : "Synthesis of novel lidocaine-releasing poly(diol-co-citrate) elastomers by using deep eutectic solvents", "type" : "article-journal", "volume" : "48" }, "uris" : [ "http://www.mendeley.com/documents/?uuid=795eca21-809b-458a-a745-419515c639e1" ] } ], "mendeley" : { "formattedCitation" : "&lt;sup&gt;61&lt;/sup&gt;", "plainTextFormattedCitation" : "61" }, "properties" : { "noteIndex" : 0 }, "schema" : "https://github.com/citation-style-language/schema/raw/master/csl-citation.json" }</w:instrText>
      </w:r>
      <w:r w:rsidR="00565E2A" w:rsidRPr="00610A40">
        <w:rPr>
          <w:color w:val="auto"/>
          <w:szCs w:val="24"/>
        </w:rPr>
        <w:fldChar w:fldCharType="separate"/>
      </w:r>
      <w:r w:rsidR="00565E2A" w:rsidRPr="00610A40">
        <w:rPr>
          <w:noProof/>
          <w:color w:val="auto"/>
          <w:szCs w:val="24"/>
          <w:vertAlign w:val="superscript"/>
        </w:rPr>
        <w:t>61</w:t>
      </w:r>
      <w:r w:rsidR="00565E2A" w:rsidRPr="00610A40">
        <w:rPr>
          <w:color w:val="auto"/>
          <w:szCs w:val="24"/>
        </w:rPr>
        <w:fldChar w:fldCharType="end"/>
      </w:r>
      <w:r w:rsidRPr="00610A40">
        <w:rPr>
          <w:color w:val="auto"/>
          <w:szCs w:val="24"/>
        </w:rPr>
        <w:t xml:space="preserve">. This DES provides the synthesis </w:t>
      </w:r>
      <w:r w:rsidR="00565E2A" w:rsidRPr="00610A40">
        <w:rPr>
          <w:color w:val="auto"/>
          <w:szCs w:val="24"/>
        </w:rPr>
        <w:t>ingredients as well as the dissolution medium for</w:t>
      </w:r>
      <w:r w:rsidRPr="00610A40">
        <w:rPr>
          <w:color w:val="auto"/>
          <w:szCs w:val="24"/>
        </w:rPr>
        <w:t xml:space="preserve"> the </w:t>
      </w:r>
      <w:r w:rsidR="00565E2A" w:rsidRPr="00610A40">
        <w:rPr>
          <w:color w:val="auto"/>
          <w:szCs w:val="24"/>
        </w:rPr>
        <w:t xml:space="preserve">citric acid, </w:t>
      </w:r>
      <w:r w:rsidR="00565E2A" w:rsidRPr="00610A40">
        <w:rPr>
          <w:color w:val="auto"/>
          <w:szCs w:val="24"/>
        </w:rPr>
        <w:lastRenderedPageBreak/>
        <w:t xml:space="preserve">which is subsequently added. Hence, </w:t>
      </w:r>
      <w:proofErr w:type="spellStart"/>
      <w:r w:rsidR="00565E2A" w:rsidRPr="00610A40">
        <w:rPr>
          <w:color w:val="auto"/>
          <w:szCs w:val="24"/>
        </w:rPr>
        <w:t>lidocaine</w:t>
      </w:r>
      <w:proofErr w:type="spellEnd"/>
      <w:r w:rsidR="005241E2" w:rsidRPr="00610A40">
        <w:rPr>
          <w:color w:val="auto"/>
          <w:szCs w:val="24"/>
        </w:rPr>
        <w:t xml:space="preserve"> drug</w:t>
      </w:r>
      <w:r w:rsidR="00565E2A" w:rsidRPr="00610A40">
        <w:rPr>
          <w:color w:val="auto"/>
          <w:szCs w:val="24"/>
        </w:rPr>
        <w:t xml:space="preserve"> can be incorporated homogenously into the PDC at temperatures below 100</w:t>
      </w:r>
      <w:r w:rsidR="00565E2A" w:rsidRPr="00610A40">
        <w:rPr>
          <w:color w:val="auto"/>
          <w:szCs w:val="24"/>
          <w:vertAlign w:val="superscript"/>
        </w:rPr>
        <w:t>o</w:t>
      </w:r>
      <w:r w:rsidR="00565E2A" w:rsidRPr="00610A40">
        <w:rPr>
          <w:color w:val="auto"/>
          <w:szCs w:val="24"/>
        </w:rPr>
        <w:t>C.</w:t>
      </w:r>
    </w:p>
    <w:p w14:paraId="048A0868" w14:textId="77777777" w:rsidR="00565E2A" w:rsidRPr="00610A40" w:rsidRDefault="00565E2A">
      <w:pPr>
        <w:rPr>
          <w:color w:val="auto"/>
          <w:szCs w:val="24"/>
        </w:rPr>
      </w:pPr>
    </w:p>
    <w:p w14:paraId="3F89665D" w14:textId="57EFDDB7" w:rsidR="00CA2966" w:rsidRPr="00610A40" w:rsidRDefault="00CA2966" w:rsidP="00CA2966">
      <w:pPr>
        <w:pStyle w:val="Heading2"/>
        <w:rPr>
          <w:sz w:val="24"/>
          <w:szCs w:val="24"/>
        </w:rPr>
      </w:pPr>
      <w:r w:rsidRPr="00610A40">
        <w:rPr>
          <w:sz w:val="24"/>
          <w:szCs w:val="24"/>
        </w:rPr>
        <w:t xml:space="preserve">2.5 </w:t>
      </w:r>
      <w:proofErr w:type="gramStart"/>
      <w:r w:rsidRPr="00610A40">
        <w:rPr>
          <w:sz w:val="24"/>
          <w:szCs w:val="24"/>
        </w:rPr>
        <w:t>Poly[</w:t>
      </w:r>
      <w:proofErr w:type="spellStart"/>
      <w:proofErr w:type="gramEnd"/>
      <w:r w:rsidRPr="00610A40">
        <w:rPr>
          <w:sz w:val="24"/>
          <w:szCs w:val="24"/>
        </w:rPr>
        <w:t>octanediol</w:t>
      </w:r>
      <w:proofErr w:type="spellEnd"/>
      <w:r w:rsidRPr="00610A40">
        <w:rPr>
          <w:sz w:val="24"/>
          <w:szCs w:val="24"/>
        </w:rPr>
        <w:t>-co-(citric acid)-co-(</w:t>
      </w:r>
      <w:proofErr w:type="spellStart"/>
      <w:r w:rsidRPr="00610A40">
        <w:rPr>
          <w:sz w:val="24"/>
          <w:szCs w:val="24"/>
        </w:rPr>
        <w:t>sebacic</w:t>
      </w:r>
      <w:proofErr w:type="spellEnd"/>
      <w:r w:rsidRPr="00610A40">
        <w:rPr>
          <w:sz w:val="24"/>
          <w:szCs w:val="24"/>
        </w:rPr>
        <w:t xml:space="preserve"> acid)] p(OCS)</w:t>
      </w:r>
    </w:p>
    <w:p w14:paraId="1528DD9F" w14:textId="6660CA45" w:rsidR="00CA2966" w:rsidRPr="00610A40" w:rsidRDefault="00CA2966" w:rsidP="00CA2966">
      <w:pPr>
        <w:rPr>
          <w:color w:val="auto"/>
          <w:szCs w:val="24"/>
        </w:rPr>
      </w:pPr>
      <w:proofErr w:type="gramStart"/>
      <w:r w:rsidRPr="00610A40">
        <w:rPr>
          <w:color w:val="auto"/>
          <w:szCs w:val="24"/>
        </w:rPr>
        <w:t>p(</w:t>
      </w:r>
      <w:proofErr w:type="gramEnd"/>
      <w:r w:rsidRPr="00610A40">
        <w:rPr>
          <w:color w:val="auto"/>
          <w:szCs w:val="24"/>
        </w:rPr>
        <w:t xml:space="preserve">OCS) is a new class of elastomer synthesized from a catalyst-free </w:t>
      </w:r>
      <w:proofErr w:type="spellStart"/>
      <w:r w:rsidRPr="00610A40">
        <w:rPr>
          <w:color w:val="auto"/>
          <w:szCs w:val="24"/>
        </w:rPr>
        <w:t>polyesterification</w:t>
      </w:r>
      <w:proofErr w:type="spellEnd"/>
      <w:r w:rsidRPr="00610A40">
        <w:rPr>
          <w:color w:val="auto"/>
          <w:szCs w:val="24"/>
        </w:rPr>
        <w:t xml:space="preserve"> of citric acid (CA), </w:t>
      </w:r>
      <w:proofErr w:type="spellStart"/>
      <w:r w:rsidRPr="00610A40">
        <w:rPr>
          <w:color w:val="auto"/>
          <w:szCs w:val="24"/>
        </w:rPr>
        <w:t>sebacic</w:t>
      </w:r>
      <w:proofErr w:type="spellEnd"/>
      <w:r w:rsidRPr="00610A40">
        <w:rPr>
          <w:color w:val="auto"/>
          <w:szCs w:val="24"/>
        </w:rPr>
        <w:t xml:space="preserve"> acid (SA) and </w:t>
      </w:r>
      <w:proofErr w:type="spellStart"/>
      <w:r w:rsidRPr="00610A40">
        <w:rPr>
          <w:color w:val="auto"/>
          <w:szCs w:val="24"/>
        </w:rPr>
        <w:t>octanediol</w:t>
      </w:r>
      <w:proofErr w:type="spellEnd"/>
      <w:r w:rsidRPr="00610A40">
        <w:rPr>
          <w:color w:val="auto"/>
          <w:szCs w:val="24"/>
        </w:rPr>
        <w:t>. The synthesis process is started with the preparation of pre-polymers by melting mixtures of monomers at high temperatures (140-160 °C) for 1 hour. Next the pre-polymers were cured ~80 °C for 7 days</w:t>
      </w:r>
      <w:r w:rsidRPr="00610A40">
        <w:rPr>
          <w:color w:val="auto"/>
          <w:szCs w:val="24"/>
        </w:rPr>
        <w:fldChar w:fldCharType="begin" w:fldLock="1"/>
      </w:r>
      <w:r w:rsidR="00565E2A" w:rsidRPr="00610A40">
        <w:rPr>
          <w:color w:val="auto"/>
          <w:szCs w:val="24"/>
        </w:rPr>
        <w:instrText>ADDIN CSL_CITATION { "citationItems" : [ { "id" : "ITEM-1", "itemData" : { "DOI" : "10.1163/156856209X415558", "ISSN" : "0920-5063", "abstract" : "Elastomeric polyesters synthesized from non-toxic and biocompatible reactants are topical research materials for tissue-engineering applications. In such applications, the morphology, chemistry and functionality of the materials surfaces play a key role. While a number of papers have focused and reported on the fabrication and biological evaluation of elastic polyesters, only a few have attempted to characterise the surfaces of such materials. In this paper, we report on the preparation and surface characterization of films of a co-polyester bioelastomer, polyoctanediol citrate/sebacate (p(OCS)). The co-polymer was synthesized following the standard procedure of polyesterification using three non-toxic monomers (1,8-octanediol, citric acid and sebacic acid) in a catalyst-free environment. Nuclear magnetic resonance spectroscopy was used to monitor the chemical composition of the various p(OCS) elastomers. The p(OCS) films, prepared by both spin-coating and solvent casting of the p(OCS) pre-polymer solutio...", "author" : [ { "dropping-particle" : "", "family" : "Djordjevic", "given" : "Ivan", "non-dropping-particle" : "", "parse-names" : false, "suffix" : "" }, { "dropping-particle" : "", "family" : "Choudhury", "given" : "Namita Roy", "non-dropping-particle" : "", "parse-names" : false, "suffix" : "" }, { "dropping-particle" : "", "family" : "Dutta", "given" : "Naba K.", "non-dropping-particle" : "", "parse-names" : false, "suffix" : "" }, { "dropping-particle" : "", "family" : "Kumar", "given" : "Sunil", "non-dropping-particle" : "", "parse-names" : false, "suffix" : "" }, { "dropping-particle" : "", "family" : "Szili", "given" : "Endre J.", "non-dropping-particle" : "", "parse-names" : false, "suffix" : "" }, { "dropping-particle" : "", "family" : "Steele", "given" : "David A.", "non-dropping-particle" : "", "parse-names" : false, "suffix" : "" } ], "container-title" : "Journal of Biomaterials Science, Polymer Edition", "id" : "ITEM-1", "issue" : "2", "issued" : { "date-parts" : [ [ "2010", "1" ] ] }, "page" : "237-251", "publisher" : " Taylor &amp; Francis Group ", "title" : "Polyoctanediol Citrate/Sebacate Bioelastomer Films: Surface Morphology, Chemistry and Functionality", "type" : "article-journal", "volume" : "21" }, "uris" : [ "http://www.mendeley.com/documents/?uuid=1afb7abb-f969-34af-b29d-35333b15daca", "http://www.mendeley.com/documents/?uuid=1a12ffef-6701-4786-9ddf-039243b6ca6e" ] } ], "mendeley" : { "formattedCitation" : "&lt;sup&gt;62&lt;/sup&gt;", "plainTextFormattedCitation" : "62", "previouslyFormattedCitation" : "&lt;sup&gt;61&lt;/sup&gt;"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62</w:t>
      </w:r>
      <w:r w:rsidRPr="00610A40">
        <w:rPr>
          <w:color w:val="auto"/>
          <w:szCs w:val="24"/>
        </w:rPr>
        <w:fldChar w:fldCharType="end"/>
      </w:r>
      <w:r w:rsidRPr="00610A40">
        <w:rPr>
          <w:color w:val="auto"/>
          <w:szCs w:val="24"/>
        </w:rPr>
        <w:t xml:space="preserve">. </w:t>
      </w:r>
      <w:proofErr w:type="gramStart"/>
      <w:r w:rsidRPr="00610A40">
        <w:rPr>
          <w:color w:val="auto"/>
          <w:szCs w:val="24"/>
        </w:rPr>
        <w:t>p(</w:t>
      </w:r>
      <w:proofErr w:type="gramEnd"/>
      <w:r w:rsidRPr="00610A40">
        <w:rPr>
          <w:color w:val="auto"/>
          <w:szCs w:val="24"/>
        </w:rPr>
        <w:t xml:space="preserve">OCS) elastomers can be engineered into thin films, coating or porous scaffolds via hot press, spin-coating or solvent casting particulate-leaching techniques. The </w:t>
      </w:r>
      <w:proofErr w:type="gramStart"/>
      <w:r w:rsidRPr="00610A40">
        <w:rPr>
          <w:color w:val="auto"/>
          <w:szCs w:val="24"/>
        </w:rPr>
        <w:t>p(</w:t>
      </w:r>
      <w:proofErr w:type="gramEnd"/>
      <w:r w:rsidRPr="00610A40">
        <w:rPr>
          <w:color w:val="auto"/>
          <w:szCs w:val="24"/>
        </w:rPr>
        <w:t xml:space="preserve">OCS) contains randomly distributed CA/SA segments. By using various ratios of CA and SA, a range of hydration (4-15 %), Young's modulus (0.19-1.1 </w:t>
      </w:r>
      <w:proofErr w:type="spellStart"/>
      <w:r w:rsidRPr="00610A40">
        <w:rPr>
          <w:color w:val="auto"/>
          <w:szCs w:val="24"/>
        </w:rPr>
        <w:t>MPa</w:t>
      </w:r>
      <w:proofErr w:type="spellEnd"/>
      <w:r w:rsidRPr="00610A40">
        <w:rPr>
          <w:color w:val="auto"/>
          <w:szCs w:val="24"/>
        </w:rPr>
        <w:t xml:space="preserve">) and degradation rate (9-70% weight loss in 4 weeks) can be achieved. Moreover, </w:t>
      </w:r>
      <w:proofErr w:type="spellStart"/>
      <w:r w:rsidRPr="00610A40">
        <w:rPr>
          <w:color w:val="auto"/>
          <w:szCs w:val="24"/>
        </w:rPr>
        <w:t>Tg</w:t>
      </w:r>
      <w:proofErr w:type="spellEnd"/>
      <w:r w:rsidRPr="00610A40">
        <w:rPr>
          <w:color w:val="auto"/>
          <w:szCs w:val="24"/>
        </w:rPr>
        <w:t xml:space="preserve"> of the polymer can also be tunable from -7 °C to -18 °C</w:t>
      </w:r>
      <w:r w:rsidRPr="00610A40">
        <w:rPr>
          <w:color w:val="auto"/>
          <w:szCs w:val="24"/>
        </w:rPr>
        <w:fldChar w:fldCharType="begin" w:fldLock="1"/>
      </w:r>
      <w:r w:rsidR="00565E2A" w:rsidRPr="00610A40">
        <w:rPr>
          <w:color w:val="auto"/>
          <w:szCs w:val="24"/>
        </w:rPr>
        <w:instrText>ADDIN CSL_CITATION { "citationItems" : [ { "id" : "ITEM-1", "itemData" : { "DOI" : "10.1016/j.polymer.2009.01.045", "ISSN" : "00323861", "author" : [ { "dropping-particle" : "", "family" : "Djordjevic", "given" : "Ivan", "non-dropping-particle" : "", "parse-names" : false, "suffix" : "" }, { "dropping-particle" : "", "family" : "Choudhury", "given" : "Namita Roy", "non-dropping-particle" : "", "parse-names" : false, "suffix" : "" }, { "dropping-particle" : "", "family" : "Dutta", "given" : "Naba K.", "non-dropping-particle" : "", "parse-names" : false, "suffix" : "" }, { "dropping-particle" : "", "family" : "Kumar", "given" : "Sunil", "non-dropping-particle" : "", "parse-names" : false, "suffix" : "" } ], "container-title" : "Polymer", "id" : "ITEM-1", "issue" : "7", "issued" : { "date-parts" : [ [ "2009", "3" ] ] }, "page" : "1682-1691", "title" : "Synthesis and characterization of novel citric acid-based polyester elastomers", "type" : "article-journal", "volume" : "50" }, "uris" : [ "http://www.mendeley.com/documents/?uuid=587c625d-4759-39a9-8d56-828e863db086", "http://www.mendeley.com/documents/?uuid=bb823234-b7a8-4fe5-b489-3fbda829de2b" ] } ], "mendeley" : { "formattedCitation" : "&lt;sup&gt;63&lt;/sup&gt;", "plainTextFormattedCitation" : "63", "previouslyFormattedCitation" : "&lt;sup&gt;62&lt;/sup&gt;"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63</w:t>
      </w:r>
      <w:r w:rsidRPr="00610A40">
        <w:rPr>
          <w:color w:val="auto"/>
          <w:szCs w:val="24"/>
        </w:rPr>
        <w:fldChar w:fldCharType="end"/>
      </w:r>
      <w:r w:rsidRPr="00610A40">
        <w:rPr>
          <w:color w:val="auto"/>
          <w:szCs w:val="24"/>
        </w:rPr>
        <w:t>, and the water contact angle ranged from 30 to 65 °C</w:t>
      </w:r>
      <w:r w:rsidRPr="00610A40">
        <w:rPr>
          <w:color w:val="auto"/>
          <w:szCs w:val="24"/>
        </w:rPr>
        <w:fldChar w:fldCharType="begin" w:fldLock="1"/>
      </w:r>
      <w:r w:rsidR="00565E2A" w:rsidRPr="00610A40">
        <w:rPr>
          <w:color w:val="auto"/>
          <w:szCs w:val="24"/>
        </w:rPr>
        <w:instrText>ADDIN CSL_CITATION { "citationItems" : [ { "id" : "ITEM-1", "itemData" : { "DOI" : "10.1163/156856209X463708", "ISSN" : "0920-5063", "abstract" : "This work examines the biocompatibility of poly(octanediol citrate)/sebacate (p(OCS)) biodegradable polyester elastomers. The growth of human MG63 osteoblast-like cells was studied on p(OCS) films. Three types of p(OCS) films were synthesised simply by varying the concentrations of 1,8-octanediol (OD), citric acid (CA), and sebacic acid (SA) monomers at initial molar ratios of 1:1:0, 1:0.75:0.25 and 1:0.5:0.5. At these ratios, the p(OCS) films exhibit decreasing hydrophilicity as shown by the measured water contact angle values of 31, 41 and 64\u00b0, respectively. For all the samples, no difference in cell growth was detected after 1 day of cell culture. However, after 4 days, the highest number of viable cells was detected on the p(OCS) film synthesised with the intermediate CA molar ratio of 0.75. This sample also contains the median concentration of surface carboxylic acid groups and hydrophilicity. Following long-term cell culture (18 days), a statistically significant higher density of viable cells had g...", "author" : [ { "dropping-particle" : "", "family" : "Djordjevic", "given" : "Ivan", "non-dropping-particle" : "", "parse-names" : false, "suffix" : "" }, { "dropping-particle" : "", "family" : "Szili", "given" : "Endre J.", "non-dropping-particle" : "", "parse-names" : false, "suffix" : "" }, { "dropping-particle" : "", "family" : "Choudhury", "given" : "Namita Roy", "non-dropping-particle" : "", "parse-names" : false, "suffix" : "" }, { "dropping-particle" : "", "family" : "Dutta", "given" : "Naba", "non-dropping-particle" : "", "parse-names" : false, "suffix" : "" }, { "dropping-particle" : "", "family" : "Steele", "given" : "David A.", "non-dropping-particle" : "", "parse-names" : false, "suffix" : "" }, { "dropping-particle" : "", "family" : "Kumar", "given" : "Sunil", "non-dropping-particle" : "", "parse-names" : false, "suffix" : "" } ], "container-title" : "Journal of Biomaterials Science, Polymer Edition", "id" : "ITEM-1", "issue" : "8-9", "issued" : { "date-parts" : [ [ "2010", "1" ] ] }, "page" : "1039-1050", "publisher" : " Taylor &amp; Francis Group ", "title" : "Osteoblast Biocompatibility on Poly(octanediol citrate)/Sebacate Elastomers with Controlled Wettability", "type" : "article-journal", "volume" : "21" }, "uris" : [ "http://www.mendeley.com/documents/?uuid=9138c3f4-0b0a-3d39-b719-e1780fa07649", "http://www.mendeley.com/documents/?uuid=6004dff5-63ce-438a-bf13-d4c354cf91bf" ] } ], "mendeley" : { "formattedCitation" : "&lt;sup&gt;64&lt;/sup&gt;", "plainTextFormattedCitation" : "64", "previouslyFormattedCitation" : "&lt;sup&gt;63&lt;/sup&gt;"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64</w:t>
      </w:r>
      <w:r w:rsidRPr="00610A40">
        <w:rPr>
          <w:color w:val="auto"/>
          <w:szCs w:val="24"/>
        </w:rPr>
        <w:fldChar w:fldCharType="end"/>
      </w:r>
      <w:r w:rsidRPr="00610A40">
        <w:rPr>
          <w:color w:val="auto"/>
          <w:szCs w:val="24"/>
        </w:rPr>
        <w:t>. The pendant carboxyl group not only determines crosslinking density but also the concentration of carboxyl group on the polymer surface, which regulate the biocompatibility of the polymer. Surface carboxyl groups can either stimulate or inhibit cell attachment and differentiation of neural cells, keratinocytes and osteoblast-like cells. These carboxyl groups can also function as handles for the covalent attachment of ECM proteins, growth factors and protein sequences to provide cues for tissue regeneration. As the CA is being gradually replaced by SA, hydration and thus hydrolytic degradation will decrease. Longer hydrophobic chains of SA do not allow water penetration into the construct to cleave the ester bonds. In vitro biocompatibility has been demonstrated with human MG63 osteoblast-like cells where p(OCS) and the polystyrene control showed similar cell viability</w:t>
      </w:r>
      <w:r w:rsidRPr="00610A40">
        <w:rPr>
          <w:color w:val="auto"/>
          <w:szCs w:val="24"/>
        </w:rPr>
        <w:fldChar w:fldCharType="begin" w:fldLock="1"/>
      </w:r>
      <w:r w:rsidR="00565E2A" w:rsidRPr="00610A40">
        <w:rPr>
          <w:color w:val="auto"/>
          <w:szCs w:val="24"/>
        </w:rPr>
        <w:instrText>ADDIN CSL_CITATION { "citationItems" : [ { "id" : "ITEM-1", "itemData" : { "DOI" : "10.1002/pi.2996", "ISSN" : "1097-0126", "abstract" : "This review focuses on a new class of elastomers, namely poly[octanediol-co-(citric acid)-co-(sebacic acid)] (p(OCS)), synthesised from 1,8-octanediol, citric acid and sebacic acid in a catalyst-free polyesterification reaction. The review begins with a detailed description of the synthesis, characterisation and structure\u2013property\u2013performance relationship of some reported elastomers suitable for tissue engineering. The control of the physicochemical properties of the new p(OCS) by simple variation of initial monomer concentrations in polyesterification forms the pivotal part of the synthesis. As tissue engineering requires complex designs, thin films and porous three-dimensional structures of p(OCS) were fabricated to demonstrate their ease of processing. The fundamental material properties of p(OCS) are discussed for p(OCS) pre-polymers and final polymers. The elastomers exhibit versatility in mechanical properties, hydration and hydrolytic degradation, as determined by their chemical structure. Surface analysis of spin-coated p(OCS) suggests that the surface morphology, chemistry and concentration of the surface functional groups can be controlled simply by varying the initial citric acid/sebacic acid concentration in polyesterification. These tunable molecular architectures and material properties are crucial in biological interactions. The in vitro biocompatibility testing of p(OCS) with MG63 osteoblast-like cells suggests that p(OCS) is an excellent candidate for potential elastic biomaterials for tissue engineering applications without the need for any post-synthesis modification. Copyright \u00a9 2011 Society of Chemical Industry", "author" : [ { "dropping-particle" : "", "family" : "Djordjevic", "given" : "Ivan", "non-dropping-particle" : "", "parse-names" : false, "suffix" : "" }, { "dropping-particle" : "", "family" : "Choudhury", "given" : "Namita Roy", "non-dropping-particle" : "", "parse-names" : false, "suffix" : "" }, { "dropping-particle" : "", "family" : "Dutta", "given" : "Naba K", "non-dropping-particle" : "", "parse-names" : false, "suffix" : "" }, { "dropping-particle" : "", "family" : "Kumar", "given" : "Sunil", "non-dropping-particle" : "", "parse-names" : false, "suffix" : "" } ], "container-title" : "Polymer International", "id" : "ITEM-1", "issue" : "3", "issued" : { "date-parts" : [ [ "2011", "3", "1" ] ] }, "page" : "333-343", "publisher" : "John Wiley &amp; Sons, Ltd.", "title" : "Poly[octanediol-co-(citric acid)-co-(sebacic acid)] elastomers: novel bio-elastomers for tissue engineering", "type" : "article-journal", "volume" : "60" }, "uris" : [ "http://www.mendeley.com/documents/?uuid=ccc181bf-1b77-41db-915b-8debdc143c77" ] } ], "mendeley" : { "formattedCitation" : "&lt;sup&gt;49&lt;/sup&gt;", "plainTextFormattedCitation" : "49", "previouslyFormattedCitation" : "&lt;sup&gt;49&lt;/sup&gt;"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49</w:t>
      </w:r>
      <w:r w:rsidRPr="00610A40">
        <w:rPr>
          <w:color w:val="auto"/>
          <w:szCs w:val="24"/>
        </w:rPr>
        <w:fldChar w:fldCharType="end"/>
      </w:r>
      <w:r w:rsidRPr="00610A40">
        <w:rPr>
          <w:color w:val="auto"/>
          <w:szCs w:val="24"/>
        </w:rPr>
        <w:t xml:space="preserve">.  </w:t>
      </w:r>
    </w:p>
    <w:p w14:paraId="5BCADC73" w14:textId="77777777" w:rsidR="00CA2966" w:rsidRPr="00610A40" w:rsidRDefault="00CA2966" w:rsidP="00CA2966">
      <w:pPr>
        <w:rPr>
          <w:color w:val="auto"/>
          <w:szCs w:val="24"/>
        </w:rPr>
      </w:pPr>
    </w:p>
    <w:p w14:paraId="107810C1" w14:textId="54752555" w:rsidR="00CA2966" w:rsidRPr="00610A40" w:rsidRDefault="00CA2966" w:rsidP="00CA2966">
      <w:pPr>
        <w:pStyle w:val="Heading2"/>
        <w:rPr>
          <w:sz w:val="24"/>
          <w:szCs w:val="24"/>
        </w:rPr>
      </w:pPr>
      <w:r w:rsidRPr="00610A40">
        <w:rPr>
          <w:sz w:val="24"/>
          <w:szCs w:val="24"/>
        </w:rPr>
        <w:t xml:space="preserve">2.6 </w:t>
      </w:r>
      <w:r w:rsidR="00990A40" w:rsidRPr="00610A40">
        <w:rPr>
          <w:sz w:val="24"/>
          <w:szCs w:val="24"/>
        </w:rPr>
        <w:t>Poly (</w:t>
      </w:r>
      <w:proofErr w:type="spellStart"/>
      <w:r w:rsidRPr="00610A40">
        <w:rPr>
          <w:sz w:val="24"/>
          <w:szCs w:val="24"/>
        </w:rPr>
        <w:t>trimethylene</w:t>
      </w:r>
      <w:proofErr w:type="spellEnd"/>
      <w:r w:rsidRPr="00610A40">
        <w:rPr>
          <w:sz w:val="24"/>
          <w:szCs w:val="24"/>
        </w:rPr>
        <w:t xml:space="preserve"> carbonate) </w:t>
      </w:r>
    </w:p>
    <w:p w14:paraId="692781F2" w14:textId="3A985994" w:rsidR="00CA2966" w:rsidRPr="00610A40" w:rsidRDefault="00CA2966" w:rsidP="00CA2966">
      <w:pPr>
        <w:rPr>
          <w:rFonts w:cs="Times New Roman"/>
          <w:bCs/>
          <w:color w:val="auto"/>
          <w:kern w:val="36"/>
          <w:szCs w:val="24"/>
        </w:rPr>
      </w:pPr>
      <w:r w:rsidRPr="00610A40">
        <w:rPr>
          <w:color w:val="auto"/>
          <w:szCs w:val="24"/>
        </w:rPr>
        <w:t>Poly(</w:t>
      </w:r>
      <w:proofErr w:type="spellStart"/>
      <w:r w:rsidRPr="00610A40">
        <w:rPr>
          <w:color w:val="auto"/>
          <w:szCs w:val="24"/>
        </w:rPr>
        <w:t>trimethylene</w:t>
      </w:r>
      <w:proofErr w:type="spellEnd"/>
      <w:r w:rsidRPr="00610A40">
        <w:rPr>
          <w:color w:val="auto"/>
          <w:szCs w:val="24"/>
        </w:rPr>
        <w:t xml:space="preserve"> carbonate) (PTMC), initially under-utilized due to poor form stability and mechanical properties, has become an important aliphatic polycarbonate for applications such as long term contraceptive implants</w:t>
      </w:r>
      <w:r w:rsidRPr="00610A40">
        <w:rPr>
          <w:color w:val="auto"/>
          <w:szCs w:val="24"/>
        </w:rPr>
        <w:fldChar w:fldCharType="begin" w:fldLock="1"/>
      </w:r>
      <w:r w:rsidR="00565E2A" w:rsidRPr="00610A40">
        <w:rPr>
          <w:color w:val="auto"/>
          <w:szCs w:val="24"/>
        </w:rPr>
        <w:instrText>ADDIN CSL_CITATION { "citationItems" : [ { "id" : "ITEM-1", "itemData" : { "DOI" : "10.1016/S0032-3861(03)00668-2", "ISBN" : "3153489297", "ISSN" : "00323861", "abstract" : "Poly(1,3-trimethylene carbonate), poly(TMC), has often been regarded as a rubbery polymer that cannot be applied in the biomedical field due to its poor dimensional stability, tackiness and inadequate mechanical properties. In this study we show that high molecular weight, amorphous poly(TMC) is very flexible, tough and has excellent ultimate mechanical properties. A number average molecular weight of 100,000 was determined to be a critical value below which the polymer has negligible mechanical properties and poor dimensional stability. This corresponds to a molecular weight that is 40 times higher than the molecular weight between entanglements. The dependency of the mechanical properties levels off at values above 200,000. This very high molecular weight poly(TMC) shows good recovery after mechanical deformation, considering that the only resistance to chain flow is due to chain entanglement. Poly(TMC) cross-linked upon gamma-irradiation, resulting in the formation of an insoluble network. The degree of cross-linking increases with the radiation dose. The final mechanical properties of the high molecular weight poly(TMC) rubbers improve upon irradiation. Especially, the creep resistance increased, while the Young's modulus and tensile strength were not significantly affected. These biodegradable cross-linked rubbers may find wide application in soft tissue engineering where tough and elastomeric scaffolds are desirable.", "author" : [ { "dropping-particle" : "", "family" : "P\u00eago", "given" : "Ana Paula", "non-dropping-particle" : "", "parse-names" : false, "suffix" : "" }, { "dropping-particle" : "", "family" : "Grijpma", "given" : "Dirk W", "non-dropping-particle" : "", "parse-names" : false, "suffix" : "" }, { "dropping-particle" : "", "family" : "Feijen", "given" : "Jan", "non-dropping-particle" : "", "parse-names" : false, "suffix" : "" } ], "container-title" : "Polymer", "id" : "ITEM-1", "issue" : "21", "issued" : { "date-parts" : [ [ "2003" ] ] }, "page" : "6495-6504", "title" : "Enhanced mechanical properties of 1,3-trimethylene carbonate polymers and networks", "type" : "article-journal", "volume" : "44" }, "uris" : [ "http://www.mendeley.com/documents/?uuid=b2b5f2c7-a541-4685-b3d1-bdf9f16f999d" ] } ], "mendeley" : { "formattedCitation" : "&lt;sup&gt;65&lt;/sup&gt;", "plainTextFormattedCitation" : "65", "previouslyFormattedCitation" : "&lt;sup&gt;64&lt;/sup&gt;"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65</w:t>
      </w:r>
      <w:r w:rsidRPr="00610A40">
        <w:rPr>
          <w:color w:val="auto"/>
          <w:szCs w:val="24"/>
        </w:rPr>
        <w:fldChar w:fldCharType="end"/>
      </w:r>
      <w:r w:rsidRPr="00610A40">
        <w:rPr>
          <w:color w:val="auto"/>
          <w:szCs w:val="24"/>
          <w:vertAlign w:val="superscript"/>
        </w:rPr>
        <w:t>,</w:t>
      </w:r>
      <w:r w:rsidRPr="00610A40">
        <w:rPr>
          <w:color w:val="auto"/>
          <w:szCs w:val="24"/>
        </w:rPr>
        <w:fldChar w:fldCharType="begin" w:fldLock="1"/>
      </w:r>
      <w:r w:rsidR="00565E2A" w:rsidRPr="00610A40">
        <w:rPr>
          <w:color w:val="auto"/>
          <w:szCs w:val="24"/>
        </w:rPr>
        <w:instrText>ADDIN CSL_CITATION { "citationItems" : [ { "id" : "ITEM-1", "itemData" : { "DOI" : "10.1016/j.polymer.2013.03.059", "ISSN" : "00323861", "abstract" : "In order to avoid the deformation of poly(trimethylene carbonate) (PTMC) in vivo applications, bis(cyclic carbonate) was synthesized and used as cross-linker to prepare PTMC based biodegradable networks via ring-opening polymerization of TMC and/or CL with stannous octanoate as catalyst. The effect of the cross-linking on the resulted networks was studied. The results showed that the crosslinker had high reactivity and efficiency to form stable polymeric networks with high gel percentage, high decomposition temperature and good mechanical properties. These obtained networks were amorphous and elastic, and the glass transition temperatures were below physiological temperature (37 C), which were expected to be rubbery for in vivo applications. The properties of the networks could be predictably controlled and tailed by varying the polymer composition and cross-linker amount in feed. The cross-linked PTMC based networks showed a potential biomedical application of loading drugs for implanted devices. \u00a9 2013 Elsevier Ltd. All rights reserved.", "author" : [ { "dropping-particle" : "", "family" : "Yang", "given" : "Li Qun", "non-dropping-particle" : "", "parse-names" : false, "suffix" : "" }, { "dropping-particle" : "", "family" : "He", "given" : "Bin", "non-dropping-particle" : "", "parse-names" : false, "suffix" : "" }, { "dropping-particle" : "", "family" : "Meng", "given" : "Shu", "non-dropping-particle" : "", "parse-names" : false, "suffix" : "" }, { "dropping-particle" : "", "family" : "Zhang", "given" : "Jin Zhe", "non-dropping-particle" : "", "parse-names" : false, "suffix" : "" }, { "dropping-particle" : "", "family" : "Li", "given" : "Miao", "non-dropping-particle" : "", "parse-names" : false, "suffix" : "" }, { "dropping-particle" : "", "family" : "Guo", "given" : "Jing", "non-dropping-particle" : "", "parse-names" : false, "suffix" : "" }, { "dropping-particle" : "", "family" : "Guan", "given" : "Yan Min", "non-dropping-particle" : "", "parse-names" : false, "suffix" : "" }, { "dropping-particle" : "", "family" : "Li", "given" : "Jian Xin", "non-dropping-particle" : "", "parse-names" : false, "suffix" : "" }, { "dropping-particle" : "", "family" : "Gu", "given" : "Zhong Wei", "non-dropping-particle" : "", "parse-names" : false, "suffix" : "" } ], "container-title" : "Polymer (United Kingdom)", "id" : "ITEM-1", "issue" : "11", "issued" : { "date-parts" : [ [ "2013" ] ] }, "page" : "2668-2675", "publisher" : "Elsevier Ltd", "title" : "Biodegradable cross-linked poly(trimethylene carbonate) networks for implant applications: Synthesis and properties", "type" : "article-journal", "volume" : "54" }, "uris" : [ "http://www.mendeley.com/documents/?uuid=19d593b9-a84f-4820-91b0-c50dcd27747f" ] } ], "mendeley" : { "formattedCitation" : "&lt;sup&gt;66&lt;/sup&gt;", "plainTextFormattedCitation" : "66", "previouslyFormattedCitation" : "&lt;sup&gt;65&lt;/sup&gt;"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66</w:t>
      </w:r>
      <w:r w:rsidRPr="00610A40">
        <w:rPr>
          <w:color w:val="auto"/>
          <w:szCs w:val="24"/>
        </w:rPr>
        <w:fldChar w:fldCharType="end"/>
      </w:r>
      <w:r w:rsidRPr="00610A40">
        <w:rPr>
          <w:color w:val="auto"/>
          <w:szCs w:val="24"/>
        </w:rPr>
        <w:t>. </w:t>
      </w:r>
      <w:r w:rsidRPr="00610A40">
        <w:rPr>
          <w:rFonts w:cs="Times New Roman"/>
          <w:bCs/>
          <w:color w:val="auto"/>
          <w:kern w:val="36"/>
          <w:szCs w:val="24"/>
        </w:rPr>
        <w:t xml:space="preserve">In contrast to PLA or PGA, an advantage of PTMC in biocompatibility is that acidic compounds are not produced upon degradation. High molecular weight PTMC rubbers show relative good stability and mechanical properties. The </w:t>
      </w:r>
      <w:proofErr w:type="spellStart"/>
      <w:r w:rsidRPr="00610A40">
        <w:rPr>
          <w:rFonts w:cs="Times New Roman"/>
          <w:bCs/>
          <w:color w:val="auto"/>
          <w:kern w:val="36"/>
          <w:szCs w:val="24"/>
        </w:rPr>
        <w:t>homopolymer</w:t>
      </w:r>
      <w:proofErr w:type="spellEnd"/>
      <w:r w:rsidRPr="00610A40">
        <w:rPr>
          <w:rFonts w:cs="Times New Roman"/>
          <w:bCs/>
          <w:color w:val="auto"/>
          <w:kern w:val="36"/>
          <w:szCs w:val="24"/>
        </w:rPr>
        <w:t xml:space="preserve"> displays a Young’s modulus of &gt; 6 </w:t>
      </w:r>
      <w:proofErr w:type="spellStart"/>
      <w:r w:rsidRPr="00610A40">
        <w:rPr>
          <w:rFonts w:cs="Times New Roman"/>
          <w:bCs/>
          <w:color w:val="auto"/>
          <w:kern w:val="36"/>
          <w:szCs w:val="24"/>
        </w:rPr>
        <w:t>MPa</w:t>
      </w:r>
      <w:proofErr w:type="spellEnd"/>
      <w:r w:rsidRPr="00610A40">
        <w:rPr>
          <w:rFonts w:cs="Times New Roman"/>
          <w:bCs/>
          <w:color w:val="auto"/>
          <w:kern w:val="36"/>
          <w:szCs w:val="24"/>
        </w:rPr>
        <w:t xml:space="preserve">, tensile strength of &gt; 12 </w:t>
      </w:r>
      <w:proofErr w:type="spellStart"/>
      <w:r w:rsidRPr="00610A40">
        <w:rPr>
          <w:rFonts w:cs="Times New Roman"/>
          <w:bCs/>
          <w:color w:val="auto"/>
          <w:kern w:val="36"/>
          <w:szCs w:val="24"/>
        </w:rPr>
        <w:t>MPa</w:t>
      </w:r>
      <w:proofErr w:type="spellEnd"/>
      <w:r w:rsidRPr="00610A40">
        <w:rPr>
          <w:rFonts w:cs="Times New Roman"/>
          <w:bCs/>
          <w:color w:val="auto"/>
          <w:kern w:val="36"/>
          <w:szCs w:val="24"/>
        </w:rPr>
        <w:t xml:space="preserve"> and elongation of break of &gt;800% when molecular weight (</w:t>
      </w:r>
      <w:proofErr w:type="spellStart"/>
      <w:r w:rsidRPr="00610A40">
        <w:rPr>
          <w:rFonts w:cs="Times New Roman"/>
          <w:bCs/>
          <w:color w:val="auto"/>
          <w:kern w:val="36"/>
          <w:szCs w:val="24"/>
        </w:rPr>
        <w:t>M</w:t>
      </w:r>
      <w:r w:rsidRPr="00610A40">
        <w:rPr>
          <w:rFonts w:cs="Times New Roman"/>
          <w:bCs/>
          <w:color w:val="auto"/>
          <w:kern w:val="36"/>
          <w:szCs w:val="24"/>
          <w:vertAlign w:val="subscript"/>
        </w:rPr>
        <w:t>n</w:t>
      </w:r>
      <w:proofErr w:type="spellEnd"/>
      <w:r w:rsidRPr="00610A40">
        <w:rPr>
          <w:rFonts w:cs="Times New Roman"/>
          <w:bCs/>
          <w:color w:val="auto"/>
          <w:kern w:val="36"/>
          <w:szCs w:val="24"/>
        </w:rPr>
        <w:t>) reach 200,000 Da and above. High molecular weight PTMC also shows good dimensional recovery after cyclic mechanical deformation. However, below a number average molecular weight (</w:t>
      </w:r>
      <w:proofErr w:type="spellStart"/>
      <w:r w:rsidRPr="00610A40">
        <w:rPr>
          <w:rFonts w:cs="Times New Roman"/>
          <w:bCs/>
          <w:color w:val="auto"/>
          <w:kern w:val="36"/>
          <w:szCs w:val="24"/>
        </w:rPr>
        <w:t>M</w:t>
      </w:r>
      <w:r w:rsidRPr="00610A40">
        <w:rPr>
          <w:rFonts w:cs="Times New Roman"/>
          <w:bCs/>
          <w:color w:val="auto"/>
          <w:kern w:val="36"/>
          <w:szCs w:val="24"/>
          <w:vertAlign w:val="subscript"/>
        </w:rPr>
        <w:t>n</w:t>
      </w:r>
      <w:proofErr w:type="spellEnd"/>
      <w:r w:rsidRPr="00610A40">
        <w:rPr>
          <w:rFonts w:cs="Times New Roman"/>
          <w:bCs/>
          <w:color w:val="auto"/>
          <w:kern w:val="36"/>
          <w:szCs w:val="24"/>
        </w:rPr>
        <w:t>) of 100,000 Da, PTMC suffers from poor mechanical properties and dimensional stability</w:t>
      </w:r>
      <w:r w:rsidRPr="00610A40">
        <w:rPr>
          <w:rFonts w:cs="Times New Roman"/>
          <w:bCs/>
          <w:color w:val="auto"/>
          <w:kern w:val="36"/>
          <w:szCs w:val="24"/>
        </w:rPr>
        <w:fldChar w:fldCharType="begin" w:fldLock="1"/>
      </w:r>
      <w:r w:rsidR="00565E2A" w:rsidRPr="00610A40">
        <w:rPr>
          <w:rFonts w:cs="Times New Roman"/>
          <w:bCs/>
          <w:color w:val="auto"/>
          <w:kern w:val="36"/>
          <w:szCs w:val="24"/>
        </w:rPr>
        <w:instrText>ADDIN CSL_CITATION { "citationItems" : [ { "id" : "ITEM-1", "itemData" : { "DOI" : "10.1016/S0032-3861(03)00668-2", "ISBN" : "3153489297", "ISSN" : "00323861", "abstract" : "Poly(1,3-trimethylene carbonate), poly(TMC), has often been regarded as a rubbery polymer that cannot be applied in the biomedical field due to its poor dimensional stability, tackiness and inadequate mechanical properties. In this study we show that high molecular weight, amorphous poly(TMC) is very flexible, tough and has excellent ultimate mechanical properties. A number average molecular weight of 100,000 was determined to be a critical value below which the polymer has negligible mechanical properties and poor dimensional stability. This corresponds to a molecular weight that is 40 times higher than the molecular weight between entanglements. The dependency of the mechanical properties levels off at values above 200,000. This very high molecular weight poly(TMC) shows good recovery after mechanical deformation, considering that the only resistance to chain flow is due to chain entanglement. Poly(TMC) cross-linked upon gamma-irradiation, resulting in the formation of an insoluble network. The degree of cross-linking increases with the radiation dose. The final mechanical properties of the high molecular weight poly(TMC) rubbers improve upon irradiation. Especially, the creep resistance increased, while the Young's modulus and tensile strength were not significantly affected. These biodegradable cross-linked rubbers may find wide application in soft tissue engineering where tough and elastomeric scaffolds are desirable.", "author" : [ { "dropping-particle" : "", "family" : "P\u00eago", "given" : "Ana Paula", "non-dropping-particle" : "", "parse-names" : false, "suffix" : "" }, { "dropping-particle" : "", "family" : "Grijpma", "given" : "Dirk W", "non-dropping-particle" : "", "parse-names" : false, "suffix" : "" }, { "dropping-particle" : "", "family" : "Feijen", "given" : "Jan", "non-dropping-particle" : "", "parse-names" : false, "suffix" : "" } ], "container-title" : "Polymer", "id" : "ITEM-1", "issue" : "21", "issued" : { "date-parts" : [ [ "2003" ] ] }, "page" : "6495-6504", "title" : "Enhanced mechanical properties of 1,3-trimethylene carbonate polymers and networks", "type" : "article-journal", "volume" : "44" }, "uris" : [ "http://www.mendeley.com/documents/?uuid=b2b5f2c7-a541-4685-b3d1-bdf9f16f999d" ] } ], "mendeley" : { "formattedCitation" : "&lt;sup&gt;65&lt;/sup&gt;", "plainTextFormattedCitation" : "65", "previouslyFormattedCitation" : "&lt;sup&gt;64&lt;/sup&gt;" }, "properties" : { "noteIndex" : 0 }, "schema" : "https://github.com/citation-style-language/schema/raw/master/csl-citation.json" }</w:instrText>
      </w:r>
      <w:r w:rsidRPr="00610A40">
        <w:rPr>
          <w:rFonts w:cs="Times New Roman"/>
          <w:bCs/>
          <w:color w:val="auto"/>
          <w:kern w:val="36"/>
          <w:szCs w:val="24"/>
        </w:rPr>
        <w:fldChar w:fldCharType="separate"/>
      </w:r>
      <w:r w:rsidR="00565E2A" w:rsidRPr="00610A40">
        <w:rPr>
          <w:rFonts w:cs="Times New Roman"/>
          <w:bCs/>
          <w:noProof/>
          <w:color w:val="auto"/>
          <w:kern w:val="36"/>
          <w:szCs w:val="24"/>
          <w:vertAlign w:val="superscript"/>
        </w:rPr>
        <w:t>65</w:t>
      </w:r>
      <w:r w:rsidRPr="00610A40">
        <w:rPr>
          <w:rFonts w:cs="Times New Roman"/>
          <w:bCs/>
          <w:color w:val="auto"/>
          <w:kern w:val="36"/>
          <w:szCs w:val="24"/>
        </w:rPr>
        <w:fldChar w:fldCharType="end"/>
      </w:r>
      <w:r w:rsidRPr="00610A40">
        <w:rPr>
          <w:rFonts w:cs="Times New Roman"/>
          <w:bCs/>
          <w:color w:val="auto"/>
          <w:kern w:val="36"/>
          <w:szCs w:val="24"/>
        </w:rPr>
        <w:t xml:space="preserve">. Young’s modulus of the polymer drops to ~2 </w:t>
      </w:r>
      <w:proofErr w:type="spellStart"/>
      <w:r w:rsidRPr="00610A40">
        <w:rPr>
          <w:rFonts w:cs="Times New Roman"/>
          <w:bCs/>
          <w:color w:val="auto"/>
          <w:kern w:val="36"/>
          <w:szCs w:val="24"/>
        </w:rPr>
        <w:t>MPa</w:t>
      </w:r>
      <w:proofErr w:type="spellEnd"/>
      <w:r w:rsidRPr="00610A40">
        <w:rPr>
          <w:rFonts w:cs="Times New Roman"/>
          <w:bCs/>
          <w:color w:val="auto"/>
          <w:kern w:val="36"/>
          <w:szCs w:val="24"/>
        </w:rPr>
        <w:t xml:space="preserve">, tensile strength reduced to 0.5 </w:t>
      </w:r>
      <w:proofErr w:type="spellStart"/>
      <w:r w:rsidRPr="00610A40">
        <w:rPr>
          <w:rFonts w:cs="Times New Roman"/>
          <w:bCs/>
          <w:color w:val="auto"/>
          <w:kern w:val="36"/>
          <w:szCs w:val="24"/>
        </w:rPr>
        <w:t>MPa</w:t>
      </w:r>
      <w:proofErr w:type="spellEnd"/>
      <w:r w:rsidRPr="00610A40">
        <w:rPr>
          <w:rFonts w:cs="Times New Roman"/>
          <w:bCs/>
          <w:color w:val="auto"/>
          <w:kern w:val="36"/>
          <w:szCs w:val="24"/>
        </w:rPr>
        <w:t xml:space="preserve"> and elongation of break shorten to 230 %. </w:t>
      </w:r>
      <w:r w:rsidRPr="00610A40">
        <w:rPr>
          <w:rFonts w:cs="Times New Roman"/>
          <w:color w:val="auto"/>
          <w:szCs w:val="24"/>
        </w:rPr>
        <w:t xml:space="preserve">To address the issue of poor mechanical properties, many approaches have developed for the enhancement of PTMC. </w:t>
      </w:r>
      <w:r w:rsidRPr="00610A40">
        <w:rPr>
          <w:color w:val="auto"/>
          <w:szCs w:val="24"/>
        </w:rPr>
        <w:t>UV photo-crosslinking of low molecular weight PTMC with methacrylate end groups can be performed to improve mechanical properties such as creep resistance</w:t>
      </w:r>
      <w:r w:rsidRPr="00610A40">
        <w:rPr>
          <w:color w:val="auto"/>
          <w:szCs w:val="24"/>
        </w:rPr>
        <w:fldChar w:fldCharType="begin" w:fldLock="1"/>
      </w:r>
      <w:r w:rsidR="00565E2A" w:rsidRPr="00610A40">
        <w:rPr>
          <w:color w:val="auto"/>
          <w:szCs w:val="24"/>
        </w:rPr>
        <w:instrText>ADDIN CSL_CITATION { "citationItems" : [ { "id" : "ITEM-1", "itemData" : { "DOI" : "http://dx.doi.org/10.1016/j.actbio.2011.01.010", "ISSN" : "1742-7061", "abstract" : "Resorbable and elastomeric poly(trimethylene carbonate) (PTMC) networks were efficiently prepared by photoinitiated crosslinking of linear high-molecular-weight PTMC. To crosslink PTMC films, low-molecular-weight PTMC macromers with methacrylate end groups were synthesized and used as crosslinking aids. By exposing PTMC films containing only photoinitiator (Irgacure\u00ae 2959) or both photoinitiator and PTMC macromers to ultraviolet light, PTMC networks with high gel contents (87\u201395%) could be obtained. The crosslink density could be readily varied by adjusting the irradiation time or the amount of crosslinking aid used. The formed networks were flexible, with low elastic modulus values ranging from 7.1 to 7.5 MPa, and also showed excellent resistance to creep in cyclic tests. In vitro experiments showed that the photocrosslinked PTMC networks could be eroded by macrophages, and upon incubation in aqueous cholesterol esterase enzyme- or potassium dioxide solutions. The rate of surface erosion of photocrosslinked PTMC networks was significantly lower than that observed for films prepared from linear PTMC. These resorbable PTMC elastomeric networks are compatible with cells and may find application in tissue engineering and controlled release.", "author" : [ { "dropping-particle" : "", "family" : "Bat", "given" : "Erhan", "non-dropping-particle" : "", "parse-names" : false, "suffix" : "" }, { "dropping-particle" : "", "family" : "Kooten", "given" : "Theo G", "non-dropping-particle" : "van", "parse-names" : false, "suffix" : "" }, { "dropping-particle" : "", "family" : "Feijen", "given" : "Jan", "non-dropping-particle" : "", "parse-names" : false, "suffix" : "" }, { "dropping-particle" : "", "family" : "Grijpma", "given" : "Dirk W", "non-dropping-particle" : "", "parse-names" : false, "suffix" : "" } ], "container-title" : "Acta Biomaterialia", "id" : "ITEM-1", "issue" : "5", "issued" : { "date-parts" : [ [ "2011", "5" ] ] }, "page" : "1939-1948", "title" : "Resorbable elastomeric networks prepared by photocrosslinking of high-molecular-weight poly(trimethylene carbonate) with photoinitiators and poly(trimethylene carbonate) macromers as crosslinking aids", "type" : "article-journal", "volume" : "7" }, "uris" : [ "http://www.mendeley.com/documents/?uuid=af7e1547-bc8a-4d27-acd3-5f22a12f2ced" ] } ], "mendeley" : { "formattedCitation" : "&lt;sup&gt;67&lt;/sup&gt;", "plainTextFormattedCitation" : "67", "previouslyFormattedCitation" : "&lt;sup&gt;66&lt;/sup&gt;"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67</w:t>
      </w:r>
      <w:r w:rsidRPr="00610A40">
        <w:rPr>
          <w:color w:val="auto"/>
          <w:szCs w:val="24"/>
        </w:rPr>
        <w:fldChar w:fldCharType="end"/>
      </w:r>
      <w:r w:rsidRPr="00610A40">
        <w:rPr>
          <w:color w:val="auto"/>
          <w:szCs w:val="24"/>
        </w:rPr>
        <w:t xml:space="preserve">. Densely </w:t>
      </w:r>
      <w:proofErr w:type="spellStart"/>
      <w:r w:rsidRPr="00610A40">
        <w:rPr>
          <w:color w:val="auto"/>
          <w:szCs w:val="24"/>
        </w:rPr>
        <w:t>crosslinked</w:t>
      </w:r>
      <w:proofErr w:type="spellEnd"/>
      <w:r w:rsidRPr="00610A40">
        <w:rPr>
          <w:color w:val="auto"/>
          <w:szCs w:val="24"/>
        </w:rPr>
        <w:t xml:space="preserve"> PTMC-based scaffolds can be achieved in copolymers involving </w:t>
      </w:r>
      <w:proofErr w:type="spellStart"/>
      <w:r w:rsidRPr="00610A40">
        <w:rPr>
          <w:color w:val="auto"/>
          <w:szCs w:val="24"/>
        </w:rPr>
        <w:t>mPEG</w:t>
      </w:r>
      <w:proofErr w:type="spellEnd"/>
      <w:r w:rsidRPr="00610A40">
        <w:rPr>
          <w:color w:val="auto"/>
          <w:szCs w:val="24"/>
        </w:rPr>
        <w:t xml:space="preserve"> (</w:t>
      </w:r>
      <w:proofErr w:type="spellStart"/>
      <w:r w:rsidRPr="00610A40">
        <w:rPr>
          <w:color w:val="auto"/>
          <w:szCs w:val="24"/>
        </w:rPr>
        <w:t>methoxypoly</w:t>
      </w:r>
      <w:proofErr w:type="spellEnd"/>
      <w:r w:rsidRPr="00610A40">
        <w:rPr>
          <w:color w:val="auto"/>
          <w:szCs w:val="24"/>
        </w:rPr>
        <w:t>(ethylene glycol), l-</w:t>
      </w:r>
      <w:proofErr w:type="spellStart"/>
      <w:r w:rsidRPr="00610A40">
        <w:rPr>
          <w:color w:val="auto"/>
          <w:szCs w:val="24"/>
        </w:rPr>
        <w:t>lactide</w:t>
      </w:r>
      <w:proofErr w:type="spellEnd"/>
      <w:r w:rsidRPr="00610A40">
        <w:rPr>
          <w:color w:val="auto"/>
          <w:szCs w:val="24"/>
        </w:rPr>
        <w:t xml:space="preserve"> (LLA) and PCL</w:t>
      </w:r>
      <w:r w:rsidRPr="00610A40">
        <w:rPr>
          <w:color w:val="auto"/>
          <w:szCs w:val="24"/>
        </w:rPr>
        <w:fldChar w:fldCharType="begin" w:fldLock="1"/>
      </w:r>
      <w:r w:rsidR="00565E2A" w:rsidRPr="00610A40">
        <w:rPr>
          <w:color w:val="auto"/>
          <w:szCs w:val="24"/>
        </w:rPr>
        <w:instrText>ADDIN CSL_CITATION { "citationItems" : [ { "id" : "ITEM-1", "itemData" : { "DOI" : "http://dx.doi.org/10.1016/j.biomaterials.2010.07.102", "ISSN" : "0142-9612", "abstract" : "A practical method of photocrosslinking high molecular weight poly(trimethylene carbonate)(PTMC) is presented. Flexible, elastomeric and biodegradable networks could be readily prepared by UV irradiating PTMC films containing pentaerythritol triacrylate (PETA) and a photoinitiator. The network characteristics, mechanical properties, wettability, and in vitro enzymatic erosion of the photocrosslinked PTMC films were investigated. Densely crosslinked networks with gel contents up to 98% could be obtained in this manner. Upon photocrosslinking, flexible and tough networks with excellent elastomeric properties were obtained. To illustrate the ease with which the properties of the networks can be tailored, blends of PTMC with mPEG-PTMC or with PTMC-PCL-PTMC were also photocrosslinked. The wettability and the enzymatic erosion rate of the networks could be tuned by blending with block copolymers. Tissue engineering scaffolds were also fabricated using these flexible photocrosslinkable materials. After crosslinking, the fabricated PTMC-based scaffolds showed inter-connected pores and extensive microporosity. Human mesenchymal stem cell (hMSC) culturing studies showed that the photocrosslinked scaffolds prepared from PTMC and PTMC/PTMC-PCL-PTMC blends are well-suited for tissue engineering applications.", "author" : [ { "dropping-particle" : "", "family" : "Bat", "given" : "Erhan", "non-dropping-particle" : "", "parse-names" : false, "suffix" : "" }, { "dropping-particle" : "", "family" : "Kothman", "given" : "Bas H M", "non-dropping-particle" : "", "parse-names" : false, "suffix" : "" }, { "dropping-particle" : "", "family" : "Higuera", "given" : "Gustavo A", "non-dropping-particle" : "", "parse-names" : false, "suffix" : "" }, { "dropping-particle" : "", "family" : "Blitterswijk", "given" : "Clemens A", "non-dropping-particle" : "van", "parse-names" : false, "suffix" : "" }, { "dropping-particle" : "", "family" : "Feijen", "given" : "Jan", "non-dropping-particle" : "", "parse-names" : false, "suffix" : "" }, { "dropping-particle" : "", "family" : "Grijpma", "given" : "Dirk W", "non-dropping-particle" : "", "parse-names" : false, "suffix" : "" } ], "container-title" : "Biomaterials", "id" : "ITEM-1", "issue" : "33", "issued" : { "date-parts" : [ [ "2010", "11" ] ] }, "page" : "8696-8705", "title" : "Ultraviolet light crosslinking of poly(trimethylene carbonate) for elastomeric tissue engineering scaffolds", "type" : "article-journal", "volume" : "31" }, "uris" : [ "http://www.mendeley.com/documents/?uuid=0c2f41f8-7450-4a67-83d8-c42c23abd6f1" ] } ], "mendeley" : { "formattedCitation" : "&lt;sup&gt;68&lt;/sup&gt;", "plainTextFormattedCitation" : "68", "previouslyFormattedCitation" : "&lt;sup&gt;67&lt;/sup&gt;"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68</w:t>
      </w:r>
      <w:r w:rsidRPr="00610A40">
        <w:rPr>
          <w:color w:val="auto"/>
          <w:szCs w:val="24"/>
        </w:rPr>
        <w:fldChar w:fldCharType="end"/>
      </w:r>
      <w:r w:rsidRPr="00610A40">
        <w:rPr>
          <w:color w:val="auto"/>
          <w:szCs w:val="24"/>
          <w:vertAlign w:val="superscript"/>
        </w:rPr>
        <w:t>,</w:t>
      </w:r>
      <w:r w:rsidRPr="00610A40">
        <w:rPr>
          <w:color w:val="auto"/>
          <w:szCs w:val="24"/>
        </w:rPr>
        <w:fldChar w:fldCharType="begin" w:fldLock="1"/>
      </w:r>
      <w:r w:rsidR="00565E2A" w:rsidRPr="00610A40">
        <w:rPr>
          <w:color w:val="auto"/>
          <w:szCs w:val="24"/>
        </w:rPr>
        <w:instrText>ADDIN CSL_CITATION { "citationItems" : [ { "id" : "ITEM-1", "itemData" : { "DOI" : "10.1021/bm201291e", "ISSN" : "1525-7797", "abstract" : "A series of copolymers of trimethylene carbonate (TMC) and l-lactide (LLA) were synthesized and evaluated as scaffolds for the production of artificial blood vessels. The polymers were end-functionalized with acrylate, cast into films, and cross-linked using UV light. The mechanical, degradation, and biocompatibility properties were evaluated. High TMC polymers showed mechanical properties comparable to human arteries (Young\u2019s moduli of 1.2\u20131.8 MPa and high elasticity with repeated cycling at 10% strain). Over 84 days degradation in PBS, the modulus and material strength decreased gradually. The polymers were nontoxic and showed good cell adhesion and proliferation over 7 days using human mesenchymal stem cells. When implanted into the rat peritoneal cavity, the polymers elicited formation of tissue capsules composed of myofibroblasts, resembling immature vascular smooth muscle cells. Thus, these polymers showed properties which were tunable and favorable for vascular tissue engineering, specifically, the growth of artificial blood vessels in vivo.", "author" : [ { "dropping-particle" : "", "family" : "Dargaville", "given" : "Bronwin L", "non-dropping-particle" : "", "parse-names" : false, "suffix" : "" }, { "dropping-particle" : "", "family" : "Vaquette", "given" : "C\u00e9dryck", "non-dropping-particle" : "", "parse-names" : false, "suffix" : "" }, { "dropping-particle" : "", "family" : "Peng", "given" : "Hui", "non-dropping-particle" : "", "parse-names" : false, "suffix" : "" }, { "dropping-particle" : "", "family" : "Rasoul", "given" : "Firas", "non-dropping-particle" : "", "parse-names" : false, "suffix" : "" }, { "dropping-particle" : "", "family" : "Chau", "given" : "Yu Qian", "non-dropping-particle" : "", "parse-names" : false, "suffix" : "" }, { "dropping-particle" : "", "family" : "Cooper-White", "given" : "Justin J", "non-dropping-particle" : "", "parse-names" : false, "suffix" : "" }, { "dropping-particle" : "", "family" : "Campbell", "given" : "Julie H", "non-dropping-particle" : "", "parse-names" : false, "suffix" : "" }, { "dropping-particle" : "", "family" : "Whittaker", "given" : "Andrew K", "non-dropping-particle" : "", "parse-names" : false, "suffix" : "" } ], "container-title" : "Biomacromolecules", "id" : "ITEM-1", "issue" : "11", "issued" : { "date-parts" : [ [ "2011", "11", "14" ] ] }, "note" : "doi: 10.1021/bm201291e", "page" : "3856-3869", "publisher" : "American Chemical Society", "title" : "Cross-Linked Poly(trimethylene carbonate-co-l-lactide) as a Biodegradable, Elastomeric Scaffold for Vascular Engineering Applications", "type" : "article-journal", "volume" : "12" }, "uris" : [ "http://www.mendeley.com/documents/?uuid=5371347f-282e-48a6-aae9-20266d9b80ed" ] } ], "mendeley" : { "formattedCitation" : "&lt;sup&gt;69&lt;/sup&gt;", "plainTextFormattedCitation" : "69", "previouslyFormattedCitation" : "&lt;sup&gt;68&lt;/sup&gt;"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69</w:t>
      </w:r>
      <w:r w:rsidRPr="00610A40">
        <w:rPr>
          <w:color w:val="auto"/>
          <w:szCs w:val="24"/>
        </w:rPr>
        <w:fldChar w:fldCharType="end"/>
      </w:r>
      <w:r w:rsidRPr="00610A40">
        <w:rPr>
          <w:color w:val="auto"/>
          <w:szCs w:val="24"/>
        </w:rPr>
        <w:t xml:space="preserve">. The scaffolds show extensive inter-connected micro-pores and are cell-compatible for tissue engineering applications. Besides using UV, crosslinking can also be achieved with gamma-irradiation. Dimensionally stable </w:t>
      </w:r>
      <w:proofErr w:type="spellStart"/>
      <w:r w:rsidRPr="00610A40">
        <w:rPr>
          <w:color w:val="auto"/>
          <w:szCs w:val="24"/>
        </w:rPr>
        <w:t>microporous</w:t>
      </w:r>
      <w:proofErr w:type="spellEnd"/>
      <w:r w:rsidRPr="00610A40">
        <w:rPr>
          <w:color w:val="auto"/>
          <w:szCs w:val="24"/>
        </w:rPr>
        <w:t xml:space="preserve"> scaffolds with excellent creep resistance can be obtained in gamma-</w:t>
      </w:r>
      <w:proofErr w:type="spellStart"/>
      <w:r w:rsidRPr="00610A40">
        <w:rPr>
          <w:color w:val="auto"/>
          <w:szCs w:val="24"/>
        </w:rPr>
        <w:t>crosslinked</w:t>
      </w:r>
      <w:proofErr w:type="spellEnd"/>
      <w:r w:rsidRPr="00610A40">
        <w:rPr>
          <w:color w:val="auto"/>
          <w:szCs w:val="24"/>
        </w:rPr>
        <w:t xml:space="preserve"> networks</w:t>
      </w:r>
      <w:r w:rsidRPr="00610A40">
        <w:rPr>
          <w:color w:val="auto"/>
          <w:szCs w:val="24"/>
        </w:rPr>
        <w:fldChar w:fldCharType="begin" w:fldLock="1"/>
      </w:r>
      <w:r w:rsidR="00565E2A" w:rsidRPr="00610A40">
        <w:rPr>
          <w:color w:val="auto"/>
          <w:szCs w:val="24"/>
        </w:rPr>
        <w:instrText>ADDIN CSL_CITATION { "citationItems" : [ { "id" : "ITEM-1", "itemData" : { "DOI" : "http://dx.doi.org/10.1016/j.actbio.2009.10.002", "ISSN" : "1742-7061", "abstract" : "Biocompatible and elastic porous tubular structures based on poly(1,3-trimethylene carbonate), PTMC, were developed as scaffolds for tissue engineering of small-diameter blood vessels. High-molecular-weight PTMC (Mn = 4.37 \u00d7 105) was cross-linked by gamma-irradiation in an inert nitrogen atmosphere. The resulting networks (50\u201370% gel content) were elastic and creep resistant. The PTMC materials were highly biocompatible as determined by cell adhesion and proliferation studies using various relevant cell types (human umbilical vein endothelial cells (HUVECs), smooth muscle cells (SMCs) and mesenchymal stem cells (MSCs)). Dimensionally stable tubular scaffolds with an interconnected pore network were prepared by particulate leaching. Different cross-linked porous PTMC specimens with average pore sizes ranging between 55 and 116 \u03bcm, and porosities ranging from 59% to 83% were prepared. These scaffolds were highly compliant and flexible, with high elongations at break. Furthermore, their resistance to creep was excellent and under cyclic loading conditions (20 deformation cycles to 30% elongation) no permanent deformation occurred. Seeding of SMCs into the wall of the tubular structures was done by carefully perfusing cell suspensions with syringes from the lumen through the wall. The cells were then cultured for 7 days. Upon proliferation of the SMCs, the formed blood vessel constructs had excellent mechanical properties. Their radial tensile strengths had increased from 0.23 to 0.78 MPa, which is close to those of natural blood vessels.", "author" : [ { "dropping-particle" : "", "family" : "Song", "given" : "Y", "non-dropping-particle" : "", "parse-names" : false, "suffix" : "" }, { "dropping-particle" : "", "family" : "Kamphuis", "given" : "M M J", "non-dropping-particle" : "", "parse-names" : false, "suffix" : "" }, { "dropping-particle" : "", "family" : "Zhang", "given" : "Z", "non-dropping-particle" : "", "parse-names" : false, "suffix" : "" }, { "dropping-particle" : "", "family" : "Sterk", "given" : "L.M.Th.", "non-dropping-particle" : "", "parse-names" : false, "suffix" : "" }, { "dropping-particle" : "", "family" : "Vermes", "given" : "I", "non-dropping-particle" : "", "parse-names" : false, "suffix" : "" }, { "dropping-particle" : "", "family" : "Poot", "given" : "A A", "non-dropping-particle" : "", "parse-names" : false, "suffix" : "" }, { "dropping-particle" : "", "family" : "Feijen", "given" : "J", "non-dropping-particle" : "", "parse-names" : false, "suffix" : "" }, { "dropping-particle" : "", "family" : "Grijpma", "given" : "D W", "non-dropping-particle" : "", "parse-names" : false, "suffix" : "" } ], "container-title" : "Acta Biomaterialia", "id" : "ITEM-1", "issue" : "4", "issued" : { "date-parts" : [ [ "2010", "4" ] ] }, "page" : "1269-1277", "title" : "Flexible and elastic porous poly(trimethylene carbonate) structures for use in vascular tissue engineering", "type" : "article-journal", "volume" : "6" }, "uris" : [ "http://www.mendeley.com/documents/?uuid=75572975-3af2-40c4-b8f4-3be16a175f22" ] } ], "mendeley" : { "formattedCitation" : "&lt;sup&gt;70&lt;/sup&gt;", "plainTextFormattedCitation" : "70", "previouslyFormattedCitation" : "&lt;sup&gt;69&lt;/sup&gt;"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70</w:t>
      </w:r>
      <w:r w:rsidRPr="00610A40">
        <w:rPr>
          <w:color w:val="auto"/>
          <w:szCs w:val="24"/>
        </w:rPr>
        <w:fldChar w:fldCharType="end"/>
      </w:r>
      <w:r w:rsidRPr="00610A40">
        <w:rPr>
          <w:b/>
          <w:bCs/>
          <w:color w:val="auto"/>
          <w:szCs w:val="24"/>
          <w:vertAlign w:val="superscript"/>
        </w:rPr>
        <w:t>,</w:t>
      </w:r>
      <w:r w:rsidRPr="00610A40">
        <w:rPr>
          <w:b/>
          <w:bCs/>
          <w:color w:val="auto"/>
          <w:szCs w:val="24"/>
        </w:rPr>
        <w:fldChar w:fldCharType="begin" w:fldLock="1"/>
      </w:r>
      <w:r w:rsidR="00565E2A" w:rsidRPr="00610A40">
        <w:rPr>
          <w:b/>
          <w:bCs/>
          <w:color w:val="auto"/>
          <w:szCs w:val="24"/>
        </w:rPr>
        <w:instrText>ADDIN CSL_CITATION { "citationItems" : [ { "id" : "ITEM-1", "itemData" : { "DOI" : "10.1089/ten.tea.2009.0805", "ISSN" : "1937-3341", "abstract" : "Porous, tubular, flexible, and elastic poly(trimethylene carbonate) (PTMC) scaffolds (length 8 cm and inner diameter 3 mm) for vascular tissue engineering were prepared by means of a dip-coating and particulate leaching procedure. Using NaCl as porogen, scaffolds with an average pore size of 110 \u03bcm and a porosity of 85% were obtained. Before leaching the salt, the structures were made creep-resistant by means of crosslinking at 25 kGy gamma irradiation. To increase the efficiency of cell seeding, the scaffolds were provided with a microporous outer layer of 0.2 mm with an average pore size of 28 \u03bcm and a porosity of 65% (total wall thickness 1 mm). Human smooth muscle cells (SMCs) were seeded in these scaffolds with an efficiency of 43%, as determined after 24 h cell adhesion. SMCs were cultured in the scaffolds up to 14 days under stationary conditions or under pulsatile flow conditions in a bioreactor (pressure 70\u2013130 mmHg, 69 pulsations/min, and average wall shear rate 320 s\u22121). Although SMCs proliferated under both conditions, cell numbers were three to five times higher in case of dynamic culturing. This was qualitatively confirmed by means of histology. Also, in terms of mechanical properties, the dynamically cultured constructs performed better than the statically cultured constructs. After culturing for 14 days, the maximum tensile strengths of the constructs, determined in the radial direction, had increased from 0.16 MPa (unseeded scaffold) to 0.48 MPa (dynamic culturing) and 0.38 MPa (static culturing). The results of this study indicate that a potentially useful medial layer for tissue-engineered vascular grafts can be prepared by dynamic culturing of human SMCs seeded in porous tubular poly(trimethylene carbonate) scaffolds.", "author" : [ { "dropping-particle" : "", "family" : "Song", "given" : "Yan", "non-dropping-particle" : "", "parse-names" : false, "suffix" : "" }, { "dropping-particle" : "", "family" : "Wennink", "given" : "Jos W H", "non-dropping-particle" : "", "parse-names" : false, "suffix" : "" }, { "dropping-particle" : "", "family" : "Kamphuis", "given" : "Marloes M J", "non-dropping-particle" : "", "parse-names" : false, "suffix" : "" }, { "dropping-particle" : "", "family" : "Sterk", "given" : "Lotus M T", "non-dropping-particle" : "", "parse-names" : false, "suffix" : "" }, { "dropping-particle" : "", "family" : "Vermes", "given" : "Istvan", "non-dropping-particle" : "", "parse-names" : false, "suffix" : "" }, { "dropping-particle" : "", "family" : "Poot", "given" : "Andre A", "non-dropping-particle" : "", "parse-names" : false, "suffix" : "" }, { "dropping-particle" : "", "family" : "Feijen", "given" : "Jan", "non-dropping-particle" : "", "parse-names" : false, "suffix" : "" }, { "dropping-particle" : "", "family" : "Grijpma", "given" : "Dirk W", "non-dropping-particle" : "", "parse-names" : false, "suffix" : "" } ], "container-title" : "Tissue Engineering Part A", "id" : "ITEM-1", "issue" : "3-4", "issued" : { "date-parts" : [ [ "2010", "8", "31" ] ] }, "note" : "doi: 10.1089/ten.tea.2009.0805", "page" : "381-387", "publisher" : "Mary Ann Liebert, Inc., publishers", "title" : "Dynamic Culturing of Smooth Muscle Cells in Tubular Poly(Trimethylene Carbonate) Scaffolds for Vascular Tissue Engineering", "type" : "article-journal", "volume" : "17" }, "uris" : [ "http://www.mendeley.com/documents/?uuid=354798af-fddd-4e73-98fa-3348193785bc" ] } ], "mendeley" : { "formattedCitation" : "&lt;sup&gt;71&lt;/sup&gt;", "plainTextFormattedCitation" : "71", "previouslyFormattedCitation" : "&lt;sup&gt;70&lt;/sup&gt;" }, "properties" : { "noteIndex" : 0 }, "schema" : "https://github.com/citation-style-language/schema/raw/master/csl-citation.json" }</w:instrText>
      </w:r>
      <w:r w:rsidRPr="00610A40">
        <w:rPr>
          <w:b/>
          <w:bCs/>
          <w:color w:val="auto"/>
          <w:szCs w:val="24"/>
        </w:rPr>
        <w:fldChar w:fldCharType="separate"/>
      </w:r>
      <w:r w:rsidR="00565E2A" w:rsidRPr="00610A40">
        <w:rPr>
          <w:bCs/>
          <w:noProof/>
          <w:color w:val="auto"/>
          <w:szCs w:val="24"/>
          <w:vertAlign w:val="superscript"/>
        </w:rPr>
        <w:t>71</w:t>
      </w:r>
      <w:r w:rsidRPr="00610A40">
        <w:rPr>
          <w:b/>
          <w:bCs/>
          <w:color w:val="auto"/>
          <w:szCs w:val="24"/>
        </w:rPr>
        <w:fldChar w:fldCharType="end"/>
      </w:r>
      <w:r w:rsidRPr="00610A40">
        <w:rPr>
          <w:b/>
          <w:bCs/>
          <w:color w:val="auto"/>
          <w:szCs w:val="24"/>
          <w:vertAlign w:val="superscript"/>
        </w:rPr>
        <w:t>,</w:t>
      </w:r>
      <w:r w:rsidRPr="00610A40">
        <w:rPr>
          <w:b/>
          <w:bCs/>
          <w:color w:val="auto"/>
          <w:szCs w:val="24"/>
        </w:rPr>
        <w:fldChar w:fldCharType="begin" w:fldLock="1"/>
      </w:r>
      <w:r w:rsidR="00565E2A" w:rsidRPr="00610A40">
        <w:rPr>
          <w:b/>
          <w:bCs/>
          <w:color w:val="auto"/>
          <w:szCs w:val="24"/>
        </w:rPr>
        <w:instrText>ADDIN CSL_CITATION { "citationItems" : [ { "id" : "ITEM-1", "itemData" : { "DOI" : "10.1021/bm8007988", "ISSN" : "1525-7797", "abstract" : "High molecular weight trimethylene carbonate (TMC) and \u03f5-caprolactone (CL) (co)polymers were synthesized. Melt pressed (co)polymer films were cross-linked by gamma irradiation (25 kGy or 50 kGy) in vacuum, yielding gel fractions of up to 70%. The effects of copolymer composition and irradiation dose on the cytotoxicity, surface properties, degradation behavior, and mechanical and thermal properties of these (co)polymers and networks were investigated. Upon incubation with cell culture medium containing extracts of (co)polymers and networks, human foreskin fibroblasts remained viable. For all (co)polymers and networks, cell viabilities were determined to be higher than 94%. The formed networks were flexible, with elastic moduli ranging from 2.7 to 5.8 MPa. Moreover, these form-stable networks were creep resistant under dynamic conditions. The permanent deformation after 2 h relaxation was as low as 1% after elongating to 50% strain for 20 times. The in vitro enzymatic erosion behavior of these hydrophobic (co)polymers and networks was investigated using aqueous lipase solutions. The erosion rates in lipase solution could be tuned linearly from 0.8 to 45 mg/(cm2 \u00d7 day) by varying the TMC to CL ratio and the irradiation dose. The copolymers and networks degraded essentially by a surface erosion mechanism.", "author" : [ { "dropping-particle" : "", "family" : "Bat", "given" : "Erhan", "non-dropping-particle" : "", "parse-names" : false, "suffix" : "" }, { "dropping-particle" : "", "family" : "Plantinga", "given" : "Jos\u00e9e A", "non-dropping-particle" : "", "parse-names" : false, "suffix" : "" }, { "dropping-particle" : "", "family" : "Harmsen", "given" : "Martin C", "non-dropping-particle" : "", "parse-names" : false, "suffix" : "" }, { "dropping-particle" : "", "family" : "Luyn", "given" : "Marja J A", "non-dropping-particle" : "van", "parse-names" : false, "suffix" : "" }, { "dropping-particle" : "", "family" : "Zhang", "given" : "Zheng", "non-dropping-particle" : "", "parse-names" : false, "suffix" : "" }, { "dropping-particle" : "", "family" : "Grijpma", "given" : "Dirk W", "non-dropping-particle" : "", "parse-names" : false, "suffix" : "" }, { "dropping-particle" : "", "family" : "Feijen", "given" : "Jan", "non-dropping-particle" : "", "parse-names" : false, "suffix" : "" } ], "container-title" : "Biomacromolecules", "id" : "ITEM-1", "issue" : "11", "issued" : { "date-parts" : [ [ "2008", "11", "10" ] ] }, "note" : "doi: 10.1021/bm8007988", "page" : "3208-3215", "publisher" : "American Chemical Society", "title" : "Trimethylene Carbonate and \u03f5-Caprolactone Based (co)Polymer Networks: Mechanical Properties and Enzymatic Degradation", "type" : "article-journal", "volume" : "9" }, "uris" : [ "http://www.mendeley.com/documents/?uuid=9f46fd57-7a7c-482b-9e8b-4b00db5cd4da" ] } ], "mendeley" : { "formattedCitation" : "&lt;sup&gt;72&lt;/sup&gt;", "plainTextFormattedCitation" : "72", "previouslyFormattedCitation" : "&lt;sup&gt;71&lt;/sup&gt;" }, "properties" : { "noteIndex" : 0 }, "schema" : "https://github.com/citation-style-language/schema/raw/master/csl-citation.json" }</w:instrText>
      </w:r>
      <w:r w:rsidRPr="00610A40">
        <w:rPr>
          <w:b/>
          <w:bCs/>
          <w:color w:val="auto"/>
          <w:szCs w:val="24"/>
        </w:rPr>
        <w:fldChar w:fldCharType="separate"/>
      </w:r>
      <w:r w:rsidR="00565E2A" w:rsidRPr="00610A40">
        <w:rPr>
          <w:bCs/>
          <w:noProof/>
          <w:color w:val="auto"/>
          <w:szCs w:val="24"/>
          <w:vertAlign w:val="superscript"/>
        </w:rPr>
        <w:t>72</w:t>
      </w:r>
      <w:r w:rsidRPr="00610A40">
        <w:rPr>
          <w:b/>
          <w:bCs/>
          <w:color w:val="auto"/>
          <w:szCs w:val="24"/>
        </w:rPr>
        <w:fldChar w:fldCharType="end"/>
      </w:r>
      <w:r w:rsidRPr="00610A40">
        <w:rPr>
          <w:color w:val="auto"/>
          <w:szCs w:val="24"/>
        </w:rPr>
        <w:t xml:space="preserve">. For example, after 20 deformation cycles at 30% elongation, no permanent deformation is observed. The drawback with using high-energy irradiation is that chain scission </w:t>
      </w:r>
      <w:r w:rsidRPr="00610A40">
        <w:rPr>
          <w:color w:val="auto"/>
          <w:szCs w:val="24"/>
        </w:rPr>
        <w:lastRenderedPageBreak/>
        <w:t xml:space="preserve">usually occurs simultaneously with crosslinking. Hence, Yang et al. synthesized </w:t>
      </w:r>
      <w:proofErr w:type="spellStart"/>
      <w:r w:rsidRPr="00610A40">
        <w:rPr>
          <w:color w:val="auto"/>
          <w:szCs w:val="24"/>
        </w:rPr>
        <w:t>crosslinker</w:t>
      </w:r>
      <w:proofErr w:type="spellEnd"/>
      <w:r w:rsidRPr="00610A40">
        <w:rPr>
          <w:color w:val="auto"/>
          <w:szCs w:val="24"/>
        </w:rPr>
        <w:t> </w:t>
      </w:r>
      <w:proofErr w:type="spellStart"/>
      <w:r w:rsidRPr="00610A40">
        <w:rPr>
          <w:color w:val="auto"/>
          <w:szCs w:val="24"/>
        </w:rPr>
        <w:t>bis</w:t>
      </w:r>
      <w:proofErr w:type="spellEnd"/>
      <w:r w:rsidRPr="00610A40">
        <w:rPr>
          <w:color w:val="auto"/>
          <w:szCs w:val="24"/>
        </w:rPr>
        <w:t>(cyclic carbonate) to form PTMC networks via ring-opening polymerization of TMC and/or ε-</w:t>
      </w:r>
      <w:proofErr w:type="spellStart"/>
      <w:r w:rsidRPr="00610A40">
        <w:rPr>
          <w:color w:val="auto"/>
          <w:szCs w:val="24"/>
        </w:rPr>
        <w:t>caprolactone</w:t>
      </w:r>
      <w:proofErr w:type="spellEnd"/>
      <w:r w:rsidRPr="00610A40">
        <w:rPr>
          <w:color w:val="auto"/>
          <w:szCs w:val="24"/>
        </w:rPr>
        <w:t xml:space="preserve"> (CL)</w:t>
      </w:r>
      <w:r w:rsidRPr="00610A40">
        <w:rPr>
          <w:color w:val="auto"/>
          <w:szCs w:val="24"/>
        </w:rPr>
        <w:fldChar w:fldCharType="begin" w:fldLock="1"/>
      </w:r>
      <w:r w:rsidR="00565E2A" w:rsidRPr="00610A40">
        <w:rPr>
          <w:color w:val="auto"/>
          <w:szCs w:val="24"/>
        </w:rPr>
        <w:instrText>ADDIN CSL_CITATION { "citationItems" : [ { "id" : "ITEM-1", "itemData" : { "DOI" : "10.1016/j.polymer.2013.03.059", "ISSN" : "00323861", "abstract" : "In order to avoid the deformation of poly(trimethylene carbonate) (PTMC) in vivo applications, bis(cyclic carbonate) was synthesized and used as cross-linker to prepare PTMC based biodegradable networks via ring-opening polymerization of TMC and/or CL with stannous octanoate as catalyst. The effect of the cross-linking on the resulted networks was studied. The results showed that the crosslinker had high reactivity and efficiency to form stable polymeric networks with high gel percentage, high decomposition temperature and good mechanical properties. These obtained networks were amorphous and elastic, and the glass transition temperatures were below physiological temperature (37 C), which were expected to be rubbery for in vivo applications. The properties of the networks could be predictably controlled and tailed by varying the polymer composition and cross-linker amount in feed. The cross-linked PTMC based networks showed a potential biomedical application of loading drugs for implanted devices. \u00a9 2013 Elsevier Ltd. All rights reserved.", "author" : [ { "dropping-particle" : "", "family" : "Yang", "given" : "Li Qun", "non-dropping-particle" : "", "parse-names" : false, "suffix" : "" }, { "dropping-particle" : "", "family" : "He", "given" : "Bin", "non-dropping-particle" : "", "parse-names" : false, "suffix" : "" }, { "dropping-particle" : "", "family" : "Meng", "given" : "Shu", "non-dropping-particle" : "", "parse-names" : false, "suffix" : "" }, { "dropping-particle" : "", "family" : "Zhang", "given" : "Jin Zhe", "non-dropping-particle" : "", "parse-names" : false, "suffix" : "" }, { "dropping-particle" : "", "family" : "Li", "given" : "Miao", "non-dropping-particle" : "", "parse-names" : false, "suffix" : "" }, { "dropping-particle" : "", "family" : "Guo", "given" : "Jing", "non-dropping-particle" : "", "parse-names" : false, "suffix" : "" }, { "dropping-particle" : "", "family" : "Guan", "given" : "Yan Min", "non-dropping-particle" : "", "parse-names" : false, "suffix" : "" }, { "dropping-particle" : "", "family" : "Li", "given" : "Jian Xin", "non-dropping-particle" : "", "parse-names" : false, "suffix" : "" }, { "dropping-particle" : "", "family" : "Gu", "given" : "Zhong Wei", "non-dropping-particle" : "", "parse-names" : false, "suffix" : "" } ], "container-title" : "Polymer (United Kingdom)", "id" : "ITEM-1", "issue" : "11", "issued" : { "date-parts" : [ [ "2013" ] ] }, "page" : "2668-2675", "publisher" : "Elsevier Ltd", "title" : "Biodegradable cross-linked poly(trimethylene carbonate) networks for implant applications: Synthesis and properties", "type" : "article-journal", "volume" : "54" }, "uris" : [ "http://www.mendeley.com/documents/?uuid=19d593b9-a84f-4820-91b0-c50dcd27747f" ] } ], "mendeley" : { "formattedCitation" : "&lt;sup&gt;66&lt;/sup&gt;", "plainTextFormattedCitation" : "66", "previouslyFormattedCitation" : "&lt;sup&gt;65&lt;/sup&gt;"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66</w:t>
      </w:r>
      <w:r w:rsidRPr="00610A40">
        <w:rPr>
          <w:color w:val="auto"/>
          <w:szCs w:val="24"/>
        </w:rPr>
        <w:fldChar w:fldCharType="end"/>
      </w:r>
      <w:r w:rsidRPr="00610A40">
        <w:rPr>
          <w:bCs/>
          <w:color w:val="auto"/>
          <w:szCs w:val="24"/>
        </w:rPr>
        <w:t>.</w:t>
      </w:r>
      <w:r w:rsidRPr="00610A40">
        <w:rPr>
          <w:b/>
          <w:bCs/>
          <w:color w:val="auto"/>
          <w:szCs w:val="24"/>
        </w:rPr>
        <w:t> </w:t>
      </w:r>
      <w:r w:rsidRPr="00610A40">
        <w:rPr>
          <w:color w:val="auto"/>
          <w:szCs w:val="24"/>
        </w:rPr>
        <w:t xml:space="preserve">Varying the CL content and amount of </w:t>
      </w:r>
      <w:proofErr w:type="spellStart"/>
      <w:r w:rsidRPr="00610A40">
        <w:rPr>
          <w:color w:val="auto"/>
          <w:szCs w:val="24"/>
        </w:rPr>
        <w:t>crosslinker</w:t>
      </w:r>
      <w:proofErr w:type="spellEnd"/>
      <w:r w:rsidRPr="00610A40">
        <w:rPr>
          <w:color w:val="auto"/>
          <w:szCs w:val="24"/>
        </w:rPr>
        <w:t> can result in an implant with desirable mechanical and thermal properties. The glass transition temperatures of the networks are below 37</w:t>
      </w:r>
      <w:r w:rsidRPr="00610A40">
        <w:rPr>
          <w:rFonts w:cs="Times New Roman"/>
          <w:color w:val="auto"/>
          <w:szCs w:val="24"/>
        </w:rPr>
        <w:t>˚</w:t>
      </w:r>
      <w:r w:rsidRPr="00610A40">
        <w:rPr>
          <w:color w:val="auto"/>
          <w:szCs w:val="24"/>
        </w:rPr>
        <w:t xml:space="preserve">C, which means the implants can be highly flexible in vivo. Similarly, </w:t>
      </w:r>
      <w:proofErr w:type="spellStart"/>
      <w:r w:rsidRPr="00610A40">
        <w:rPr>
          <w:color w:val="auto"/>
          <w:szCs w:val="24"/>
        </w:rPr>
        <w:t>Grøndahl</w:t>
      </w:r>
      <w:proofErr w:type="spellEnd"/>
      <w:r w:rsidRPr="00610A40">
        <w:rPr>
          <w:color w:val="auto"/>
          <w:szCs w:val="24"/>
        </w:rPr>
        <w:t xml:space="preserve"> et al. synthesized </w:t>
      </w:r>
      <w:proofErr w:type="gramStart"/>
      <w:r w:rsidRPr="00610A40">
        <w:rPr>
          <w:color w:val="auto"/>
          <w:szCs w:val="24"/>
        </w:rPr>
        <w:t>P(</w:t>
      </w:r>
      <w:proofErr w:type="gramEnd"/>
      <w:r w:rsidRPr="00610A40">
        <w:rPr>
          <w:color w:val="auto"/>
          <w:szCs w:val="24"/>
        </w:rPr>
        <w:t xml:space="preserve">TMC-co-LLA) copolymers with different ratios of TMC and LLA. They found that by varying the ratio of the monomers, </w:t>
      </w:r>
      <w:proofErr w:type="spellStart"/>
      <w:r w:rsidRPr="00610A40">
        <w:rPr>
          <w:color w:val="auto"/>
          <w:szCs w:val="24"/>
        </w:rPr>
        <w:t>physico</w:t>
      </w:r>
      <w:proofErr w:type="spellEnd"/>
      <w:r w:rsidRPr="00610A40">
        <w:rPr>
          <w:color w:val="auto"/>
          <w:szCs w:val="24"/>
        </w:rPr>
        <w:t xml:space="preserve">-chemical properties of the copolymers can be tuned. Copolymers with a low content of TMC (16%) exhibited a relatively high </w:t>
      </w:r>
      <w:proofErr w:type="spellStart"/>
      <w:r w:rsidRPr="00610A40">
        <w:rPr>
          <w:color w:val="auto"/>
          <w:szCs w:val="24"/>
        </w:rPr>
        <w:t>Tg</w:t>
      </w:r>
      <w:proofErr w:type="spellEnd"/>
      <w:r w:rsidRPr="00610A40">
        <w:rPr>
          <w:color w:val="auto"/>
          <w:szCs w:val="24"/>
        </w:rPr>
        <w:t xml:space="preserve"> (44°C), high Young’s modulus (271 </w:t>
      </w:r>
      <w:proofErr w:type="spellStart"/>
      <w:r w:rsidRPr="00610A40">
        <w:rPr>
          <w:color w:val="auto"/>
          <w:szCs w:val="24"/>
        </w:rPr>
        <w:t>MPa</w:t>
      </w:r>
      <w:proofErr w:type="spellEnd"/>
      <w:r w:rsidRPr="00610A40">
        <w:rPr>
          <w:color w:val="auto"/>
          <w:szCs w:val="24"/>
        </w:rPr>
        <w:t xml:space="preserve">) but low elongation (356%), while copolymers with high content of TMC (49%) displayed a low </w:t>
      </w:r>
      <w:proofErr w:type="spellStart"/>
      <w:r w:rsidRPr="00610A40">
        <w:rPr>
          <w:color w:val="auto"/>
          <w:szCs w:val="24"/>
        </w:rPr>
        <w:t>Tg</w:t>
      </w:r>
      <w:proofErr w:type="spellEnd"/>
      <w:r w:rsidRPr="00610A40">
        <w:rPr>
          <w:color w:val="auto"/>
          <w:szCs w:val="24"/>
        </w:rPr>
        <w:t xml:space="preserve"> (14°C), low Young’s modulus (2.8 </w:t>
      </w:r>
      <w:proofErr w:type="spellStart"/>
      <w:r w:rsidRPr="00610A40">
        <w:rPr>
          <w:color w:val="auto"/>
          <w:szCs w:val="24"/>
        </w:rPr>
        <w:t>MPa</w:t>
      </w:r>
      <w:proofErr w:type="spellEnd"/>
      <w:r w:rsidRPr="00610A40">
        <w:rPr>
          <w:color w:val="auto"/>
          <w:szCs w:val="24"/>
        </w:rPr>
        <w:t>) but very high elongation at break (1287%)</w:t>
      </w:r>
      <w:r w:rsidRPr="00610A40">
        <w:rPr>
          <w:color w:val="auto"/>
          <w:szCs w:val="24"/>
        </w:rPr>
        <w:fldChar w:fldCharType="begin" w:fldLock="1"/>
      </w:r>
      <w:r w:rsidR="00565E2A" w:rsidRPr="00610A40">
        <w:rPr>
          <w:color w:val="auto"/>
          <w:szCs w:val="24"/>
        </w:rPr>
        <w:instrText>ADDIN CSL_CITATION { "citationItems" : [ { "id" : "ITEM-1", "itemData" : { "DOI" : "10.1039/C5TB00202H", "ISSN" : "2050-750X", "abstract" : "&lt;p&gt; The degradation mechanism of P(TMC- &lt;italic&gt;co&lt;/italic&gt; -LLA) films was dependent on the LLA content and found to transition from heterogeneous to homogeneous bulk degradation. &lt;/p&gt;", "author" : [ { "dropping-particle" : "", "family" : "Cork", "given" : "Jorja", "non-dropping-particle" : "", "parse-names" : false, "suffix" : "" }, { "dropping-particle" : "", "family" : "Whittaker", "given" : "Andrew K.", "non-dropping-particle" : "", "parse-names" : false, "suffix" : "" }, { "dropping-particle" : "", "family" : "Cooper-White", "given" : "Justin J.", "non-dropping-particle" : "", "parse-names" : false, "suffix" : "" }, { "dropping-particle" : "", "family" : "Gr\u00f8ndahl", "given" : "Lisbeth", "non-dropping-particle" : "", "parse-names" : false, "suffix" : "" }, { "dropping-particle" : "", "family" : "Koning", "given" : "C. E.", "non-dropping-particle" : "", "parse-names" : false, "suffix" : "" }, { "dropping-particle" : "", "family" : "Diall", "given" : "O.", "non-dropping-particle" : "", "parse-names" : false, "suffix" : "" }, { "dropping-particle" : "", "family" : "Geerts", "given" : "S.", "non-dropping-particle" : "", "parse-names" : false, "suffix" : "" }, { "dropping-particle" : "", "family" : "Whittaker", "given" : "A. K.", "non-dropping-particle" : "", "parse-names" : false, "suffix" : "" } ], "container-title" : "J. Mater. Chem. B", "id" : "ITEM-1", "issue" : "21", "issued" : { "date-parts" : [ [ "2015" ] ] }, "page" : "4406-4416", "publisher" : "The Royal Society of Chemistry", "title" : "Tensile properties and in vitro degradation of P(TMC-co-LLA) elastomers", "type" : "article-journal", "volume" : "3" }, "uris" : [ "http://www.mendeley.com/documents/?uuid=ddce9e98-2e00-3d26-ab16-ac02d80fd4a7", "http://www.mendeley.com/documents/?uuid=cc572fad-37bd-4a87-a544-48ebc72ff59d" ] } ], "mendeley" : { "formattedCitation" : "&lt;sup&gt;73&lt;/sup&gt;", "plainTextFormattedCitation" : "73", "previouslyFormattedCitation" : "&lt;sup&gt;72&lt;/sup&gt;"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73</w:t>
      </w:r>
      <w:r w:rsidRPr="00610A40">
        <w:rPr>
          <w:color w:val="auto"/>
          <w:szCs w:val="24"/>
        </w:rPr>
        <w:fldChar w:fldCharType="end"/>
      </w:r>
      <w:r w:rsidRPr="00610A40">
        <w:rPr>
          <w:color w:val="auto"/>
          <w:szCs w:val="24"/>
        </w:rPr>
        <w:t>. PTMC is commonly combined with ε-</w:t>
      </w:r>
      <w:proofErr w:type="spellStart"/>
      <w:r w:rsidRPr="00610A40">
        <w:rPr>
          <w:color w:val="auto"/>
          <w:szCs w:val="24"/>
        </w:rPr>
        <w:t>caprolactone</w:t>
      </w:r>
      <w:proofErr w:type="spellEnd"/>
      <w:r w:rsidRPr="00610A40">
        <w:rPr>
          <w:color w:val="auto"/>
          <w:szCs w:val="24"/>
        </w:rPr>
        <w:t xml:space="preserve"> or D,L-</w:t>
      </w:r>
      <w:proofErr w:type="spellStart"/>
      <w:r w:rsidRPr="00610A40">
        <w:rPr>
          <w:color w:val="auto"/>
          <w:szCs w:val="24"/>
        </w:rPr>
        <w:t>lactide</w:t>
      </w:r>
      <w:proofErr w:type="spellEnd"/>
      <w:r w:rsidRPr="00610A40">
        <w:rPr>
          <w:color w:val="auto"/>
          <w:szCs w:val="24"/>
        </w:rPr>
        <w:t xml:space="preserve"> to form materials with suitable mechanical properties and degradation rates</w:t>
      </w:r>
      <w:r w:rsidRPr="00610A40">
        <w:rPr>
          <w:color w:val="auto"/>
          <w:szCs w:val="24"/>
        </w:rPr>
        <w:fldChar w:fldCharType="begin" w:fldLock="1"/>
      </w:r>
      <w:r w:rsidR="00565E2A" w:rsidRPr="00610A40">
        <w:rPr>
          <w:color w:val="auto"/>
          <w:szCs w:val="24"/>
        </w:rPr>
        <w:instrText>ADDIN CSL_CITATION { "citationItems" : [ { "id" : "ITEM-1", "itemData" : { "DOI" : "10.3390/ijms10104223", "ISBN" : "1422-0067 (Electronic)\\n1422-0067 (Linking)", "ISSN" : "14220067", "PMID" : "20057942", "abstract" : "This article reviews the degradability of chemically synthesized bioelastomers, mainly designed for soft tissue repair. These bioelastomers involve biodegradable polyurethanes, polyphosphazenes, linear and crosslinked poly(ether/ester)s, poly(epsilon-caprolactone) copolymers, poly(1,3-trimethylene carbonate) and their copolymers, poly(polyol sebacate)s, poly(diol-citrates) and poly(ester amide)s. The in vitro and in vivo degradation mechanisms and impact factors influencing degradation behaviors are discussed. In addition, the molecular designs, synthesis methods, structure properties, mechanical properties, biocompatibility and potential applications of these bioelastomers were also presented.", "author" : [ { "dropping-particle" : "", "family" : "Shi", "given" : "Rui", "non-dropping-particle" : "", "parse-names" : false, "suffix" : "" }, { "dropping-particle" : "", "family" : "Chen", "given" : "Dafu", "non-dropping-particle" : "", "parse-names" : false, "suffix" : "" }, { "dropping-particle" : "", "family" : "Liu", "given" : "Quanyong", "non-dropping-particle" : "", "parse-names" : false, "suffix" : "" }, { "dropping-particle" : "", "family" : "Wu", "given" : "Yan", "non-dropping-particle" : "", "parse-names" : false, "suffix" : "" }, { "dropping-particle" : "", "family" : "Xu", "given" : "Xiaochuan", "non-dropping-particle" : "", "parse-names" : false, "suffix" : "" }, { "dropping-particle" : "", "family" : "Zhang", "given" : "Liqun", "non-dropping-particle" : "", "parse-names" : false, "suffix" : "" }, { "dropping-particle" : "", "family" : "Tian", "given" : "Wei", "non-dropping-particle" : "", "parse-names" : false, "suffix" : "" } ], "container-title" : "International Journal of Molecular Sciences", "id" : "ITEM-1", "issue" : "10", "issued" : { "date-parts" : [ [ "2009" ] ] }, "page" : "4223-4256", "title" : "Recent advances in synthetic bioelastomers", "type" : "article-journal", "volume" : "10" }, "uris" : [ "http://www.mendeley.com/documents/?uuid=cf55ae4e-0b9f-4019-9ea8-7fa11ad765fc" ] } ], "mendeley" : { "formattedCitation" : "&lt;sup&gt;55&lt;/sup&gt;", "plainTextFormattedCitation" : "55", "previouslyFormattedCitation" : "&lt;sup&gt;55&lt;/sup&gt;"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55</w:t>
      </w:r>
      <w:r w:rsidRPr="00610A40">
        <w:rPr>
          <w:color w:val="auto"/>
          <w:szCs w:val="24"/>
        </w:rPr>
        <w:fldChar w:fldCharType="end"/>
      </w:r>
      <w:r w:rsidRPr="00610A40">
        <w:rPr>
          <w:color w:val="auto"/>
          <w:szCs w:val="24"/>
          <w:vertAlign w:val="superscript"/>
        </w:rPr>
        <w:t>,</w:t>
      </w:r>
      <w:r w:rsidRPr="00610A40">
        <w:rPr>
          <w:color w:val="auto"/>
          <w:szCs w:val="24"/>
        </w:rPr>
        <w:fldChar w:fldCharType="begin" w:fldLock="1"/>
      </w:r>
      <w:r w:rsidR="00565E2A" w:rsidRPr="00610A40">
        <w:rPr>
          <w:color w:val="auto"/>
          <w:szCs w:val="24"/>
        </w:rPr>
        <w:instrText>ADDIN CSL_CITATION { "citationItems" : [ { "id" : "ITEM-1", "itemData" : { "DOI" : "10.1016/j.polymer.2014.08.027", "ISSN" : "00323861", "author" : [ { "dropping-particle" : "", "family" : "Yang", "given" : "Liqun", "non-dropping-particle" : "", "parse-names" : false, "suffix" : "" }, { "dropping-particle" : "", "family" : "Li", "given" : "Jianxin", "non-dropping-particle" : "", "parse-names" : false, "suffix" : "" }, { "dropping-particle" : "", "family" : "Meng", "given" : "Shu", "non-dropping-particle" : "", "parse-names" : false, "suffix" : "" }, { "dropping-particle" : "", "family" : "Jin", "given" : "Ying", "non-dropping-particle" : "", "parse-names" : false, "suffix" : "" }, { "dropping-particle" : "", "family" : "Zhang", "given" : "Jinzhe", "non-dropping-particle" : "", "parse-names" : false, "suffix" : "" }, { "dropping-particle" : "", "family" : "Li", "given" : "Miao", "non-dropping-particle" : "", "parse-names" : false, "suffix" : "" }, { "dropping-particle" : "", "family" : "Guo", "given" : "Jing", "non-dropping-particle" : "", "parse-names" : false, "suffix" : "" }, { "dropping-particle" : "", "family" : "Gu", "given" : "Zhongwei", "non-dropping-particle" : "", "parse-names" : false, "suffix" : "" } ], "container-title" : "Polymer", "id" : "ITEM-1", "issue" : "20", "issued" : { "date-parts" : [ [ "2014" ] ] }, "page" : "5111-5124", "title" : "The in\u00a0vitro and in\u00a0vivo degradation behavior of poly (trimethylene carbonate-co-\u03b5-caprolactone) implants", "type" : "article-journal", "volume" : "55" }, "uris" : [ "http://www.mendeley.com/documents/?uuid=4d62a1f9-0d2e-4ff9-aeaa-3da22b21870c" ] } ], "mendeley" : { "formattedCitation" : "&lt;sup&gt;74&lt;/sup&gt;", "plainTextFormattedCitation" : "74", "previouslyFormattedCitation" : "&lt;sup&gt;73&lt;/sup&gt;"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74</w:t>
      </w:r>
      <w:r w:rsidRPr="00610A40">
        <w:rPr>
          <w:color w:val="auto"/>
          <w:szCs w:val="24"/>
        </w:rPr>
        <w:fldChar w:fldCharType="end"/>
      </w:r>
      <w:r w:rsidRPr="00610A40">
        <w:rPr>
          <w:color w:val="auto"/>
          <w:szCs w:val="24"/>
        </w:rPr>
        <w:t>. TMC and ε-</w:t>
      </w:r>
      <w:proofErr w:type="spellStart"/>
      <w:r w:rsidRPr="00610A40">
        <w:rPr>
          <w:color w:val="auto"/>
          <w:szCs w:val="24"/>
        </w:rPr>
        <w:t>caprolactone</w:t>
      </w:r>
      <w:proofErr w:type="spellEnd"/>
      <w:r w:rsidRPr="00610A40">
        <w:rPr>
          <w:color w:val="auto"/>
          <w:szCs w:val="24"/>
        </w:rPr>
        <w:t xml:space="preserve"> (CL) copolymer network degrades via surface erosion and the degradation rate varies depending on TMC to CL ratio, molecular weight and the irradiation dosage </w:t>
      </w:r>
      <w:r w:rsidRPr="00610A40">
        <w:rPr>
          <w:b/>
          <w:bCs/>
          <w:color w:val="auto"/>
          <w:szCs w:val="24"/>
        </w:rPr>
        <w:fldChar w:fldCharType="begin" w:fldLock="1"/>
      </w:r>
      <w:r w:rsidR="00565E2A" w:rsidRPr="00610A40">
        <w:rPr>
          <w:b/>
          <w:bCs/>
          <w:color w:val="auto"/>
          <w:szCs w:val="24"/>
        </w:rPr>
        <w:instrText>ADDIN CSL_CITATION { "citationItems" : [ { "id" : "ITEM-1", "itemData" : { "DOI" : "10.1021/bm8007988", "ISSN" : "1525-7797", "abstract" : "High molecular weight trimethylene carbonate (TMC) and \u03f5-caprolactone (CL) (co)polymers were synthesized. Melt pressed (co)polymer films were cross-linked by gamma irradiation (25 kGy or 50 kGy) in vacuum, yielding gel fractions of up to 70%. The effects of copolymer composition and irradiation dose on the cytotoxicity, surface properties, degradation behavior, and mechanical and thermal properties of these (co)polymers and networks were investigated. Upon incubation with cell culture medium containing extracts of (co)polymers and networks, human foreskin fibroblasts remained viable. For all (co)polymers and networks, cell viabilities were determined to be higher than 94%. The formed networks were flexible, with elastic moduli ranging from 2.7 to 5.8 MPa. Moreover, these form-stable networks were creep resistant under dynamic conditions. The permanent deformation after 2 h relaxation was as low as 1% after elongating to 50% strain for 20 times. The in vitro enzymatic erosion behavior of these hydrophobic (co)polymers and networks was investigated using aqueous lipase solutions. The erosion rates in lipase solution could be tuned linearly from 0.8 to 45 mg/(cm2 \u00d7 day) by varying the TMC to CL ratio and the irradiation dose. The copolymers and networks degraded essentially by a surface erosion mechanism.", "author" : [ { "dropping-particle" : "", "family" : "Bat", "given" : "Erhan", "non-dropping-particle" : "", "parse-names" : false, "suffix" : "" }, { "dropping-particle" : "", "family" : "Plantinga", "given" : "Jos\u00e9e A", "non-dropping-particle" : "", "parse-names" : false, "suffix" : "" }, { "dropping-particle" : "", "family" : "Harmsen", "given" : "Martin C", "non-dropping-particle" : "", "parse-names" : false, "suffix" : "" }, { "dropping-particle" : "", "family" : "Luyn", "given" : "Marja J A", "non-dropping-particle" : "van", "parse-names" : false, "suffix" : "" }, { "dropping-particle" : "", "family" : "Zhang", "given" : "Zheng", "non-dropping-particle" : "", "parse-names" : false, "suffix" : "" }, { "dropping-particle" : "", "family" : "Grijpma", "given" : "Dirk W", "non-dropping-particle" : "", "parse-names" : false, "suffix" : "" }, { "dropping-particle" : "", "family" : "Feijen", "given" : "Jan", "non-dropping-particle" : "", "parse-names" : false, "suffix" : "" } ], "container-title" : "Biomacromolecules", "id" : "ITEM-1", "issue" : "11", "issued" : { "date-parts" : [ [ "2008", "11", "10" ] ] }, "note" : "doi: 10.1021/bm8007988", "page" : "3208-3215", "publisher" : "American Chemical Society", "title" : "Trimethylene Carbonate and \u03f5-Caprolactone Based (co)Polymer Networks: Mechanical Properties and Enzymatic Degradation", "type" : "article-journal", "volume" : "9" }, "uris" : [ "http://www.mendeley.com/documents/?uuid=9f46fd57-7a7c-482b-9e8b-4b00db5cd4da" ] } ], "mendeley" : { "formattedCitation" : "&lt;sup&gt;72&lt;/sup&gt;", "plainTextFormattedCitation" : "72", "previouslyFormattedCitation" : "&lt;sup&gt;71&lt;/sup&gt;" }, "properties" : { "noteIndex" : 0 }, "schema" : "https://github.com/citation-style-language/schema/raw/master/csl-citation.json" }</w:instrText>
      </w:r>
      <w:r w:rsidRPr="00610A40">
        <w:rPr>
          <w:b/>
          <w:bCs/>
          <w:color w:val="auto"/>
          <w:szCs w:val="24"/>
        </w:rPr>
        <w:fldChar w:fldCharType="separate"/>
      </w:r>
      <w:r w:rsidR="00565E2A" w:rsidRPr="00610A40">
        <w:rPr>
          <w:bCs/>
          <w:noProof/>
          <w:color w:val="auto"/>
          <w:szCs w:val="24"/>
          <w:vertAlign w:val="superscript"/>
        </w:rPr>
        <w:t>72</w:t>
      </w:r>
      <w:r w:rsidRPr="00610A40">
        <w:rPr>
          <w:b/>
          <w:bCs/>
          <w:color w:val="auto"/>
          <w:szCs w:val="24"/>
        </w:rPr>
        <w:fldChar w:fldCharType="end"/>
      </w:r>
      <w:r w:rsidRPr="00610A40">
        <w:rPr>
          <w:b/>
          <w:bCs/>
          <w:color w:val="auto"/>
          <w:szCs w:val="24"/>
          <w:vertAlign w:val="superscript"/>
        </w:rPr>
        <w:t>,</w:t>
      </w:r>
      <w:r w:rsidRPr="00610A40">
        <w:rPr>
          <w:b/>
          <w:bCs/>
          <w:color w:val="auto"/>
          <w:szCs w:val="24"/>
        </w:rPr>
        <w:fldChar w:fldCharType="begin" w:fldLock="1"/>
      </w:r>
      <w:r w:rsidR="00565E2A" w:rsidRPr="00610A40">
        <w:rPr>
          <w:b/>
          <w:bCs/>
          <w:color w:val="auto"/>
          <w:szCs w:val="24"/>
        </w:rPr>
        <w:instrText>ADDIN CSL_CITATION { "citationItems" : [ { "id" : "ITEM-1", "itemData" : { "DOI" : "10.1016/j.polymer.2014.08.027", "ISSN" : "00323861", "author" : [ { "dropping-particle" : "", "family" : "Yang", "given" : "Liqun", "non-dropping-particle" : "", "parse-names" : false, "suffix" : "" }, { "dropping-particle" : "", "family" : "Li", "given" : "Jianxin", "non-dropping-particle" : "", "parse-names" : false, "suffix" : "" }, { "dropping-particle" : "", "family" : "Meng", "given" : "Shu", "non-dropping-particle" : "", "parse-names" : false, "suffix" : "" }, { "dropping-particle" : "", "family" : "Jin", "given" : "Ying", "non-dropping-particle" : "", "parse-names" : false, "suffix" : "" }, { "dropping-particle" : "", "family" : "Zhang", "given" : "Jinzhe", "non-dropping-particle" : "", "parse-names" : false, "suffix" : "" }, { "dropping-particle" : "", "family" : "Li", "given" : "Miao", "non-dropping-particle" : "", "parse-names" : false, "suffix" : "" }, { "dropping-particle" : "", "family" : "Guo", "given" : "Jing", "non-dropping-particle" : "", "parse-names" : false, "suffix" : "" }, { "dropping-particle" : "", "family" : "Gu", "given" : "Zhongwei", "non-dropping-particle" : "", "parse-names" : false, "suffix" : "" } ], "container-title" : "Polymer", "id" : "ITEM-1", "issue" : "20", "issued" : { "date-parts" : [ [ "2014" ] ] }, "page" : "5111-5124", "title" : "The in\u00a0vitro and in\u00a0vivo degradation behavior of poly (trimethylene carbonate-co-\u03b5-caprolactone) implants", "type" : "article-journal", "volume" : "55" }, "uris" : [ "http://www.mendeley.com/documents/?uuid=4d62a1f9-0d2e-4ff9-aeaa-3da22b21870c" ] } ], "mendeley" : { "formattedCitation" : "&lt;sup&gt;74&lt;/sup&gt;", "plainTextFormattedCitation" : "74", "previouslyFormattedCitation" : "&lt;sup&gt;73&lt;/sup&gt;" }, "properties" : { "noteIndex" : 0 }, "schema" : "https://github.com/citation-style-language/schema/raw/master/csl-citation.json" }</w:instrText>
      </w:r>
      <w:r w:rsidRPr="00610A40">
        <w:rPr>
          <w:b/>
          <w:bCs/>
          <w:color w:val="auto"/>
          <w:szCs w:val="24"/>
        </w:rPr>
        <w:fldChar w:fldCharType="separate"/>
      </w:r>
      <w:r w:rsidR="00565E2A" w:rsidRPr="00610A40">
        <w:rPr>
          <w:bCs/>
          <w:noProof/>
          <w:color w:val="auto"/>
          <w:szCs w:val="24"/>
          <w:vertAlign w:val="superscript"/>
        </w:rPr>
        <w:t>74</w:t>
      </w:r>
      <w:r w:rsidRPr="00610A40">
        <w:rPr>
          <w:b/>
          <w:bCs/>
          <w:color w:val="auto"/>
          <w:szCs w:val="24"/>
        </w:rPr>
        <w:fldChar w:fldCharType="end"/>
      </w:r>
      <w:r w:rsidRPr="00610A40">
        <w:rPr>
          <w:color w:val="auto"/>
          <w:szCs w:val="24"/>
        </w:rPr>
        <w:t>.</w:t>
      </w:r>
      <w:r w:rsidRPr="00610A40">
        <w:rPr>
          <w:b/>
          <w:bCs/>
          <w:color w:val="auto"/>
          <w:szCs w:val="24"/>
        </w:rPr>
        <w:t> </w:t>
      </w:r>
      <w:r w:rsidRPr="00610A40" w:rsidDel="002B111B">
        <w:rPr>
          <w:color w:val="auto"/>
          <w:szCs w:val="24"/>
        </w:rPr>
        <w:t xml:space="preserve"> </w:t>
      </w:r>
      <w:r w:rsidRPr="00610A40">
        <w:rPr>
          <w:color w:val="auto"/>
          <w:szCs w:val="24"/>
        </w:rPr>
        <w:t>For co-polymer films containing 70-100% TMC, gamma irradiation appears to be a dominant factor for degradation than copolymer composition</w:t>
      </w:r>
      <w:r w:rsidRPr="00610A40">
        <w:rPr>
          <w:color w:val="auto"/>
          <w:szCs w:val="24"/>
        </w:rPr>
        <w:fldChar w:fldCharType="begin" w:fldLock="1"/>
      </w:r>
      <w:r w:rsidR="00565E2A" w:rsidRPr="00610A40">
        <w:rPr>
          <w:color w:val="auto"/>
          <w:szCs w:val="24"/>
        </w:rPr>
        <w:instrText>ADDIN CSL_CITATION { "citationItems" : [ { "id" : "ITEM-1", "itemData" : { "DOI" : "10.1002/jbm.a.32921", "ISSN" : "1552-4965", "abstract" : "The in vivo erosion behavior of crosslinked (co)polymers based on trimethylene carbonate (TMC) and \u03b5-caprolactone (CL) was investigated. High molecular weight poly(trimethylene carbonate) (PTMC) homopolymer- and copolymer films were crosslinked by gamma irradiation. To adjust the in vivo erosion rate of the (co)polymer films, both the irradiation dose (25, 50, or 100 kGy) for PTMC and composition (100\u201370 mol % TMC) at a constant irradiation dose of 25 kGy were varied. After subcutaneous implantation of irradiated films in rats, their in vivo behavior was evaluated qualitatively and quantitatively. When the irradiation dose for PTMC was increased from 25 to 100 kGy, the erosion rate of nonextracted PTMC films (determined at day 5) decreased from 39.7 \u00b1 16.0 \u03bcm day\u22121 to 15.1 \u00b1 2.5 \u03bcm day\u22121, and the number of lymphocytes in the tissue surrounding the films decreased from 235 \u00b1 114 cells mm\u22122 to 64 \u00b1 33 cells mm\u22122. The number of macrophages and giant cells at the tissue\u2013polymer interface also decreased with increasing irradiation dose. All (co)polymer films eroded completely within 28 days of implantation. Variation of the TMC content of gamma irradiated (co)polymer films did not affect the tissue response to the gamma irradiated (co)polymer films and their in vivo erosion behavior much. \u00a9 2010 Wiley Periodicals, Inc. J Biomed Mater Res Part A, 2010.", "author" : [ { "dropping-particle" : "", "family" : "Bat", "given" : "Erhan", "non-dropping-particle" : "", "parse-names" : false, "suffix" : "" }, { "dropping-particle" : "", "family" : "Plantinga", "given" : "Jos\u00e9e A", "non-dropping-particle" : "", "parse-names" : false, "suffix" : "" }, { "dropping-particle" : "", "family" : "Harmsen", "given" : "Martin C", "non-dropping-particle" : "", "parse-names" : false, "suffix" : "" }, { "dropping-particle" : "", "family" : "Luyn", "given" : "Marja J A", "non-dropping-particle" : "van", "parse-names" : false, "suffix" : "" }, { "dropping-particle" : "", "family" : "Feijen", "given" : "Jan", "non-dropping-particle" : "", "parse-names" : false, "suffix" : "" }, { "dropping-particle" : "", "family" : "Grijpma", "given" : "Dirk W", "non-dropping-particle" : "", "parse-names" : false, "suffix" : "" } ], "container-title" : "Journal of Biomedical Materials Research Part A", "id" : "ITEM-1", "issue" : "3", "issued" : { "date-parts" : [ [ "2010", "12", "1" ] ] }, "page" : "940-949", "publisher" : "Wiley Subscription Services, Inc., A Wiley Company", "title" : "In vivo behavior of trimethylene carbonate and \u03b5-caprolactone-based (co)polymer networks: Degradation and tissue response", "type" : "article-journal", "volume" : "95A" }, "uris" : [ "http://www.mendeley.com/documents/?uuid=872d738f-461a-486d-9d32-34f419828fa4" ] } ], "mendeley" : { "formattedCitation" : "&lt;sup&gt;75&lt;/sup&gt;", "plainTextFormattedCitation" : "75", "previouslyFormattedCitation" : "&lt;sup&gt;74&lt;/sup&gt;"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75</w:t>
      </w:r>
      <w:r w:rsidRPr="00610A40">
        <w:rPr>
          <w:color w:val="auto"/>
          <w:szCs w:val="24"/>
        </w:rPr>
        <w:fldChar w:fldCharType="end"/>
      </w:r>
      <w:r w:rsidRPr="00610A40">
        <w:rPr>
          <w:bCs/>
          <w:color w:val="auto"/>
          <w:szCs w:val="24"/>
        </w:rPr>
        <w:t>.</w:t>
      </w:r>
      <w:r w:rsidRPr="00610A40">
        <w:rPr>
          <w:b/>
          <w:bCs/>
          <w:color w:val="auto"/>
          <w:szCs w:val="24"/>
        </w:rPr>
        <w:t> </w:t>
      </w:r>
      <w:r w:rsidRPr="00610A40">
        <w:rPr>
          <w:color w:val="auto"/>
          <w:szCs w:val="24"/>
        </w:rPr>
        <w:t>In vivo degradation of poly(TMC-CL) with higher TMC content proceeds via surface erosion, while those with higher CL content proceeds via bulk degradation</w:t>
      </w:r>
      <w:r w:rsidRPr="00610A40">
        <w:rPr>
          <w:color w:val="auto"/>
          <w:szCs w:val="24"/>
        </w:rPr>
        <w:fldChar w:fldCharType="begin" w:fldLock="1"/>
      </w:r>
      <w:r w:rsidR="00565E2A" w:rsidRPr="00610A40">
        <w:rPr>
          <w:color w:val="auto"/>
          <w:szCs w:val="24"/>
        </w:rPr>
        <w:instrText>ADDIN CSL_CITATION { "citationItems" : [ { "id" : "ITEM-1", "itemData" : { "DOI" : "10.1016/j.polymer.2014.08.027", "ISSN" : "00323861", "author" : [ { "dropping-particle" : "", "family" : "Yang", "given" : "Liqun", "non-dropping-particle" : "", "parse-names" : false, "suffix" : "" }, { "dropping-particle" : "", "family" : "Li", "given" : "Jianxin", "non-dropping-particle" : "", "parse-names" : false, "suffix" : "" }, { "dropping-particle" : "", "family" : "Meng", "given" : "Shu", "non-dropping-particle" : "", "parse-names" : false, "suffix" : "" }, { "dropping-particle" : "", "family" : "Jin", "given" : "Ying", "non-dropping-particle" : "", "parse-names" : false, "suffix" : "" }, { "dropping-particle" : "", "family" : "Zhang", "given" : "Jinzhe", "non-dropping-particle" : "", "parse-names" : false, "suffix" : "" }, { "dropping-particle" : "", "family" : "Li", "given" : "Miao", "non-dropping-particle" : "", "parse-names" : false, "suffix" : "" }, { "dropping-particle" : "", "family" : "Guo", "given" : "Jing", "non-dropping-particle" : "", "parse-names" : false, "suffix" : "" }, { "dropping-particle" : "", "family" : "Gu", "given" : "Zhongwei", "non-dropping-particle" : "", "parse-names" : false, "suffix" : "" } ], "container-title" : "Polymer", "id" : "ITEM-1", "issue" : "20", "issued" : { "date-parts" : [ [ "2014" ] ] }, "page" : "5111-5124", "title" : "The in\u00a0vitro and in\u00a0vivo degradation behavior of poly (trimethylene carbonate-co-\u03b5-caprolactone) implants", "type" : "article-journal", "volume" : "55" }, "uris" : [ "http://www.mendeley.com/documents/?uuid=4d62a1f9-0d2e-4ff9-aeaa-3da22b21870c" ] } ], "mendeley" : { "formattedCitation" : "&lt;sup&gt;74&lt;/sup&gt;", "plainTextFormattedCitation" : "74", "previouslyFormattedCitation" : "&lt;sup&gt;73&lt;/sup&gt;"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74</w:t>
      </w:r>
      <w:r w:rsidRPr="00610A40">
        <w:rPr>
          <w:color w:val="auto"/>
          <w:szCs w:val="24"/>
        </w:rPr>
        <w:fldChar w:fldCharType="end"/>
      </w:r>
      <w:r w:rsidRPr="00610A40">
        <w:rPr>
          <w:color w:val="auto"/>
          <w:szCs w:val="24"/>
        </w:rPr>
        <w:t>.</w:t>
      </w:r>
      <w:r w:rsidRPr="00610A40">
        <w:rPr>
          <w:b/>
          <w:bCs/>
          <w:color w:val="auto"/>
          <w:szCs w:val="24"/>
        </w:rPr>
        <w:t> </w:t>
      </w:r>
      <w:r w:rsidRPr="00610A40">
        <w:rPr>
          <w:bCs/>
          <w:color w:val="auto"/>
          <w:szCs w:val="24"/>
        </w:rPr>
        <w:t>Due to the presence of lipase,</w:t>
      </w:r>
      <w:r w:rsidRPr="00610A40">
        <w:rPr>
          <w:b/>
          <w:bCs/>
          <w:color w:val="auto"/>
          <w:szCs w:val="24"/>
        </w:rPr>
        <w:t xml:space="preserve"> </w:t>
      </w:r>
      <w:proofErr w:type="spellStart"/>
      <w:r w:rsidRPr="00610A40">
        <w:rPr>
          <w:color w:val="auto"/>
          <w:szCs w:val="24"/>
        </w:rPr>
        <w:t>enzymolysis</w:t>
      </w:r>
      <w:proofErr w:type="spellEnd"/>
      <w:r w:rsidRPr="00610A40">
        <w:rPr>
          <w:color w:val="auto"/>
          <w:szCs w:val="24"/>
        </w:rPr>
        <w:t> contributes towards a faster degradation than hydrolysis in vivo. Besides the cleaving of ester bonds, lipase also serves as a surfactant to enhance the dissolution of the degradation products. </w:t>
      </w:r>
    </w:p>
    <w:p w14:paraId="0CB11551" w14:textId="77777777" w:rsidR="00990A40" w:rsidRPr="00610A40" w:rsidRDefault="00990A40" w:rsidP="00CA2966">
      <w:pPr>
        <w:rPr>
          <w:color w:val="auto"/>
          <w:szCs w:val="24"/>
        </w:rPr>
      </w:pPr>
    </w:p>
    <w:p w14:paraId="2BB105D8" w14:textId="4E1D23B8" w:rsidR="00CA2966" w:rsidRPr="00610A40" w:rsidRDefault="00CA2966" w:rsidP="00CA2966">
      <w:pPr>
        <w:rPr>
          <w:color w:val="auto"/>
          <w:szCs w:val="24"/>
        </w:rPr>
      </w:pPr>
      <w:r w:rsidRPr="00610A40">
        <w:rPr>
          <w:color w:val="auto"/>
          <w:szCs w:val="24"/>
        </w:rPr>
        <w:lastRenderedPageBreak/>
        <w:t xml:space="preserve">When copolymerized with PDLA, </w:t>
      </w:r>
      <w:proofErr w:type="gramStart"/>
      <w:r w:rsidRPr="00610A40">
        <w:rPr>
          <w:color w:val="auto"/>
          <w:szCs w:val="24"/>
        </w:rPr>
        <w:t>poly(</w:t>
      </w:r>
      <w:proofErr w:type="gramEnd"/>
      <w:r w:rsidRPr="00610A40">
        <w:rPr>
          <w:color w:val="auto"/>
          <w:szCs w:val="24"/>
        </w:rPr>
        <w:t xml:space="preserve">TMC-DLLA) copolymer network degrades 20 times </w:t>
      </w:r>
      <w:r w:rsidR="007972F8" w:rsidRPr="00610A40">
        <w:rPr>
          <w:color w:val="auto"/>
          <w:szCs w:val="24"/>
        </w:rPr>
        <w:t xml:space="preserve">slower </w:t>
      </w:r>
      <w:r w:rsidRPr="00610A40">
        <w:rPr>
          <w:color w:val="auto"/>
          <w:szCs w:val="24"/>
        </w:rPr>
        <w:t xml:space="preserve">than PTMC. </w:t>
      </w:r>
      <w:bookmarkStart w:id="2" w:name="_Hlk506239526"/>
      <w:r w:rsidRPr="00610A40">
        <w:rPr>
          <w:color w:val="auto"/>
          <w:szCs w:val="24"/>
        </w:rPr>
        <w:t>While</w:t>
      </w:r>
      <w:r w:rsidR="00D5605F" w:rsidRPr="00610A40">
        <w:rPr>
          <w:color w:val="auto"/>
          <w:szCs w:val="24"/>
        </w:rPr>
        <w:t xml:space="preserve"> </w:t>
      </w:r>
      <w:proofErr w:type="spellStart"/>
      <w:r w:rsidR="00D5605F" w:rsidRPr="00610A40">
        <w:rPr>
          <w:color w:val="auto"/>
          <w:szCs w:val="24"/>
        </w:rPr>
        <w:t>homopolymer</w:t>
      </w:r>
      <w:proofErr w:type="spellEnd"/>
      <w:r w:rsidR="00D5605F" w:rsidRPr="00610A40">
        <w:rPr>
          <w:color w:val="auto"/>
          <w:szCs w:val="24"/>
        </w:rPr>
        <w:t xml:space="preserve"> PTMC</w:t>
      </w:r>
      <w:r w:rsidRPr="00610A40">
        <w:rPr>
          <w:color w:val="auto"/>
          <w:szCs w:val="24"/>
        </w:rPr>
        <w:t xml:space="preserve"> takes 1 year to degrade 96%, </w:t>
      </w:r>
      <w:r w:rsidR="00D5605F" w:rsidRPr="00610A40">
        <w:rPr>
          <w:color w:val="auto"/>
          <w:szCs w:val="24"/>
        </w:rPr>
        <w:t>poly(TMC-DLLA) copolymer</w:t>
      </w:r>
      <w:r w:rsidRPr="00610A40">
        <w:rPr>
          <w:color w:val="auto"/>
          <w:szCs w:val="24"/>
        </w:rPr>
        <w:t xml:space="preserve"> takes only 3 weeks to degrade the same extent</w:t>
      </w:r>
      <w:r w:rsidRPr="00610A40">
        <w:rPr>
          <w:color w:val="auto"/>
          <w:szCs w:val="24"/>
        </w:rPr>
        <w:fldChar w:fldCharType="begin" w:fldLock="1"/>
      </w:r>
      <w:r w:rsidR="00565E2A" w:rsidRPr="00610A40">
        <w:rPr>
          <w:color w:val="auto"/>
          <w:szCs w:val="24"/>
        </w:rPr>
        <w:instrText>ADDIN CSL_CITATION { "citationItems" : [ { "id" : "ITEM-1", "itemData" : { "DOI" : "10.1002/jbm.a.10121", "ISSN" : "1552-4965", "author" : [ { "dropping-particle" : "", "family" : "P\u00eago", "given" : "A P", "non-dropping-particle" : "", "parse-names" : false, "suffix" : "" }, { "dropping-particle" : "", "family" : "Luyn", "given" : "M J A", "non-dropping-particle" : "Van", "parse-names" : false, "suffix" : "" }, { "dropping-particle" : "", "family" : "Brouwer", "given" : "L A", "non-dropping-particle" : "", "parse-names" : false, "suffix" : "" }, { "dropping-particle" : "", "family" : "Wachem", "given" : "P B", "non-dropping-particle" : "van", "parse-names" : false, "suffix" : "" }, { "dropping-particle" : "", "family" : "Poot", "given" : "A A", "non-dropping-particle" : "", "parse-names" : false, "suffix" : "" }, { "dropping-particle" : "", "family" : "Grijpma", "given" : "D W", "non-dropping-particle" : "", "parse-names" : false, "suffix" : "" }, { "dropping-particle" : "", "family" : "Feijen", "given" : "J", "non-dropping-particle" : "", "parse-names" : false, "suffix" : "" } ], "container-title" : "Journal of Biomedical Materials Research Part A", "id" : "ITEM-1", "issue" : "3", "issued" : { "date-parts" : [ [ "2003", "12", "1" ] ] }, "page" : "1044-1054", "publisher" : "Wiley Subscription Services, Inc., A Wiley Company", "title" : "In vivo behavior of poly(1,3-trimethylene carbonate) and copolymers of 1,3-trimethylene carbonate with D,L-lactide or \u03f5-caprolactone: Degradation and tissue response", "type" : "article-journal", "volume" : "67A" }, "uris" : [ "http://www.mendeley.com/documents/?uuid=6b70ad7f-6ada-453b-9fca-2ca21fcde451" ] } ], "mendeley" : { "formattedCitation" : "&lt;sup&gt;76&lt;/sup&gt;", "plainTextFormattedCitation" : "76", "previouslyFormattedCitation" : "&lt;sup&gt;75&lt;/sup&gt;"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76</w:t>
      </w:r>
      <w:r w:rsidRPr="00610A40">
        <w:rPr>
          <w:color w:val="auto"/>
          <w:szCs w:val="24"/>
        </w:rPr>
        <w:fldChar w:fldCharType="end"/>
      </w:r>
      <w:bookmarkEnd w:id="2"/>
      <w:r w:rsidRPr="00610A40">
        <w:rPr>
          <w:color w:val="auto"/>
          <w:szCs w:val="24"/>
        </w:rPr>
        <w:t>. As the ester bonds in PDLA are more susceptible to cleavage than carbonate bonds in PTMC, higher PDLA content results in a higher rate of degradation</w:t>
      </w:r>
      <w:r w:rsidRPr="00610A40">
        <w:rPr>
          <w:color w:val="auto"/>
          <w:szCs w:val="24"/>
        </w:rPr>
        <w:fldChar w:fldCharType="begin" w:fldLock="1"/>
      </w:r>
      <w:r w:rsidR="00565E2A" w:rsidRPr="00610A40">
        <w:rPr>
          <w:color w:val="auto"/>
          <w:szCs w:val="24"/>
        </w:rPr>
        <w:instrText>ADDIN CSL_CITATION { "citationItems" : [ { "id" : "ITEM-1", "itemData" : { "DOI" : "http://dx.doi.org/10.1016/j.eurpolymj.2009.12.017", "ISSN" : "0014-3057", "abstract" : "A series of homo- and copolymers were synthesized by ring-opening polymerization of 1,3-trimethylene carbonate and d,l-lactide, using low toxic Zn(Lac)2 as catalyst. The hydrolytic and enzymatic degradation of PTMC homopolymer and PTDLA copolymers was performed at 37 \u00b0C in pH 7.4 phosphate buffered saline or in pH 8.5 Tris buffer using proteinase K. Degradation was followed by using various analytical techniques such as NMR, GPC, DSC and ESEM. PTMC degrades extremely slowly by pure hydrolysis or in the presence of proteinase K. In contrast, PTDLA copolymers with different compositions degrade at various rates both in PBS and in enzyme solutions. The higher the LA content, the faster the degradation. LA units are preferentially degraded during hydrolytic degradation, indicating that ester bonds are more susceptible to hydrolytic cleavage than carbonate ones. Changes in surface morphology are observed during enzymatic degradation, in agreement with surface erosion process. The PTDLA11 copolymer with equivalent TMC/LA contents is highly elastic. Its residual strain is approximately 4% after the first cycle at a strain of 50%. The shape recovery ratio is up to 83%. Therefore, it is concluded that high molecular weight PTDLA copolymers are promising candidates for clinical applications in minimally invasive surgery.", "author" : [ { "dropping-particle" : "", "family" : "Yang", "given" : "Jian", "non-dropping-particle" : "", "parse-names" : false, "suffix" : "" }, { "dropping-particle" : "", "family" : "Liu", "given" : "Feng", "non-dropping-particle" : "", "parse-names" : false, "suffix" : "" }, { "dropping-particle" : "", "family" : "Yang", "given" : "Liu", "non-dropping-particle" : "", "parse-names" : false, "suffix" : "" }, { "dropping-particle" : "", "family" : "Li", "given" : "Suming", "non-dropping-particle" : "", "parse-names" : false, "suffix" : "" } ], "container-title" : "European Polymer Journal", "id" : "ITEM-1", "issue" : "4", "issued" : { "date-parts" : [ [ "2010", "4" ] ] }, "page" : "783-791", "title" : "Hydrolytic and enzymatic degradation of poly(trimethylene carbonate-co-d,l-lactide) random copolymers with shape memory behavior", "type" : "article-journal", "volume" : "46" }, "uris" : [ "http://www.mendeley.com/documents/?uuid=722bd80e-77ef-4edf-99ba-0685269ce396" ] } ], "mendeley" : { "formattedCitation" : "&lt;sup&gt;77&lt;/sup&gt;", "plainTextFormattedCitation" : "77", "previouslyFormattedCitation" : "&lt;sup&gt;76&lt;/sup&gt;"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77</w:t>
      </w:r>
      <w:r w:rsidRPr="00610A40">
        <w:rPr>
          <w:color w:val="auto"/>
          <w:szCs w:val="24"/>
        </w:rPr>
        <w:fldChar w:fldCharType="end"/>
      </w:r>
      <w:r w:rsidRPr="00610A40">
        <w:rPr>
          <w:color w:val="auto"/>
          <w:szCs w:val="24"/>
        </w:rPr>
        <w:t xml:space="preserve">. Besides being biocompatible and biodegradable, shape memory property is essential in applying these polymers for minimally invasive surgery. </w:t>
      </w:r>
      <w:r w:rsidR="00990A40" w:rsidRPr="00610A40">
        <w:rPr>
          <w:color w:val="auto"/>
          <w:szCs w:val="24"/>
        </w:rPr>
        <w:t>P</w:t>
      </w:r>
      <w:r w:rsidRPr="00610A40">
        <w:rPr>
          <w:color w:val="auto"/>
          <w:szCs w:val="24"/>
        </w:rPr>
        <w:t>oly(TMC-DLLA) can not only achieve a high shape recovery ratio of above 80% but is also capable of recovering to its permanent shape in seconds</w:t>
      </w:r>
      <w:r w:rsidRPr="00610A40">
        <w:rPr>
          <w:color w:val="auto"/>
          <w:szCs w:val="24"/>
        </w:rPr>
        <w:fldChar w:fldCharType="begin" w:fldLock="1"/>
      </w:r>
      <w:r w:rsidR="00565E2A" w:rsidRPr="00610A40">
        <w:rPr>
          <w:color w:val="auto"/>
          <w:szCs w:val="24"/>
        </w:rPr>
        <w:instrText>ADDIN CSL_CITATION { "citationItems" : [ { "id" : "ITEM-1", "itemData" : { "DOI" : "http://dx.doi.org/10.1016/j.eurpolymj.2009.12.017", "ISSN" : "0014-3057", "abstract" : "A series of homo- and copolymers were synthesized by ring-opening polymerization of 1,3-trimethylene carbonate and d,l-lactide, using low toxic Zn(Lac)2 as catalyst. The hydrolytic and enzymatic degradation of PTMC homopolymer and PTDLA copolymers was performed at 37 \u00b0C in pH 7.4 phosphate buffered saline or in pH 8.5 Tris buffer using proteinase K. Degradation was followed by using various analytical techniques such as NMR, GPC, DSC and ESEM. PTMC degrades extremely slowly by pure hydrolysis or in the presence of proteinase K. In contrast, PTDLA copolymers with different compositions degrade at various rates both in PBS and in enzyme solutions. The higher the LA content, the faster the degradation. LA units are preferentially degraded during hydrolytic degradation, indicating that ester bonds are more susceptible to hydrolytic cleavage than carbonate ones. Changes in surface morphology are observed during enzymatic degradation, in agreement with surface erosion process. The PTDLA11 copolymer with equivalent TMC/LA contents is highly elastic. Its residual strain is approximately 4% after the first cycle at a strain of 50%. The shape recovery ratio is up to 83%. Therefore, it is concluded that high molecular weight PTDLA copolymers are promising candidates for clinical applications in minimally invasive surgery.", "author" : [ { "dropping-particle" : "", "family" : "Yang", "given" : "Jian", "non-dropping-particle" : "", "parse-names" : false, "suffix" : "" }, { "dropping-particle" : "", "family" : "Liu", "given" : "Feng", "non-dropping-particle" : "", "parse-names" : false, "suffix" : "" }, { "dropping-particle" : "", "family" : "Yang", "given" : "Liu", "non-dropping-particle" : "", "parse-names" : false, "suffix" : "" }, { "dropping-particle" : "", "family" : "Li", "given" : "Suming", "non-dropping-particle" : "", "parse-names" : false, "suffix" : "" } ], "container-title" : "European Polymer Journal", "id" : "ITEM-1", "issue" : "4", "issued" : { "date-parts" : [ [ "2010", "4" ] ] }, "page" : "783-791", "title" : "Hydrolytic and enzymatic degradation of poly(trimethylene carbonate-co-d,l-lactide) random copolymers with shape memory behavior", "type" : "article-journal", "volume" : "46" }, "uris" : [ "http://www.mendeley.com/documents/?uuid=722bd80e-77ef-4edf-99ba-0685269ce396" ] } ], "mendeley" : { "formattedCitation" : "&lt;sup&gt;77&lt;/sup&gt;", "plainTextFormattedCitation" : "77", "previouslyFormattedCitation" : "&lt;sup&gt;76&lt;/sup&gt;"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77</w:t>
      </w:r>
      <w:r w:rsidRPr="00610A40">
        <w:rPr>
          <w:color w:val="auto"/>
          <w:szCs w:val="24"/>
        </w:rPr>
        <w:fldChar w:fldCharType="end"/>
      </w:r>
      <w:r w:rsidRPr="00610A40">
        <w:rPr>
          <w:color w:val="auto"/>
          <w:szCs w:val="24"/>
          <w:vertAlign w:val="superscript"/>
        </w:rPr>
        <w:t>,</w:t>
      </w:r>
      <w:r w:rsidRPr="00610A40">
        <w:rPr>
          <w:color w:val="auto"/>
          <w:szCs w:val="24"/>
        </w:rPr>
        <w:fldChar w:fldCharType="begin" w:fldLock="1"/>
      </w:r>
      <w:r w:rsidR="00565E2A" w:rsidRPr="00610A40">
        <w:rPr>
          <w:color w:val="auto"/>
          <w:szCs w:val="24"/>
        </w:rPr>
        <w:instrText>ADDIN CSL_CITATION { "citationItems" : [ { "id" : "ITEM-1", "itemData" : { "DOI" : "10.1021/bm700773s", "ISSN" : "1525-7797", "abstract" : "Bioresorbable new terpolymers of l-lactide, glycolide, and trimethylene carbonate with different compositions were synthesized via ring-opening polymerization reaction of the cyclic monomers using low-toxicity zirconium(IV) acetylacetonate as initiator. The thermal and mechanical properties were investigated by means of thermogravimetry, differential scanning calorimetry, stress\u2212strain measurements, and dynamical mechanical analysis. The glass transition temperature of the terpolymers changes with composition from 12 to 42 \u00b0C in a predictable manner. All terpolymers display shape memory properties and, after undergoing 100% deformation, they recover the permanent shape in a time frame of seconds. Terpolymers with high l-lactide content show a glass transition in the range of 38\u221242 \u00b0C, recovery temperature close to body temperature, and good recovery ratio (&gt;0.89). Low-toxicity bioresorbable terpolymers with shape memory properties are promising new materials for biomedical applications.", "author" : [ { "dropping-particle" : "", "family" : "Zini", "given" : "Elisa", "non-dropping-particle" : "", "parse-names" : false, "suffix" : "" }, { "dropping-particle" : "", "family" : "Scandola", "given" : "Mariastella", "non-dropping-particle" : "", "parse-names" : false, "suffix" : "" }, { "dropping-particle" : "", "family" : "Dobrzynski", "given" : "Piotr", "non-dropping-particle" : "", "parse-names" : false, "suffix" : "" }, { "dropping-particle" : "", "family" : "Kasperczyk", "given" : "Janusz", "non-dropping-particle" : "", "parse-names" : false, "suffix" : "" }, { "dropping-particle" : "", "family" : "Bero", "given" : "Maciej", "non-dropping-particle" : "", "parse-names" : false, "suffix" : "" } ], "container-title" : "Biomacromolecules", "id" : "ITEM-1", "issue" : "11", "issued" : { "date-parts" : [ [ "2007", "11", "1" ] ] }, "note" : "doi: 10.1021/bm700773s", "page" : "3661-3667", "publisher" : "American Chemical Society", "title" : "Shape Memory Behavior of Novel (l-Lactide\u2212Glycolide\u2212Trimethylene Carbonate) Terpolymers", "type" : "article-journal", "volume" : "8" }, "uris" : [ "http://www.mendeley.com/documents/?uuid=3c023768-53f9-43d1-8dd5-f09e78c04145" ] } ], "mendeley" : { "formattedCitation" : "&lt;sup&gt;78&lt;/sup&gt;", "plainTextFormattedCitation" : "78", "previouslyFormattedCitation" : "&lt;sup&gt;77&lt;/sup&gt;"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78</w:t>
      </w:r>
      <w:r w:rsidRPr="00610A40">
        <w:rPr>
          <w:color w:val="auto"/>
          <w:szCs w:val="24"/>
        </w:rPr>
        <w:fldChar w:fldCharType="end"/>
      </w:r>
      <w:r w:rsidRPr="00610A40">
        <w:rPr>
          <w:color w:val="auto"/>
          <w:szCs w:val="24"/>
        </w:rPr>
        <w:t>.</w:t>
      </w:r>
    </w:p>
    <w:p w14:paraId="15BA4762" w14:textId="77777777" w:rsidR="00CA2966" w:rsidRPr="00610A40" w:rsidRDefault="00CA2966" w:rsidP="00CA2966">
      <w:pPr>
        <w:rPr>
          <w:color w:val="auto"/>
          <w:szCs w:val="24"/>
        </w:rPr>
      </w:pPr>
    </w:p>
    <w:p w14:paraId="26512FE1" w14:textId="3847F00D" w:rsidR="00CA2966" w:rsidRPr="00610A40" w:rsidRDefault="00CA2966" w:rsidP="00CA2966">
      <w:pPr>
        <w:pStyle w:val="Heading2"/>
        <w:rPr>
          <w:sz w:val="24"/>
          <w:szCs w:val="24"/>
        </w:rPr>
      </w:pPr>
      <w:r w:rsidRPr="00610A40">
        <w:rPr>
          <w:sz w:val="24"/>
          <w:szCs w:val="24"/>
        </w:rPr>
        <w:t xml:space="preserve">2.7 </w:t>
      </w:r>
      <w:r w:rsidR="00D5605F" w:rsidRPr="00610A40">
        <w:rPr>
          <w:sz w:val="24"/>
          <w:szCs w:val="24"/>
        </w:rPr>
        <w:t>Poly (</w:t>
      </w:r>
      <w:proofErr w:type="spellStart"/>
      <w:r w:rsidRPr="00610A40">
        <w:rPr>
          <w:sz w:val="24"/>
          <w:szCs w:val="24"/>
        </w:rPr>
        <w:t>caprolactone</w:t>
      </w:r>
      <w:proofErr w:type="spellEnd"/>
      <w:r w:rsidRPr="00610A40">
        <w:rPr>
          <w:sz w:val="24"/>
          <w:szCs w:val="24"/>
        </w:rPr>
        <w:t xml:space="preserve"> </w:t>
      </w:r>
      <w:proofErr w:type="spellStart"/>
      <w:r w:rsidRPr="00610A40">
        <w:rPr>
          <w:sz w:val="24"/>
          <w:szCs w:val="24"/>
        </w:rPr>
        <w:t>fumarate</w:t>
      </w:r>
      <w:proofErr w:type="spellEnd"/>
      <w:r w:rsidRPr="00610A40">
        <w:rPr>
          <w:sz w:val="24"/>
          <w:szCs w:val="24"/>
        </w:rPr>
        <w:t>) (PCLF)</w:t>
      </w:r>
    </w:p>
    <w:p w14:paraId="13A683D6" w14:textId="5407161D" w:rsidR="00CA2966" w:rsidRPr="00610A40" w:rsidRDefault="00CA2966" w:rsidP="00CA2966">
      <w:pPr>
        <w:rPr>
          <w:rFonts w:cs="Times New Roman"/>
          <w:color w:val="auto"/>
          <w:szCs w:val="24"/>
        </w:rPr>
      </w:pPr>
      <w:proofErr w:type="spellStart"/>
      <w:r w:rsidRPr="00610A40">
        <w:rPr>
          <w:rFonts w:cs="Times New Roman"/>
          <w:color w:val="auto"/>
          <w:szCs w:val="24"/>
        </w:rPr>
        <w:t>Yaszemski’s</w:t>
      </w:r>
      <w:proofErr w:type="spellEnd"/>
      <w:r w:rsidRPr="00610A40">
        <w:rPr>
          <w:rFonts w:cs="Times New Roman"/>
          <w:color w:val="auto"/>
          <w:szCs w:val="24"/>
        </w:rPr>
        <w:t xml:space="preserve"> group developed a novel self-</w:t>
      </w:r>
      <w:proofErr w:type="spellStart"/>
      <w:r w:rsidRPr="00610A40">
        <w:rPr>
          <w:rFonts w:cs="Times New Roman"/>
          <w:color w:val="auto"/>
          <w:szCs w:val="24"/>
        </w:rPr>
        <w:t>crosslinkable</w:t>
      </w:r>
      <w:proofErr w:type="spellEnd"/>
      <w:r w:rsidRPr="00610A40">
        <w:rPr>
          <w:rFonts w:cs="Times New Roman"/>
          <w:color w:val="auto"/>
          <w:szCs w:val="24"/>
        </w:rPr>
        <w:t xml:space="preserve"> and biodegradable copolymer, </w:t>
      </w:r>
      <w:r w:rsidR="00D5605F" w:rsidRPr="00610A40">
        <w:rPr>
          <w:rFonts w:cs="Times New Roman"/>
          <w:color w:val="auto"/>
          <w:szCs w:val="24"/>
        </w:rPr>
        <w:t>poly (</w:t>
      </w:r>
      <w:proofErr w:type="spellStart"/>
      <w:r w:rsidRPr="00610A40">
        <w:rPr>
          <w:rFonts w:cs="Times New Roman"/>
          <w:color w:val="auto"/>
          <w:szCs w:val="24"/>
        </w:rPr>
        <w:t>caprolactone</w:t>
      </w:r>
      <w:proofErr w:type="spellEnd"/>
      <w:r w:rsidRPr="00610A40">
        <w:rPr>
          <w:rFonts w:cs="Times New Roman"/>
          <w:color w:val="auto"/>
          <w:szCs w:val="24"/>
        </w:rPr>
        <w:t xml:space="preserve"> </w:t>
      </w:r>
      <w:proofErr w:type="spellStart"/>
      <w:r w:rsidRPr="00610A40">
        <w:rPr>
          <w:rFonts w:cs="Times New Roman"/>
          <w:color w:val="auto"/>
          <w:szCs w:val="24"/>
        </w:rPr>
        <w:t>fumarate</w:t>
      </w:r>
      <w:proofErr w:type="spellEnd"/>
      <w:r w:rsidRPr="00610A40">
        <w:rPr>
          <w:rFonts w:cs="Times New Roman"/>
          <w:color w:val="auto"/>
          <w:szCs w:val="24"/>
        </w:rPr>
        <w:t xml:space="preserve">) (PCLF) in 2008. PCLF was synthesized via </w:t>
      </w:r>
      <w:proofErr w:type="spellStart"/>
      <w:r w:rsidRPr="00610A40">
        <w:rPr>
          <w:rFonts w:cs="Times New Roman"/>
          <w:color w:val="auto"/>
          <w:szCs w:val="24"/>
        </w:rPr>
        <w:t>polycondensation</w:t>
      </w:r>
      <w:proofErr w:type="spellEnd"/>
      <w:r w:rsidRPr="00610A40">
        <w:rPr>
          <w:rFonts w:cs="Times New Roman"/>
          <w:color w:val="auto"/>
          <w:szCs w:val="24"/>
        </w:rPr>
        <w:t xml:space="preserve"> of </w:t>
      </w:r>
      <w:proofErr w:type="spellStart"/>
      <w:r w:rsidRPr="00610A40">
        <w:rPr>
          <w:rFonts w:cs="Times New Roman"/>
          <w:color w:val="auto"/>
          <w:szCs w:val="24"/>
        </w:rPr>
        <w:t>fumaryl</w:t>
      </w:r>
      <w:proofErr w:type="spellEnd"/>
      <w:r w:rsidRPr="00610A40">
        <w:rPr>
          <w:rFonts w:cs="Times New Roman"/>
          <w:color w:val="auto"/>
          <w:szCs w:val="24"/>
        </w:rPr>
        <w:t xml:space="preserve"> chloride and PCL </w:t>
      </w:r>
      <w:proofErr w:type="spellStart"/>
      <w:r w:rsidRPr="00610A40">
        <w:rPr>
          <w:rFonts w:cs="Times New Roman"/>
          <w:color w:val="auto"/>
          <w:szCs w:val="24"/>
        </w:rPr>
        <w:t>diol</w:t>
      </w:r>
      <w:proofErr w:type="spellEnd"/>
      <w:r w:rsidRPr="00610A40">
        <w:rPr>
          <w:rFonts w:cs="Times New Roman"/>
          <w:color w:val="auto"/>
          <w:szCs w:val="24"/>
        </w:rPr>
        <w:t xml:space="preserve"> in methylene chloride and </w:t>
      </w:r>
      <w:proofErr w:type="spellStart"/>
      <w:r w:rsidRPr="00610A40">
        <w:rPr>
          <w:rFonts w:cs="Times New Roman"/>
          <w:color w:val="auto"/>
          <w:szCs w:val="24"/>
        </w:rPr>
        <w:t>triethylamine</w:t>
      </w:r>
      <w:proofErr w:type="spellEnd"/>
      <w:r w:rsidRPr="00610A40">
        <w:rPr>
          <w:rFonts w:cs="Times New Roman"/>
          <w:color w:val="auto"/>
          <w:szCs w:val="24"/>
        </w:rPr>
        <w:t xml:space="preserve"> at 0˚C</w:t>
      </w:r>
      <w:r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"10.1021/bm7012313", "ISBN" : "1525-7797", "ISSN" : "1526-4602", "PMID" : "18307311", "abstract" : "Aiming to achieve suitable polymeric biomaterials with controlled physical properties for hard and soft tissue replacements, we have developed a series of blends consisting of two photo-cross-linkable polymers: polypropylene fumarate (PPF) and polycaprolactone fumarate (PCLF). Physical properties of both un-cross-linked and UV cross-linked PPF/PCLF blends with PPF composition ranging from 0% to 100% have been investigated extensively. It has been found that the physical properties such as thermal, rheological, and mechanical properties could be modulated efficiently by varying the PPF composition in the blends. Thermal properties including glass transition temperature (T g) and melting temperature (T m) have been correlated with their rheological and mechanical properties. Surface characteristics such as surface morphology, hydrophilicity, and the capability of adsorbing serum protein from culture medium have also been examined for the cross-linked polymer and blend disks. For potential applications in bone and nerve tissue engineering, in vitro cell studies including cytotoxicity, cell adhesion, and proliferation on cross-linked disks with controlled physical properties have been performed using rat bone marrow stromal cells and SPL201 cells, respectively. In addition, the role of mechanical properties such as surface stiffness in modulating cell responses has been emphasized using this model blend system.", "author" : [ { "dropping-particle" : "", "family" : "Wang", "given" : "Shanfeng", "non-dropping-particle" : "", "parse-names" : false, "suffix" : "" }, { "dropping-particle" : "", "family" : "Kempen", "given" : "Diederik H", "non-dropping-particle" : "", "parse-names" : false, "suffix" : "" }, { "dropping-particle" : "", "family" : "Simha", "given" : "Narendra K", "non-dropping-particle" : "", "parse-names" : false, "suffix" : "" }, { "dropping-particle" : "", "family" : "Lewis", "given" : "Jack L", "non-dropping-particle" : "", "parse-names" : false, "suffix" : "" }, { "dropping-particle" : "", "family" : "Windebank", "given" : "Anthony J", "non-dropping-particle" : "", "parse-names" : false, "suffix" : "" }, { "dropping-particle" : "", "family" : "Yaszemski", "given" : "Michael J", "non-dropping-particle" : "", "parse-names" : false, "suffix" : "" }, { "dropping-particle" : "", "family" : "Lu", "given" : "Lichun", "non-dropping-particle" : "", "parse-names" : false, "suffix" : "" } ], "container-title" : "Biomacromolecules", "id" : "ITEM-1", "issue" : "4", "issued" : { "date-parts" : [ [ "2008" ] ] }, "page" : "1229-41", "title" : "Photo-cross-linked hybrid polymer networks consisting of poly(propylene fumarate) and poly(caprolactone fumarate): controlled physical properties and regulated bone and nerve cell responses.", "type" : "article-journal", "volume" : "9" }, "uris" : [ "http://www.mendeley.com/documents/?uuid=96f82143-eda7-4f2d-b267-0418772ca18d" ] } ], "mendeley" : { "formattedCitation" : "&lt;sup&gt;79&lt;/sup&gt;", "plainTextFormattedCitation" : "79", "previouslyFormattedCitation" : "&lt;sup&gt;78&lt;/sup&gt;" }, "properties" : { "noteIndex" : 0 }, "schema" : "https://github.com/citation-style-language/schema/raw/master/csl-citation.json" }</w:instrText>
      </w:r>
      <w:r w:rsidRPr="00610A40">
        <w:rPr>
          <w:rFonts w:cs="Times New Roman"/>
          <w:color w:val="auto"/>
          <w:szCs w:val="24"/>
        </w:rPr>
        <w:fldChar w:fldCharType="separate"/>
      </w:r>
      <w:r w:rsidR="00565E2A" w:rsidRPr="00610A40">
        <w:rPr>
          <w:rFonts w:cs="Times New Roman"/>
          <w:noProof/>
          <w:color w:val="auto"/>
          <w:szCs w:val="24"/>
          <w:vertAlign w:val="superscript"/>
        </w:rPr>
        <w:t>79</w:t>
      </w:r>
      <w:r w:rsidRPr="00610A40">
        <w:rPr>
          <w:rFonts w:cs="Times New Roman"/>
          <w:color w:val="auto"/>
          <w:szCs w:val="24"/>
        </w:rPr>
        <w:fldChar w:fldCharType="end"/>
      </w:r>
      <w:r w:rsidR="00D605E6" w:rsidRPr="00610A40">
        <w:rPr>
          <w:rFonts w:cs="Times New Roman"/>
          <w:color w:val="auto"/>
          <w:szCs w:val="24"/>
        </w:rPr>
        <w:t xml:space="preserve"> </w:t>
      </w:r>
      <w:r w:rsidR="003466DA" w:rsidRPr="00610A40">
        <w:rPr>
          <w:color w:val="auto"/>
          <w:szCs w:val="24"/>
        </w:rPr>
        <w:t>(</w:t>
      </w:r>
      <w:r w:rsidR="003466DA" w:rsidRPr="00610A40">
        <w:rPr>
          <w:color w:val="auto"/>
          <w:szCs w:val="24"/>
        </w:rPr>
        <w:fldChar w:fldCharType="begin"/>
      </w:r>
      <w:r w:rsidR="003466DA" w:rsidRPr="00610A40">
        <w:rPr>
          <w:color w:val="auto"/>
          <w:szCs w:val="24"/>
        </w:rPr>
        <w:instrText xml:space="preserve"> REF _Ref506240422 \h </w:instrText>
      </w:r>
      <w:r w:rsidR="003466DA" w:rsidRPr="00610A40">
        <w:rPr>
          <w:color w:val="auto"/>
          <w:szCs w:val="24"/>
        </w:rPr>
      </w:r>
      <w:r w:rsidR="00610A40">
        <w:rPr>
          <w:color w:val="auto"/>
          <w:szCs w:val="24"/>
        </w:rPr>
        <w:instrText xml:space="preserve"> \* MERGEFORMAT </w:instrText>
      </w:r>
      <w:r w:rsidR="003466DA" w:rsidRPr="00610A40">
        <w:rPr>
          <w:color w:val="auto"/>
          <w:szCs w:val="24"/>
        </w:rPr>
        <w:fldChar w:fldCharType="separate"/>
      </w:r>
      <w:r w:rsidR="002B2E41" w:rsidRPr="00610A40">
        <w:t xml:space="preserve">Figure </w:t>
      </w:r>
      <w:r w:rsidR="002B2E41" w:rsidRPr="00610A40">
        <w:rPr>
          <w:noProof/>
        </w:rPr>
        <w:t>1</w:t>
      </w:r>
      <w:r w:rsidR="003466DA" w:rsidRPr="00610A40">
        <w:rPr>
          <w:color w:val="auto"/>
          <w:szCs w:val="24"/>
        </w:rPr>
        <w:fldChar w:fldCharType="end"/>
      </w:r>
      <w:r w:rsidR="003466DA" w:rsidRPr="00610A40">
        <w:rPr>
          <w:color w:val="auto"/>
          <w:szCs w:val="24"/>
        </w:rPr>
        <w:t>)</w:t>
      </w:r>
      <w:r w:rsidRPr="00610A40">
        <w:rPr>
          <w:rFonts w:cs="Times New Roman"/>
          <w:color w:val="auto"/>
          <w:szCs w:val="24"/>
        </w:rPr>
        <w:t xml:space="preserve">. Each </w:t>
      </w:r>
      <w:proofErr w:type="spellStart"/>
      <w:r w:rsidRPr="00610A40">
        <w:rPr>
          <w:rFonts w:cs="Times New Roman"/>
          <w:color w:val="auto"/>
          <w:szCs w:val="24"/>
        </w:rPr>
        <w:t>caprolactone</w:t>
      </w:r>
      <w:proofErr w:type="spellEnd"/>
      <w:r w:rsidRPr="00610A40">
        <w:rPr>
          <w:rFonts w:cs="Times New Roman"/>
          <w:color w:val="auto"/>
          <w:szCs w:val="24"/>
        </w:rPr>
        <w:t xml:space="preserve"> provides four free rotating C-C bonds</w:t>
      </w:r>
      <w:r w:rsidR="00D605E6" w:rsidRPr="00610A40">
        <w:rPr>
          <w:rFonts w:cs="Times New Roman"/>
          <w:color w:val="auto"/>
          <w:szCs w:val="24"/>
        </w:rPr>
        <w:t>,</w:t>
      </w:r>
      <w:r w:rsidRPr="00610A40">
        <w:rPr>
          <w:rFonts w:cs="Times New Roman"/>
          <w:color w:val="auto"/>
          <w:szCs w:val="24"/>
        </w:rPr>
        <w:t xml:space="preserve"> making the PCLF chain </w:t>
      </w:r>
      <w:r w:rsidR="00D605E6" w:rsidRPr="00610A40">
        <w:rPr>
          <w:rFonts w:cs="Times New Roman"/>
          <w:color w:val="auto"/>
          <w:szCs w:val="24"/>
        </w:rPr>
        <w:t>highly</w:t>
      </w:r>
      <w:r w:rsidRPr="00610A40">
        <w:rPr>
          <w:rFonts w:cs="Times New Roman"/>
          <w:color w:val="auto"/>
          <w:szCs w:val="24"/>
        </w:rPr>
        <w:t xml:space="preserve"> flexible. This increased accessibility of the </w:t>
      </w:r>
      <w:proofErr w:type="spellStart"/>
      <w:r w:rsidRPr="00610A40">
        <w:rPr>
          <w:rFonts w:cs="Times New Roman"/>
          <w:color w:val="auto"/>
          <w:szCs w:val="24"/>
        </w:rPr>
        <w:t>fumarate</w:t>
      </w:r>
      <w:proofErr w:type="spellEnd"/>
      <w:r w:rsidRPr="00610A40">
        <w:rPr>
          <w:rFonts w:cs="Times New Roman"/>
          <w:color w:val="auto"/>
          <w:szCs w:val="24"/>
        </w:rPr>
        <w:t xml:space="preserve"> double bonds and ester bonds translates to an increased susceptibility to crosslinking and hydrolysis</w:t>
      </w:r>
      <w:r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"10.1021/bm050206y", "ISBN" : "1525-7797 (Print)\\n1525-7797 (Linking)", "ISSN" : "15257797", "PMID" : "16153086", "abstract" : "A novel self-cross-linkable and biodegradable macromer, poly(caprolactone fumarate) (PCLF), has been developed for guided bone regeneration. This macromer is a copolymer of fumaryl chloride, which contains double bonds for in-situ cross-linking, and poly(epsilon-caprolactone), which has a flexible chain to facilitate self-cross-linkability. PCLF was characterized with Fourier transform infrared spectroscopy, 1H and 13C nuclear magnetic resonance spectroscopy, and gel permeation chromatography. Porous scaffolds were fabricated with sodium chloride particles as the porogen and a chemical initiation system. The PCLF scaffolds were characterized with scanning electron microscopy and micro-computed-tomography. The cytotoxicity and in vivo biocompatibility of PCLF were also assessed. Our results suggest that this novel copolymer, PCLF, is an injectable, self-cross-linkable, and biocompatible macromer that may be potentially used as a scaffold for tissue engineering applications.", "author" : [ { "dropping-particle" : "", "family" : "Jabbari", "given" : "Esmaiel", "non-dropping-particle" : "", "parse-names" : false, "suffix" : "" }, { "dropping-particle" : "", "family" : "Wang", "given" : "Shanfeng", "non-dropping-particle" : "", "parse-names" : false, "suffix" : "" }, { "dropping-particle" : "", "family" : "Lu", "given" : "Lichun", "non-dropping-particle" : "", "parse-names" : false, "suffix" : "" }, { "dropping-particle" : "", "family" : "Gruetzmacher", "given" : "James a.", "non-dropping-particle" : "", "parse-names" : false, "suffix" : "" }, { "dropping-particle" : "", "family" : "Ameenuddin", "given" : "Syed", "non-dropping-particle" : "", "parse-names" : false, "suffix" : "" }, { "dropping-particle" : "", "family" : "Hefferan", "given" : "Theresa E.", "non-dropping-particle" : "", "parse-names" : false, "suffix" : "" }, { "dropping-particle" : "", "family" : "Currier", "given" : "Bradford L.", "non-dropping-particle" : "", "parse-names" : false, "suffix" : "" }, { "dropping-particle" : "", "family" : "Windebank", "given" : "Anthony J.", "non-dropping-particle" : "", "parse-names" : false, "suffix" : "" }, { "dropping-particle" : "", "family" : "Yaszemski", "given" : "Michael J.", "non-dropping-particle" : "", "parse-names" : false, "suffix" : "" } ], "container-title" : "Biomacromolecules", "id" : "ITEM-1", "issue" : "5", "issued" : { "date-parts" : [ [ "2005" ] ] }, "page" : "2503-2511", "title" : "Synthesis, material properties, and biocompatibility of a novel self-cross-linkable poly(caprolactone fumarate) as an injectable tissue engineering scaffold", "type" : "article-journal", "volume" : "6" }, "uris" : [ "http://www.mendeley.com/documents/?uuid=4a2a47dc-20b5-49e1-839a-c150bb1faac1" ] } ], "mendeley" : { "formattedCitation" : "&lt;sup&gt;80&lt;/sup&gt;", "plainTextFormattedCitation" : "80", "previouslyFormattedCitation" : "&lt;sup&gt;79&lt;/sup&gt;" }, "properties" : { "noteIndex" : 0 }, "schema" : "https://github.com/citation-style-language/schema/raw/master/csl-citation.json" }</w:instrText>
      </w:r>
      <w:r w:rsidRPr="00610A40">
        <w:rPr>
          <w:rFonts w:cs="Times New Roman"/>
          <w:color w:val="auto"/>
          <w:szCs w:val="24"/>
        </w:rPr>
        <w:fldChar w:fldCharType="separate"/>
      </w:r>
      <w:r w:rsidR="00565E2A" w:rsidRPr="00610A40">
        <w:rPr>
          <w:rFonts w:cs="Times New Roman"/>
          <w:noProof/>
          <w:color w:val="auto"/>
          <w:szCs w:val="24"/>
          <w:vertAlign w:val="superscript"/>
        </w:rPr>
        <w:t>80</w:t>
      </w:r>
      <w:r w:rsidRPr="00610A40">
        <w:rPr>
          <w:rFonts w:cs="Times New Roman"/>
          <w:color w:val="auto"/>
          <w:szCs w:val="24"/>
        </w:rPr>
        <w:fldChar w:fldCharType="end"/>
      </w:r>
      <w:r w:rsidRPr="00610A40">
        <w:rPr>
          <w:rFonts w:cs="Times New Roman"/>
          <w:color w:val="auto"/>
          <w:szCs w:val="24"/>
        </w:rPr>
        <w:t xml:space="preserve">. The PCLF </w:t>
      </w:r>
      <w:proofErr w:type="spellStart"/>
      <w:r w:rsidRPr="00610A40">
        <w:rPr>
          <w:rFonts w:cs="Times New Roman"/>
          <w:color w:val="auto"/>
          <w:szCs w:val="24"/>
        </w:rPr>
        <w:t>macromer</w:t>
      </w:r>
      <w:proofErr w:type="spellEnd"/>
      <w:r w:rsidRPr="00610A40">
        <w:rPr>
          <w:rFonts w:cs="Times New Roman"/>
          <w:color w:val="auto"/>
          <w:szCs w:val="24"/>
        </w:rPr>
        <w:t xml:space="preserve"> is capable of self-crosslinking without employing toxic crosslinking agents. After crosslinking, the storage modulus of PCLF can be increased to 1.2 </w:t>
      </w:r>
      <w:proofErr w:type="spellStart"/>
      <w:r w:rsidRPr="00610A40">
        <w:rPr>
          <w:rFonts w:cs="Times New Roman"/>
          <w:color w:val="auto"/>
          <w:szCs w:val="24"/>
        </w:rPr>
        <w:t>MPa</w:t>
      </w:r>
      <w:proofErr w:type="spellEnd"/>
      <w:r w:rsidRPr="00610A40">
        <w:rPr>
          <w:rFonts w:cs="Times New Roman"/>
          <w:color w:val="auto"/>
          <w:szCs w:val="24"/>
        </w:rPr>
        <w:t xml:space="preserve">. PCLF porous scaffolds can also be fabricated via salt leaching technique with sodium chloride particles as the </w:t>
      </w:r>
      <w:proofErr w:type="spellStart"/>
      <w:r w:rsidRPr="00610A40">
        <w:rPr>
          <w:rFonts w:cs="Times New Roman"/>
          <w:color w:val="auto"/>
          <w:szCs w:val="24"/>
        </w:rPr>
        <w:t>porogen</w:t>
      </w:r>
      <w:proofErr w:type="spellEnd"/>
      <w:r w:rsidRPr="00610A40">
        <w:rPr>
          <w:rFonts w:cs="Times New Roman"/>
          <w:color w:val="auto"/>
          <w:szCs w:val="24"/>
        </w:rPr>
        <w:t>. The same group developed photo-</w:t>
      </w:r>
      <w:proofErr w:type="spellStart"/>
      <w:r w:rsidRPr="00610A40">
        <w:rPr>
          <w:rFonts w:cs="Times New Roman"/>
          <w:color w:val="auto"/>
          <w:szCs w:val="24"/>
        </w:rPr>
        <w:t>crosslinked</w:t>
      </w:r>
      <w:proofErr w:type="spellEnd"/>
      <w:r w:rsidRPr="00610A40">
        <w:rPr>
          <w:rFonts w:cs="Times New Roman"/>
          <w:color w:val="auto"/>
          <w:szCs w:val="24"/>
        </w:rPr>
        <w:t xml:space="preserve"> PCLF networks soon after. Three </w:t>
      </w:r>
      <w:proofErr w:type="spellStart"/>
      <w:r w:rsidRPr="00610A40">
        <w:rPr>
          <w:rFonts w:cs="Times New Roman"/>
          <w:color w:val="auto"/>
          <w:szCs w:val="24"/>
        </w:rPr>
        <w:t>polycaprolactone</w:t>
      </w:r>
      <w:proofErr w:type="spellEnd"/>
      <w:r w:rsidRPr="00610A40">
        <w:rPr>
          <w:rFonts w:cs="Times New Roman"/>
          <w:color w:val="auto"/>
          <w:szCs w:val="24"/>
        </w:rPr>
        <w:t xml:space="preserve"> </w:t>
      </w:r>
      <w:proofErr w:type="spellStart"/>
      <w:r w:rsidRPr="00610A40">
        <w:rPr>
          <w:rFonts w:cs="Times New Roman"/>
          <w:color w:val="auto"/>
          <w:szCs w:val="24"/>
        </w:rPr>
        <w:t>fumarates</w:t>
      </w:r>
      <w:proofErr w:type="spellEnd"/>
      <w:r w:rsidRPr="00610A40">
        <w:rPr>
          <w:rFonts w:cs="Times New Roman"/>
          <w:color w:val="auto"/>
          <w:szCs w:val="24"/>
        </w:rPr>
        <w:t xml:space="preserve"> synthesized from </w:t>
      </w:r>
      <w:proofErr w:type="spellStart"/>
      <w:r w:rsidRPr="00610A40">
        <w:rPr>
          <w:rFonts w:cs="Times New Roman"/>
          <w:color w:val="auto"/>
          <w:szCs w:val="24"/>
        </w:rPr>
        <w:t>polycaprolactone</w:t>
      </w:r>
      <w:proofErr w:type="spellEnd"/>
      <w:r w:rsidRPr="00610A40">
        <w:rPr>
          <w:rFonts w:cs="Times New Roman"/>
          <w:color w:val="auto"/>
          <w:szCs w:val="24"/>
        </w:rPr>
        <w:t xml:space="preserve"> (PCL) </w:t>
      </w:r>
      <w:proofErr w:type="spellStart"/>
      <w:r w:rsidRPr="00610A40">
        <w:rPr>
          <w:rFonts w:cs="Times New Roman"/>
          <w:color w:val="auto"/>
          <w:szCs w:val="24"/>
        </w:rPr>
        <w:t>diols</w:t>
      </w:r>
      <w:proofErr w:type="spellEnd"/>
      <w:r w:rsidRPr="00610A40">
        <w:rPr>
          <w:rFonts w:cs="Times New Roman"/>
          <w:color w:val="auto"/>
          <w:szCs w:val="24"/>
        </w:rPr>
        <w:t xml:space="preserve"> with different molecular weights (530, 1250, 2000 g mol</w:t>
      </w:r>
      <w:r w:rsidRPr="00610A40">
        <w:rPr>
          <w:rFonts w:cs="Times New Roman"/>
          <w:color w:val="auto"/>
          <w:szCs w:val="24"/>
          <w:vertAlign w:val="superscript"/>
        </w:rPr>
        <w:t>-1</w:t>
      </w:r>
      <w:r w:rsidRPr="00610A40">
        <w:rPr>
          <w:rFonts w:cs="Times New Roman"/>
          <w:color w:val="auto"/>
          <w:szCs w:val="24"/>
        </w:rPr>
        <w:t>) were reacted with five different amounts of photo-initiator</w:t>
      </w:r>
      <w:r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"10.1016/j.polymer.2008.10.021", "ISSN" : "00323861", "author" : [ { "dropping-particle" : "", "family" : "Wang", "given" : "Shanfeng", "non-dropping-particle" : "", "parse-names" : false, "suffix" : "" }, { "dropping-particle" : "", "family" : "Yaszemski", "given" : "Michael J.", "non-dropping-particle" : "", "parse-names" : false, "suffix" : "" }, { "dropping-particle" : "", "family" : "Gruetzmacher", "given" : "James a.", "non-dropping-particle" : "", "parse-names" : false, "suffix" : "" }, { "dropping-particle" : "", "family" : "Lu", "given" : "Lichun", "non-dropping-particle" : "", "parse-names" : false, "suffix" : "" } ], "container-title" : "Polymer", "id" : "ITEM-1", "issue" : "26", "issued" : { "date-parts" : [ [ "2008" ] ] }, "page" : "5692-5699", "publisher" : "Elsevier Ltd", "title" : "Photo-crosslinked poly(\u025b-caprolactone fumarate) networks: Roles of crystallinity and crosslinking density in determining mechanical properties", "type" : "article-journal", "volume" : "49" }, "uris" : [ "http://www.mendeley.com/documents/?uuid=e0264ee9-2ec2-4329-b8f7-8bd0214ccf0c" ] } ], "mendeley" : { "formattedCitation" : "&lt;sup&gt;81&lt;/sup&gt;", "plainTextFormattedCitation" : "81", "previouslyFormattedCitation" : "&lt;sup&gt;80&lt;/sup&gt;" }, "properties" : { "noteIndex" : 0 }, "schema" : "https://github.com/citation-style-language/schema/raw/master/csl-citation.json" }</w:instrText>
      </w:r>
      <w:r w:rsidRPr="00610A40">
        <w:rPr>
          <w:rFonts w:cs="Times New Roman"/>
          <w:color w:val="auto"/>
          <w:szCs w:val="24"/>
        </w:rPr>
        <w:fldChar w:fldCharType="separate"/>
      </w:r>
      <w:r w:rsidR="00565E2A" w:rsidRPr="00610A40">
        <w:rPr>
          <w:rFonts w:cs="Times New Roman"/>
          <w:noProof/>
          <w:color w:val="auto"/>
          <w:szCs w:val="24"/>
          <w:vertAlign w:val="superscript"/>
        </w:rPr>
        <w:t>81</w:t>
      </w:r>
      <w:r w:rsidRPr="00610A40">
        <w:rPr>
          <w:rFonts w:cs="Times New Roman"/>
          <w:color w:val="auto"/>
          <w:szCs w:val="24"/>
        </w:rPr>
        <w:fldChar w:fldCharType="end"/>
      </w:r>
      <w:r w:rsidRPr="00610A40">
        <w:rPr>
          <w:rFonts w:cs="Times New Roman"/>
          <w:color w:val="auto"/>
          <w:szCs w:val="24"/>
        </w:rPr>
        <w:t xml:space="preserve">. The copolymers displayed </w:t>
      </w:r>
      <w:proofErr w:type="spellStart"/>
      <w:proofErr w:type="gramStart"/>
      <w:r w:rsidRPr="00610A40">
        <w:rPr>
          <w:rFonts w:cs="Times New Roman"/>
          <w:color w:val="auto"/>
          <w:szCs w:val="24"/>
        </w:rPr>
        <w:t>T</w:t>
      </w:r>
      <w:r w:rsidRPr="00610A40">
        <w:rPr>
          <w:rFonts w:cs="Times New Roman"/>
          <w:color w:val="auto"/>
          <w:szCs w:val="24"/>
          <w:vertAlign w:val="subscript"/>
        </w:rPr>
        <w:t>g</w:t>
      </w:r>
      <w:proofErr w:type="spellEnd"/>
      <w:proofErr w:type="gramEnd"/>
      <w:r w:rsidRPr="00610A40">
        <w:rPr>
          <w:rFonts w:cs="Times New Roman"/>
          <w:color w:val="auto"/>
          <w:szCs w:val="24"/>
        </w:rPr>
        <w:t xml:space="preserve"> between -50 and -60 °C and T</w:t>
      </w:r>
      <w:r w:rsidRPr="00610A40">
        <w:rPr>
          <w:rFonts w:cs="Times New Roman"/>
          <w:color w:val="auto"/>
          <w:szCs w:val="24"/>
          <w:vertAlign w:val="subscript"/>
        </w:rPr>
        <w:t>m</w:t>
      </w:r>
      <w:r w:rsidRPr="00610A40">
        <w:rPr>
          <w:rFonts w:cs="Times New Roman"/>
          <w:color w:val="auto"/>
          <w:szCs w:val="24"/>
        </w:rPr>
        <w:t xml:space="preserve"> ranging from 20 to 40 °C. The effect of </w:t>
      </w:r>
      <w:r w:rsidRPr="00610A40">
        <w:rPr>
          <w:rFonts w:cs="Times New Roman"/>
          <w:color w:val="auto"/>
          <w:szCs w:val="24"/>
        </w:rPr>
        <w:lastRenderedPageBreak/>
        <w:t xml:space="preserve">initiator/polymer ratio on mechanical properties is largely dependent on </w:t>
      </w:r>
      <w:proofErr w:type="spellStart"/>
      <w:r w:rsidRPr="00610A40">
        <w:rPr>
          <w:rFonts w:cs="Times New Roman"/>
          <w:color w:val="auto"/>
          <w:szCs w:val="24"/>
        </w:rPr>
        <w:t>crystallinity</w:t>
      </w:r>
      <w:proofErr w:type="spellEnd"/>
      <w:r w:rsidRPr="00610A40">
        <w:rPr>
          <w:rFonts w:cs="Times New Roman"/>
          <w:color w:val="auto"/>
          <w:szCs w:val="24"/>
        </w:rPr>
        <w:t xml:space="preserve"> of the PCLF. Since PCLF530 is amorphous at all initiator/polymer ratios, the tensile modulus (0.87 ± 0.07 </w:t>
      </w:r>
      <w:proofErr w:type="spellStart"/>
      <w:r w:rsidRPr="00610A40">
        <w:rPr>
          <w:rFonts w:cs="Times New Roman"/>
          <w:color w:val="auto"/>
          <w:szCs w:val="24"/>
        </w:rPr>
        <w:t>MPa</w:t>
      </w:r>
      <w:proofErr w:type="spellEnd"/>
      <w:r w:rsidRPr="00610A40">
        <w:rPr>
          <w:rFonts w:cs="Times New Roman"/>
          <w:color w:val="auto"/>
          <w:szCs w:val="24"/>
        </w:rPr>
        <w:t xml:space="preserve">) and stress at break (0.48 ± 0.40 </w:t>
      </w:r>
      <w:proofErr w:type="spellStart"/>
      <w:r w:rsidRPr="00610A40">
        <w:rPr>
          <w:rFonts w:cs="Times New Roman"/>
          <w:color w:val="auto"/>
          <w:szCs w:val="24"/>
        </w:rPr>
        <w:t>MPa</w:t>
      </w:r>
      <w:proofErr w:type="spellEnd"/>
      <w:r w:rsidRPr="00610A40">
        <w:rPr>
          <w:rFonts w:cs="Times New Roman"/>
          <w:color w:val="auto"/>
          <w:szCs w:val="24"/>
        </w:rPr>
        <w:t xml:space="preserve">) remain at relatively low values. The mechanical properties of PCLF1250 at room temperature are greatly determined by the initiator/polymer ratio because its melting temperature is close to room temperature.  PCLF2000 is highly crystalline and the changes in initiator/polymer ratios have an overall weak impact on the high tensile modulus, stress-at-break and pull-out force. The tensile modulus of PCLF2000 can reach 138 </w:t>
      </w:r>
      <w:proofErr w:type="spellStart"/>
      <w:r w:rsidRPr="00610A40">
        <w:rPr>
          <w:rFonts w:cs="Times New Roman"/>
          <w:color w:val="auto"/>
          <w:szCs w:val="24"/>
        </w:rPr>
        <w:t>MPa</w:t>
      </w:r>
      <w:proofErr w:type="spellEnd"/>
      <w:r w:rsidRPr="00610A40">
        <w:rPr>
          <w:rFonts w:cs="Times New Roman"/>
          <w:color w:val="auto"/>
          <w:szCs w:val="24"/>
        </w:rPr>
        <w:t xml:space="preserve"> and elongation at break can reach 117%.  PCLF films are also highly biocompatible as demonstrated by histology studies after 1 month of subcutaneous implantation in rats. The surrounding tissue showed no inflammatory response and the fibrous capsule formed was comparable to that of the negative control</w:t>
      </w:r>
      <w:r w:rsidRPr="00610A40">
        <w:rPr>
          <w:rFonts w:cs="Times New Roman"/>
          <w:color w:val="auto"/>
          <w:szCs w:val="24"/>
        </w:rPr>
        <w:fldChar w:fldCharType="begin" w:fldLock="1"/>
      </w:r>
      <w:r w:rsidR="00565E2A" w:rsidRPr="00610A40">
        <w:rPr>
          <w:rFonts w:cs="Times New Roman"/>
          <w:color w:val="auto"/>
          <w:szCs w:val="24"/>
        </w:rPr>
        <w:instrText>ADDIN CSL_CITATION { "citationItems" : [ { "id" : "ITEM-1", "itemData" : { "DOI" : "10.1021/bm050206y", "ISBN" : "1525-7797 (Print)\\n1525-7797 (Linking)", "ISSN" : "15257797", "PMID" : "16153086", "abstract" : "A novel self-cross-linkable and biodegradable macromer, poly(caprolactone fumarate) (PCLF), has been developed for guided bone regeneration. This macromer is a copolymer of fumaryl chloride, which contains double bonds for in-situ cross-linking, and poly(epsilon-caprolactone), which has a flexible chain to facilitate self-cross-linkability. PCLF was characterized with Fourier transform infrared spectroscopy, 1H and 13C nuclear magnetic resonance spectroscopy, and gel permeation chromatography. Porous scaffolds were fabricated with sodium chloride particles as the porogen and a chemical initiation system. The PCLF scaffolds were characterized with scanning electron microscopy and micro-computed-tomography. The cytotoxicity and in vivo biocompatibility of PCLF were also assessed. Our results suggest that this novel copolymer, PCLF, is an injectable, self-cross-linkable, and biocompatible macromer that may be potentially used as a scaffold for tissue engineering applications.", "author" : [ { "dropping-particle" : "", "family" : "Jabbari", "given" : "Esmaiel", "non-dropping-particle" : "", "parse-names" : false, "suffix" : "" }, { "dropping-particle" : "", "family" : "Wang", "given" : "Shanfeng", "non-dropping-particle" : "", "parse-names" : false, "suffix" : "" }, { "dropping-particle" : "", "family" : "Lu", "given" : "Lichun", "non-dropping-particle" : "", "parse-names" : false, "suffix" : "" }, { "dropping-particle" : "", "family" : "Gruetzmacher", "given" : "James a.", "non-dropping-particle" : "", "parse-names" : false, "suffix" : "" }, { "dropping-particle" : "", "family" : "Ameenuddin", "given" : "Syed", "non-dropping-particle" : "", "parse-names" : false, "suffix" : "" }, { "dropping-particle" : "", "family" : "Hefferan", "given" : "Theresa E.", "non-dropping-particle" : "", "parse-names" : false, "suffix" : "" }, { "dropping-particle" : "", "family" : "Currier", "given" : "Bradford L.", "non-dropping-particle" : "", "parse-names" : false, "suffix" : "" }, { "dropping-particle" : "", "family" : "Windebank", "given" : "Anthony J.", "non-dropping-particle" : "", "parse-names" : false, "suffix" : "" }, { "dropping-particle" : "", "family" : "Yaszemski", "given" : "Michael J.", "non-dropping-particle" : "", "parse-names" : false, "suffix" : "" } ], "container-title" : "Biomacromolecules", "id" : "ITEM-1", "issue" : "5", "issued" : { "date-parts" : [ [ "2005" ] ] }, "page" : "2503-2511", "title" : "Synthesis, material properties, and biocompatibility of a novel self-cross-linkable poly(caprolactone fumarate) as an injectable tissue engineering scaffold", "type" : "article-journal", "volume" : "6" }, "uris" : [ "http://www.mendeley.com/documents/?uuid=4a2a47dc-20b5-49e1-839a-c150bb1faac1" ] } ], "mendeley" : { "formattedCitation" : "&lt;sup&gt;80&lt;/sup&gt;", "plainTextFormattedCitation" : "80", "previouslyFormattedCitation" : "&lt;sup&gt;79&lt;/sup&gt;" }, "properties" : { "noteIndex" : 0 }, "schema" : "https://github.com/citation-style-language/schema/raw/master/csl-citation.json" }</w:instrText>
      </w:r>
      <w:r w:rsidRPr="00610A40">
        <w:rPr>
          <w:rFonts w:cs="Times New Roman"/>
          <w:color w:val="auto"/>
          <w:szCs w:val="24"/>
        </w:rPr>
        <w:fldChar w:fldCharType="separate"/>
      </w:r>
      <w:r w:rsidR="00565E2A" w:rsidRPr="00610A40">
        <w:rPr>
          <w:rFonts w:cs="Times New Roman"/>
          <w:noProof/>
          <w:color w:val="auto"/>
          <w:szCs w:val="24"/>
          <w:vertAlign w:val="superscript"/>
        </w:rPr>
        <w:t>80</w:t>
      </w:r>
      <w:r w:rsidRPr="00610A40">
        <w:rPr>
          <w:rFonts w:cs="Times New Roman"/>
          <w:color w:val="auto"/>
          <w:szCs w:val="24"/>
        </w:rPr>
        <w:fldChar w:fldCharType="end"/>
      </w:r>
      <w:r w:rsidRPr="00610A40">
        <w:rPr>
          <w:rFonts w:cs="Times New Roman"/>
          <w:color w:val="auto"/>
          <w:szCs w:val="24"/>
        </w:rPr>
        <w:t xml:space="preserve">. </w:t>
      </w:r>
    </w:p>
    <w:p w14:paraId="761C6BF3" w14:textId="77777777" w:rsidR="00CA2966" w:rsidRPr="00610A40" w:rsidRDefault="00CA2966" w:rsidP="00CA2966">
      <w:pPr>
        <w:rPr>
          <w:rFonts w:cs="Times New Roman"/>
          <w:color w:val="auto"/>
          <w:szCs w:val="24"/>
        </w:rPr>
      </w:pPr>
    </w:p>
    <w:p w14:paraId="5DB929E1" w14:textId="77777777" w:rsidR="00CA2966" w:rsidRPr="00610A40" w:rsidRDefault="00CA2966" w:rsidP="00CA2966">
      <w:pPr>
        <w:rPr>
          <w:rFonts w:cs="Times New Roman"/>
          <w:color w:val="auto"/>
          <w:szCs w:val="24"/>
        </w:rPr>
      </w:pPr>
    </w:p>
    <w:p w14:paraId="23889347" w14:textId="77777777" w:rsidR="00CA2966" w:rsidRPr="00610A40" w:rsidRDefault="00CA2966" w:rsidP="00CA2966">
      <w:pPr>
        <w:rPr>
          <w:rFonts w:cs="Times New Roman"/>
          <w:color w:val="auto"/>
          <w:szCs w:val="24"/>
        </w:rPr>
      </w:pPr>
    </w:p>
    <w:p w14:paraId="4986CBE8" w14:textId="09643EDE" w:rsidR="00CA2966" w:rsidRPr="00610A40" w:rsidRDefault="00CA2966" w:rsidP="00BF3DC6">
      <w:pPr>
        <w:keepNext/>
        <w:rPr>
          <w:b/>
          <w:bCs/>
          <w:szCs w:val="24"/>
        </w:rPr>
        <w:sectPr w:rsidR="00CA2966" w:rsidRPr="00610A40" w:rsidSect="002A065D">
          <w:footerReference w:type="default" r:id="rId12"/>
          <w:pgSz w:w="12240" w:h="15840"/>
          <w:pgMar w:top="1440" w:right="1440" w:bottom="1440" w:left="1440" w:header="720" w:footer="720" w:gutter="0"/>
          <w:cols w:space="720"/>
          <w:docGrid w:linePitch="360"/>
        </w:sectPr>
      </w:pPr>
      <w:r w:rsidRPr="00610A40">
        <w:rPr>
          <w:color w:val="auto"/>
          <w:szCs w:val="24"/>
        </w:rPr>
        <w:t> </w:t>
      </w:r>
    </w:p>
    <w:p w14:paraId="3DA532AE" w14:textId="1CA814BB" w:rsidR="00990D76" w:rsidRPr="00610A40" w:rsidRDefault="00990D76" w:rsidP="00BF3DC6">
      <w:pPr>
        <w:pStyle w:val="Caption"/>
        <w:keepNext/>
      </w:pPr>
      <w:r w:rsidRPr="00610A40">
        <w:lastRenderedPageBreak/>
        <w:t xml:space="preserve">Table </w:t>
      </w:r>
      <w:r w:rsidR="00C327A2" w:rsidRPr="00610A40">
        <w:fldChar w:fldCharType="begin"/>
      </w:r>
      <w:r w:rsidR="00C327A2" w:rsidRPr="00610A40">
        <w:instrText xml:space="preserve"> SEQ Table \* ARABIC </w:instrText>
      </w:r>
      <w:r w:rsidR="00C327A2" w:rsidRPr="00610A40">
        <w:fldChar w:fldCharType="separate"/>
      </w:r>
      <w:proofErr w:type="gramStart"/>
      <w:r w:rsidRPr="00610A40">
        <w:rPr>
          <w:noProof/>
        </w:rPr>
        <w:t>1</w:t>
      </w:r>
      <w:r w:rsidR="00C327A2" w:rsidRPr="00610A40">
        <w:rPr>
          <w:noProof/>
        </w:rPr>
        <w:fldChar w:fldCharType="end"/>
      </w:r>
      <w:r w:rsidRPr="00610A40">
        <w:t xml:space="preserve"> Material Characteristic Properties</w:t>
      </w:r>
      <w:proofErr w:type="gramEnd"/>
      <w:r w:rsidRPr="00610A40">
        <w:t xml:space="preserve"> of the Representative Biodegradable Polyester Elastomers and Their Applications</w:t>
      </w:r>
    </w:p>
    <w:tbl>
      <w:tblPr>
        <w:tblStyle w:val="LightShading-Accent1"/>
        <w:tblW w:w="5000" w:type="pct"/>
        <w:tblLook w:val="04A0" w:firstRow="1" w:lastRow="0" w:firstColumn="1" w:lastColumn="0" w:noHBand="0" w:noVBand="1"/>
      </w:tblPr>
      <w:tblGrid>
        <w:gridCol w:w="1224"/>
        <w:gridCol w:w="717"/>
        <w:gridCol w:w="1210"/>
        <w:gridCol w:w="2003"/>
        <w:gridCol w:w="1966"/>
        <w:gridCol w:w="1966"/>
        <w:gridCol w:w="2828"/>
        <w:gridCol w:w="1262"/>
      </w:tblGrid>
      <w:tr w:rsidR="002E6723" w:rsidRPr="00610A40" w14:paraId="4A2A6F52" w14:textId="77777777" w:rsidTr="00BF3DC6">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64" w:type="pct"/>
          </w:tcPr>
          <w:p w14:paraId="145EA09E" w14:textId="77777777" w:rsidR="007972F8" w:rsidRPr="00610A40" w:rsidRDefault="007972F8" w:rsidP="007972F8">
            <w:pPr>
              <w:jc w:val="left"/>
              <w:rPr>
                <w:color w:val="000000"/>
                <w:szCs w:val="24"/>
              </w:rPr>
            </w:pPr>
            <w:r w:rsidRPr="00610A40">
              <w:rPr>
                <w:color w:val="000000"/>
                <w:szCs w:val="24"/>
              </w:rPr>
              <w:t xml:space="preserve">Materials </w:t>
            </w:r>
          </w:p>
        </w:tc>
        <w:tc>
          <w:tcPr>
            <w:tcW w:w="272" w:type="pct"/>
          </w:tcPr>
          <w:p w14:paraId="0D448E24" w14:textId="77777777" w:rsidR="007972F8" w:rsidRPr="00610A40" w:rsidRDefault="007972F8" w:rsidP="007972F8">
            <w:pPr>
              <w:jc w:val="left"/>
              <w:cnfStyle w:val="100000000000" w:firstRow="1" w:lastRow="0" w:firstColumn="0" w:lastColumn="0" w:oddVBand="0" w:evenVBand="0" w:oddHBand="0" w:evenHBand="0" w:firstRowFirstColumn="0" w:firstRowLastColumn="0" w:lastRowFirstColumn="0" w:lastRowLastColumn="0"/>
              <w:rPr>
                <w:color w:val="000000"/>
                <w:szCs w:val="24"/>
              </w:rPr>
            </w:pPr>
            <w:proofErr w:type="spellStart"/>
            <w:r w:rsidRPr="00610A40">
              <w:rPr>
                <w:i/>
                <w:color w:val="000000"/>
                <w:szCs w:val="24"/>
              </w:rPr>
              <w:t>T</w:t>
            </w:r>
            <w:r w:rsidRPr="00610A40">
              <w:rPr>
                <w:color w:val="000000"/>
                <w:szCs w:val="24"/>
                <w:vertAlign w:val="subscript"/>
              </w:rPr>
              <w:t>g</w:t>
            </w:r>
            <w:proofErr w:type="spellEnd"/>
            <w:r w:rsidRPr="00610A40">
              <w:rPr>
                <w:color w:val="000000"/>
                <w:szCs w:val="24"/>
              </w:rPr>
              <w:t xml:space="preserve"> (°C)</w:t>
            </w:r>
          </w:p>
        </w:tc>
        <w:tc>
          <w:tcPr>
            <w:tcW w:w="459" w:type="pct"/>
          </w:tcPr>
          <w:p w14:paraId="1A0DAC29" w14:textId="77777777" w:rsidR="007972F8" w:rsidRPr="00610A40" w:rsidRDefault="007972F8" w:rsidP="007972F8">
            <w:pPr>
              <w:jc w:val="left"/>
              <w:cnfStyle w:val="100000000000" w:firstRow="1" w:lastRow="0" w:firstColumn="0" w:lastColumn="0" w:oddVBand="0" w:evenVBand="0" w:oddHBand="0" w:evenHBand="0" w:firstRowFirstColumn="0" w:firstRowLastColumn="0" w:lastRowFirstColumn="0" w:lastRowLastColumn="0"/>
              <w:rPr>
                <w:color w:val="000000"/>
                <w:szCs w:val="24"/>
              </w:rPr>
            </w:pPr>
            <w:r w:rsidRPr="00610A40">
              <w:rPr>
                <w:i/>
                <w:color w:val="000000"/>
                <w:szCs w:val="24"/>
              </w:rPr>
              <w:t>T</w:t>
            </w:r>
            <w:r w:rsidRPr="00610A40">
              <w:rPr>
                <w:color w:val="000000"/>
                <w:szCs w:val="24"/>
                <w:vertAlign w:val="subscript"/>
              </w:rPr>
              <w:t>m</w:t>
            </w:r>
            <w:r w:rsidRPr="00610A40">
              <w:rPr>
                <w:color w:val="000000"/>
                <w:szCs w:val="24"/>
              </w:rPr>
              <w:t xml:space="preserve"> (°C)</w:t>
            </w:r>
          </w:p>
        </w:tc>
        <w:tc>
          <w:tcPr>
            <w:tcW w:w="760" w:type="pct"/>
          </w:tcPr>
          <w:p w14:paraId="19925366" w14:textId="77777777" w:rsidR="007972F8" w:rsidRPr="00610A40" w:rsidRDefault="007972F8" w:rsidP="007972F8">
            <w:pPr>
              <w:jc w:val="left"/>
              <w:cnfStyle w:val="100000000000" w:firstRow="1" w:lastRow="0" w:firstColumn="0" w:lastColumn="0" w:oddVBand="0" w:evenVBand="0" w:oddHBand="0" w:evenHBand="0" w:firstRowFirstColumn="0" w:firstRowLastColumn="0" w:lastRowFirstColumn="0" w:lastRowLastColumn="0"/>
              <w:rPr>
                <w:color w:val="000000"/>
                <w:szCs w:val="24"/>
              </w:rPr>
            </w:pPr>
            <w:r w:rsidRPr="00610A40">
              <w:rPr>
                <w:color w:val="000000"/>
                <w:szCs w:val="24"/>
              </w:rPr>
              <w:t>Mechanical Properties</w:t>
            </w:r>
          </w:p>
        </w:tc>
        <w:tc>
          <w:tcPr>
            <w:tcW w:w="746" w:type="pct"/>
          </w:tcPr>
          <w:p w14:paraId="1D9633DE" w14:textId="77777777" w:rsidR="007972F8" w:rsidRPr="00610A40" w:rsidRDefault="007972F8" w:rsidP="007972F8">
            <w:pPr>
              <w:jc w:val="left"/>
              <w:cnfStyle w:val="100000000000" w:firstRow="1" w:lastRow="0" w:firstColumn="0" w:lastColumn="0" w:oddVBand="0" w:evenVBand="0" w:oddHBand="0" w:evenHBand="0" w:firstRowFirstColumn="0" w:firstRowLastColumn="0" w:lastRowFirstColumn="0" w:lastRowLastColumn="0"/>
              <w:rPr>
                <w:color w:val="000000"/>
                <w:szCs w:val="24"/>
              </w:rPr>
            </w:pPr>
            <w:r w:rsidRPr="00610A40">
              <w:rPr>
                <w:color w:val="000000"/>
                <w:szCs w:val="24"/>
              </w:rPr>
              <w:t>Parameters for Mechanical testing</w:t>
            </w:r>
          </w:p>
        </w:tc>
        <w:tc>
          <w:tcPr>
            <w:tcW w:w="746" w:type="pct"/>
          </w:tcPr>
          <w:p w14:paraId="26508DE3" w14:textId="77777777" w:rsidR="007972F8" w:rsidRPr="00610A40" w:rsidRDefault="007972F8" w:rsidP="007972F8">
            <w:pPr>
              <w:jc w:val="left"/>
              <w:cnfStyle w:val="100000000000" w:firstRow="1" w:lastRow="0" w:firstColumn="0" w:lastColumn="0" w:oddVBand="0" w:evenVBand="0" w:oddHBand="0" w:evenHBand="0" w:firstRowFirstColumn="0" w:firstRowLastColumn="0" w:lastRowFirstColumn="0" w:lastRowLastColumn="0"/>
              <w:rPr>
                <w:color w:val="000000"/>
                <w:szCs w:val="24"/>
              </w:rPr>
            </w:pPr>
            <w:r w:rsidRPr="00610A40">
              <w:rPr>
                <w:color w:val="000000"/>
                <w:szCs w:val="24"/>
              </w:rPr>
              <w:t>Biodegradation behavior</w:t>
            </w:r>
          </w:p>
        </w:tc>
        <w:tc>
          <w:tcPr>
            <w:tcW w:w="1073" w:type="pct"/>
          </w:tcPr>
          <w:p w14:paraId="7B6006D1" w14:textId="77777777" w:rsidR="007972F8" w:rsidRPr="00610A40" w:rsidRDefault="007972F8" w:rsidP="007972F8">
            <w:pPr>
              <w:ind w:right="779"/>
              <w:jc w:val="left"/>
              <w:cnfStyle w:val="100000000000" w:firstRow="1" w:lastRow="0" w:firstColumn="0" w:lastColumn="0" w:oddVBand="0" w:evenVBand="0" w:oddHBand="0" w:evenHBand="0" w:firstRowFirstColumn="0" w:firstRowLastColumn="0" w:lastRowFirstColumn="0" w:lastRowLastColumn="0"/>
              <w:rPr>
                <w:color w:val="000000"/>
                <w:szCs w:val="24"/>
              </w:rPr>
            </w:pPr>
            <w:r w:rsidRPr="00610A40">
              <w:rPr>
                <w:color w:val="000000"/>
                <w:szCs w:val="24"/>
              </w:rPr>
              <w:t>Tissue Engineering Applications</w:t>
            </w:r>
          </w:p>
        </w:tc>
        <w:tc>
          <w:tcPr>
            <w:tcW w:w="479" w:type="pct"/>
          </w:tcPr>
          <w:p w14:paraId="2DF27976" w14:textId="77777777" w:rsidR="007972F8" w:rsidRPr="00610A40" w:rsidRDefault="007972F8" w:rsidP="007972F8">
            <w:pPr>
              <w:jc w:val="left"/>
              <w:cnfStyle w:val="100000000000" w:firstRow="1" w:lastRow="0" w:firstColumn="0" w:lastColumn="0" w:oddVBand="0" w:evenVBand="0" w:oddHBand="0" w:evenHBand="0" w:firstRowFirstColumn="0" w:firstRowLastColumn="0" w:lastRowFirstColumn="0" w:lastRowLastColumn="0"/>
              <w:rPr>
                <w:color w:val="000000"/>
                <w:szCs w:val="24"/>
              </w:rPr>
            </w:pPr>
            <w:r w:rsidRPr="00610A40">
              <w:rPr>
                <w:color w:val="000000"/>
                <w:szCs w:val="24"/>
              </w:rPr>
              <w:t>Reference</w:t>
            </w:r>
          </w:p>
        </w:tc>
      </w:tr>
      <w:tr w:rsidR="00E907D0" w:rsidRPr="00610A40" w14:paraId="1ADD1659" w14:textId="77777777" w:rsidTr="00BF3DC6">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64" w:type="pct"/>
          </w:tcPr>
          <w:p w14:paraId="58FD7341" w14:textId="77777777" w:rsidR="007972F8" w:rsidRPr="00610A40" w:rsidRDefault="007972F8" w:rsidP="007972F8">
            <w:pPr>
              <w:jc w:val="left"/>
              <w:rPr>
                <w:color w:val="000000"/>
                <w:szCs w:val="24"/>
              </w:rPr>
            </w:pPr>
            <w:r w:rsidRPr="00610A40">
              <w:rPr>
                <w:color w:val="000000"/>
                <w:szCs w:val="24"/>
              </w:rPr>
              <w:t>PLCL</w:t>
            </w:r>
          </w:p>
        </w:tc>
        <w:tc>
          <w:tcPr>
            <w:tcW w:w="272" w:type="pct"/>
          </w:tcPr>
          <w:p w14:paraId="0E3B75FC"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16.4 – 57.3</w:t>
            </w:r>
          </w:p>
        </w:tc>
        <w:tc>
          <w:tcPr>
            <w:tcW w:w="459" w:type="pct"/>
          </w:tcPr>
          <w:p w14:paraId="1A29F135"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137.2 -173.7</w:t>
            </w:r>
          </w:p>
        </w:tc>
        <w:tc>
          <w:tcPr>
            <w:tcW w:w="760" w:type="pct"/>
          </w:tcPr>
          <w:p w14:paraId="56173B9F"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17.2 – 26.6 </w:t>
            </w:r>
            <w:proofErr w:type="spellStart"/>
            <w:r w:rsidRPr="00610A40">
              <w:rPr>
                <w:color w:val="000000"/>
                <w:szCs w:val="24"/>
              </w:rPr>
              <w:t>MPa</w:t>
            </w:r>
            <w:proofErr w:type="spellEnd"/>
          </w:p>
          <w:p w14:paraId="54571389"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E = 12 – 1343 </w:t>
            </w:r>
            <w:proofErr w:type="spellStart"/>
            <w:r w:rsidRPr="00610A40">
              <w:rPr>
                <w:color w:val="000000"/>
                <w:szCs w:val="24"/>
              </w:rPr>
              <w:t>MPa</w:t>
            </w:r>
            <w:proofErr w:type="spellEnd"/>
          </w:p>
          <w:p w14:paraId="2B954144"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 314.2 – 485.8%</w:t>
            </w:r>
          </w:p>
        </w:tc>
        <w:tc>
          <w:tcPr>
            <w:tcW w:w="746" w:type="pct"/>
          </w:tcPr>
          <w:p w14:paraId="17F5A705"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Room Temp</w:t>
            </w:r>
          </w:p>
          <w:p w14:paraId="46153213"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Tensile rate = 20 mm/min</w:t>
            </w:r>
          </w:p>
        </w:tc>
        <w:tc>
          <w:tcPr>
            <w:tcW w:w="746" w:type="pct"/>
          </w:tcPr>
          <w:p w14:paraId="362ED2C7"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19% weight loss in 15 weeks in vivo </w:t>
            </w:r>
          </w:p>
        </w:tc>
        <w:tc>
          <w:tcPr>
            <w:tcW w:w="1073" w:type="pct"/>
          </w:tcPr>
          <w:p w14:paraId="3D58E7E5"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Vascular tissue engineering</w:t>
            </w:r>
          </w:p>
          <w:p w14:paraId="16C52099"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 Catheters in urology </w:t>
            </w:r>
          </w:p>
          <w:p w14:paraId="23805058"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Cartilage tissue regeneration</w:t>
            </w:r>
          </w:p>
        </w:tc>
        <w:tc>
          <w:tcPr>
            <w:tcW w:w="479" w:type="pct"/>
          </w:tcPr>
          <w:p w14:paraId="0C9713BE" w14:textId="189388AC" w:rsidR="007972F8" w:rsidRPr="00610A40" w:rsidRDefault="007972F8" w:rsidP="00565E2A">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fldChar w:fldCharType="begin" w:fldLock="1"/>
            </w:r>
            <w:r w:rsidR="00565E2A" w:rsidRPr="00610A40">
              <w:rPr>
                <w:color w:val="000000"/>
                <w:szCs w:val="24"/>
              </w:rPr>
              <w:instrText>ADDIN CSL_CITATION { "citationItems" : [ { "id" : "ITEM-1", "itemData" : { "DOI" : "10.1016/j.jmbbm.2012.01.003", "ISBN" : "1878-0180 (Electronic)\r1878-0180 (Linking)", "PMID" : "22498288", "author" : [ { "dropping-particle" : "", "family" : "Fernandez", "given" : "J", "non-dropping-particle" : "", "parse-names" : false, "suffix" : "" }, { "dropping-particle" : "", "family" : "Etxeberria", "given" : "A", "non-dropping-particle" : "", "parse-names" : false, "suffix" : "" }, { "dropping-particle" : "", "family" : "Sarasua", "given" : "J R", "non-dropping-particle" : "", "parse-names" : false, "suffix" : "" } ], "container-title" : "J Mech Behav Biomed Mater", "id" : "ITEM-1", "issued" : { "date-parts" : [ [ "2012" ] ] }, "page" : "100-112", "title" : "Synthesis, structure and properties of poly(L-lactide-co-epsilon-caprolactone) statistical copolymers", "type" : "article-journal", "volume" : "9" }, "uris" : [ "http://www.mendeley.com/documents/?uuid=e4220689-c974-4943-a7c7-fc9e6d97631c" ] }, { "id" : "ITEM-2", "itemData" : { "ISBN" : "0920-5063", "author" : [ { "dropping-particle" : "", "family" : "Jung", "given" : "Youngmee", "non-dropping-particle" : "", "parse-names" : false, "suffix" : "" }, { "dropping-particle" : "", "family" : "Kim", "given" : "Soo Hyun", "non-dropping-particle" : "", "parse-names" : false, "suffix" : "" }, { "dropping-particle" : "", "family" : "You", "given" : "Hee Jin", "non-dropping-particle" : "", "parse-names" : false, "suffix" : "" }, { "dropping-particle" : "", "family" : "Kim", "given" : "Sang-Heon", "non-dropping-particle" : "", "parse-names" : false, "suffix" : "" }, { "dropping-particle" : "", "family" : "Ha Kim", "given" : "Young", "non-dropping-particle" : "", "parse-names" : false, "suffix" : "" }, { "dropping-particle" : "", "family" : "Min", "given" : "Byoung Goo", "non-dropping-particle" : "", "parse-names" : false, "suffix" : "" } ], "container-title" : "Journal of Biomaterials Science, Polymer Edition", "id" : "ITEM-2", "issue" : "8", "issued" : { "date-parts" : [ [ "2008" ] ] }, "page" : "1073-1085", "title" : "Application of an elastic biodegradable poly (L-lactide-co-\u03b5-caprolactone) scaffold for cartilage tissue regeneration", "type" : "article-journal", "volume" : "19" }, "uris" : [ "http://www.mendeley.com/documents/?uuid=36c0d913-345d-4f07-b10c-83858306996a" ] }, { "id" : "ITEM-3", "itemData" : { "DOI" : "10.1002/pat.1414", "ISSN" : "1099-1581", "abstract" : "Biodegradable copolymers of poly(lactic acid)-block-poly(\u03b5-caprolactone) (PLA-b-PCL) were successfully prepared by two steps. In the first step, lactic acid monomer is oligomerized to low molecular weight prepolymer and copolymerized with the (\u03b5-caprolactone) diol to prepolymer, and then the molecular weight is raised by joining prepolymer chains together using 1,6-hexamethylene diisocyanate (HDI) as the chain extender. The polymer was carefully characterized by using 1H-NMR analysis, gel permeation chromatography (GPC), thermogravimetric analysis (TGA), differential scanning calorimetry (DSC), and Fourier transform infrared spectroscopy (FTIR). The results of 1H-NMR and TGA indicate PLA-b-PCL prepolymer with number average molecular weights (Mn) of 4000\u20136000 were obtained. When PCL-diols are 10\u2009wt%, copolymer is better for chain extension reaction to obtain the polymer with high molecular weight. After chain extension, the weight average molecular weight can reach 250,000\u2009g/mol, as determined by GPC, when the molar ratio of \u2013NCO to \u2013OH was 3:1. DSC curve showed that the degree of crystallization of PLA\u2013PCL copolymer was low, even became amorphous after chain extended reaction. The product exhibits superior mechanical properties with elongation at break above 297% that is much higher than that of PLA chain extended products. Copyright \u00a9 2009 John Wiley &amp; Sons, Ltd. ", "author" : [ { "dropping-particle" : "", "family" : "Yu", "given" : "Tao", "non-dropping-particle" : "", "parse-names" : false, "suffix" : "" }, { "dropping-particle" : "", "family" : "Ren", "given" : "Jie", "non-dropping-particle" : "", "parse-names" : false, "suffix" : "" }, { "dropping-particle" : "", "family" : "Gu", "given" : "Shuying", "non-dropping-particle" : "", "parse-names" : false, "suffix" : "" }, { "dropping-particle" : "", "family" : "Yang", "given" : "Ming", "non-dropping-particle" : "", "parse-names" : false, "suffix" : "" } ], "container-title" : "Polymers for Advanced Technologies", "id" : "ITEM-3", "issue" : "3", "issued" : { "date-parts" : [ [ "2010", "3", "1" ] ] }, "page" : "183-188", "publisher" : "John Wiley &amp; Sons, Ltd.", "title" : "Preparation and characterization of biodegradable poly(lactic acid)- block-poly(\u03b5-caprolactone) multiblock copolymer", "type" : "article-journal", "volume" : "21" }, "uris" : [ "http://www.mendeley.com/documents/?uuid=e66b9c1f-07ad-4264-b25a-1c008c1b529a" ] }, { "id" : "ITEM-4", "itemData" : { "DOI" : "10.1016/j.msec.2008.08.002", "ISBN" : "0928-4931", "author" : [ { "dropping-particle" : "", "family" : "Zhang", "given" : "Jinhui", "non-dropping-particle" : "", "parse-names" : false, "suffix" : "" }, { "dropping-particle" : "", "family" : "Xu", "given" : "Jia", "non-dropping-particle" : "", "parse-names" : false, "suffix" : "" }, { "dropping-particle" : "", "family" : "Wang", "given" : "Hongyan", "non-dropping-particle" : "", "parse-names" : false, "suffix" : "" }, { "dropping-particle" : "", "family" : "Jin", "given" : "Weiqun", "non-dropping-particle" : "", "parse-names" : false, "suffix" : "" }, { "dropping-particle" : "", "family" : "Li", "given" : "Junfeng", "non-dropping-particle" : "", "parse-names" : false, "suffix" : "" } ], "container-title" : "Materials Science &amp; Engineering C", "id" : "ITEM-4", "issue" : "3", "issued" : { "date-parts" : [ [ "2009" ] ] }, "page" : "889-893", "publisher" : "Elsevier B.V", "title" : "Synthesis of multiblock thermoplastic elastomers based on biodegradable poly (lactic acid) and polycaprolactone", "type" : "article-journal", "volume" : "29" }, "uris" : [ "http://www.mendeley.com/documents/?uuid=e7d71125-3f23-4234-9725-f0da14d728b3" ] }, { "id" : "ITEM-5", "itemData" : { "DOI" : "10.1038/pj.2015.49", "ISBN" : "0032-3896", "author" : [ { "dropping-particle" : "", "family" : "Jikei", "given" : "Mitsutoshi", "non-dropping-particle" : "", "parse-names" : false, "suffix" : "" }, { "dropping-particle" : "", "family" : "Takeyama", "given" : "Yuuki", "non-dropping-particle" : "", "parse-names" : false, "suffix" : "" }, { "dropping-particle" : "", "family" : "Yamadoi", "given" : "Yuta", "non-dropping-particle" : "", "parse-names" : false, "suffix" : "" }, { "dropping-particle" : "", "family" : "Shinbo", "given" : "Natsumi", "non-dropping-particle" : "", "parse-names" : false, "suffix" : "" }, { "dropping-particle" : "", "family" : "Matsumoto", "given" : "Kazuya", "non-dropping-particle" : "", "parse-names" : false, "suffix" : "" }, { "dropping-particle" : "", "family" : "Motokawa", "given" : "Mamika", "non-dropping-particle" : "", "parse-names" : false, "suffix" : "" }, { "dropping-particle" : "", "family" : "Ishibashi", "given" : "Kazuyuki", "non-dropping-particle" : "", "parse-names" : false, "suffix" : "" }, { "dropping-particle" : "", "family" : "Yamamoto", "given" : "Fumio", "non-dropping-particle" : "", "parse-names" : false, "suffix" : "" } ], "container-title" : "Polymer Journal", "id" : "ITEM-5", "issue" : "10", "issued" : { "date-parts" : [ [ "2015" ] ] }, "page" : "657", "publisher" : "Nature Publishing Group", "publisher-place" : "Tokyo", "title" : "Synthesis and properties of Poly(L-lactide)-Poly([epsilon]-caprolactone) multiblock copolymers by the self-polycondensation of diblock macromonomers", "type" : "article-journal", "volume" : "47" }, "uris" : [ "http://www.mendeley.com/documents/?uuid=66c551d9-5fd2-4d67-b703-e12d59876df2" ] }, { "id" : "ITEM-6", "itemData" : { "DOI" : "10.1002/pen.23766", "ISBN" : "0032-3888", "author" : [ { "dropping-particle" : "", "family" : "Zhao", "given" : "Xiong-Yan", "non-dropping-particle" : "", "parse-names" : false, "suffix" : "" }, { "dropping-particle" : "", "family" : "Wang", "given" : "Ming-Zhu", "non-dropping-particle" : "", "parse-names" : false, "suffix" : "" }, { "dropping-particle" : "", "family" : "Xing", "given" : "Ai", "non-dropping-particle" : "", "parse-names" : false, "suffix" : "" }, { "dropping-particle" : "", "family" : "Xiao", "given" : "Ji-Jun", "non-dropping-particle" : "", "parse-names" : false, "suffix" : "" }, { "dropping-particle" : "", "family" : "Xie", "given" : "Jiang", "non-dropping-particle" : "", "parse-names" : false, "suffix" : "" } ], "container-title" : "Polymer Engineering &amp; Science", "id" : "ITEM-6", "issue" : "9", "issued" : { "date-parts" : [ [ "2014" ] ] }, "page" : "2170-2176", "publisher" : "Society of Plastics Engineers, Inc", "publisher-place" : "Newtown", "title" : "Design and synthesis of biodegradable copolyester poly(\u03b5-caprolactone-co-d,l-lactide) with four pendent functional groups", "type" : "article-journal", "volume" : "54" }, "uris" : [ "http://www.mendeley.com/documents/?uuid=892d76ed-422c-41af-b111-409bf1e03951" ] }, { "id" : "ITEM-7", "itemData" : { "DOI" : "http://dx.doi.org/10.1016/j.biomaterials.2004.01.057", "ISBN" : "0142-9612", "author" : [ { "dropping-particle" : "", "family" : "Jeong", "given" : "Sung In", "non-dropping-particle" : "", "parse-names" : false, "suffix" : "" }, { "dropping-particle" : "", "family" : "Kim", "given" : "Byung-Soo", "non-dropping-particle" : "", "parse-names" : false, "suffix" : "" }, { "dropping-particle" : "", "family" : "Kang", "given" : "Sun Woong", "non-dropping-particle" : "", "parse-names" : false, "suffix" : "" }, { "dropping-particle" : "", "family" : "Kwon", "given" : "Jae Hyun", "non-dropping-particle" : "", "parse-names" : false, "suffix" : "" }, { "dropping-particle" : "", "family" : "Lee", "given" : "Young Moo", "non-dropping-particle" : "", "parse-names" : false, "suffix" : "" }, { "dropping-particle" : "", "family" : "Kim", "given" : "Soo Hyun", "non-dropping-particle" : "", "parse-names" : false, "suffix" : "" }, { "dropping-particle" : "", "family" : "Kim", "given" : "Young Ha", "non-dropping-particle" : "", "parse-names" : false, "suffix" : "" } ], "container-title" : "Biomaterials", "id" : "ITEM-7", "issue" : "28", "issued" : { "date-parts" : [ [ "2004" ] ] }, "page" : "5939-5946", "title" : "In vivo biocompatibilty and degradation behavior of elastic poly(l-lactide-co-\u03b5-caprolactone) scaffolds", "type" : "article-journal", "volume" : "25" }, "uris" : [ "http://www.mendeley.com/documents/?uuid=a72150c5-c88c-42a0-907d-f777b189abea" ] } ], "mendeley" : { "formattedCitation" : "&lt;sup&gt;17\u201320,82\u201384&lt;/sup&gt;", "plainTextFormattedCitation" : "17\u201320,82\u201384", "previouslyFormattedCitation" : "&lt;sup&gt;17\u201320,81\u201383&lt;/sup&gt;"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17–20,82–84</w:t>
            </w:r>
            <w:r w:rsidRPr="00610A40">
              <w:rPr>
                <w:color w:val="000000"/>
                <w:szCs w:val="24"/>
              </w:rPr>
              <w:fldChar w:fldCharType="end"/>
            </w:r>
          </w:p>
        </w:tc>
      </w:tr>
      <w:tr w:rsidR="002E6723" w:rsidRPr="00610A40" w14:paraId="4151C244" w14:textId="77777777" w:rsidTr="00BF3DC6">
        <w:trPr>
          <w:trHeight w:val="993"/>
        </w:trPr>
        <w:tc>
          <w:tcPr>
            <w:cnfStyle w:val="001000000000" w:firstRow="0" w:lastRow="0" w:firstColumn="1" w:lastColumn="0" w:oddVBand="0" w:evenVBand="0" w:oddHBand="0" w:evenHBand="0" w:firstRowFirstColumn="0" w:firstRowLastColumn="0" w:lastRowFirstColumn="0" w:lastRowLastColumn="0"/>
            <w:tcW w:w="464" w:type="pct"/>
          </w:tcPr>
          <w:p w14:paraId="2EAF2242" w14:textId="77777777" w:rsidR="007972F8" w:rsidRPr="00610A40" w:rsidRDefault="007972F8" w:rsidP="007972F8">
            <w:pPr>
              <w:jc w:val="left"/>
              <w:rPr>
                <w:color w:val="000000"/>
                <w:szCs w:val="24"/>
              </w:rPr>
            </w:pPr>
            <w:r w:rsidRPr="00610A40">
              <w:rPr>
                <w:color w:val="000000"/>
                <w:szCs w:val="24"/>
              </w:rPr>
              <w:t>PGCL</w:t>
            </w:r>
          </w:p>
        </w:tc>
        <w:tc>
          <w:tcPr>
            <w:tcW w:w="272" w:type="pct"/>
          </w:tcPr>
          <w:p w14:paraId="0FC21439"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-19.3</w:t>
            </w:r>
          </w:p>
        </w:tc>
        <w:tc>
          <w:tcPr>
            <w:tcW w:w="459" w:type="pct"/>
          </w:tcPr>
          <w:p w14:paraId="238E84CF"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w:t>
            </w:r>
          </w:p>
        </w:tc>
        <w:tc>
          <w:tcPr>
            <w:tcW w:w="760" w:type="pct"/>
          </w:tcPr>
          <w:p w14:paraId="2D89B239"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~0.6 </w:t>
            </w:r>
            <w:proofErr w:type="spellStart"/>
            <w:r w:rsidRPr="00610A40">
              <w:rPr>
                <w:color w:val="000000"/>
                <w:szCs w:val="24"/>
              </w:rPr>
              <w:t>MPa</w:t>
            </w:r>
            <w:proofErr w:type="spellEnd"/>
          </w:p>
          <w:p w14:paraId="1686F0F4"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&gt; 250%</w:t>
            </w:r>
          </w:p>
        </w:tc>
        <w:tc>
          <w:tcPr>
            <w:tcW w:w="746" w:type="pct"/>
          </w:tcPr>
          <w:p w14:paraId="51D6759D"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Room Temp</w:t>
            </w:r>
          </w:p>
          <w:p w14:paraId="2B6AF1FC"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Tensile rate = 1 mm/min</w:t>
            </w:r>
          </w:p>
        </w:tc>
        <w:tc>
          <w:tcPr>
            <w:tcW w:w="746" w:type="pct"/>
          </w:tcPr>
          <w:p w14:paraId="40D2243E"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&gt; 1.5 month</w:t>
            </w:r>
          </w:p>
        </w:tc>
        <w:tc>
          <w:tcPr>
            <w:tcW w:w="1073" w:type="pct"/>
          </w:tcPr>
          <w:p w14:paraId="58C5343D"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Smooth muscle tissue engineering</w:t>
            </w:r>
          </w:p>
          <w:p w14:paraId="20720092"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Soft tissue regeneration</w:t>
            </w:r>
          </w:p>
        </w:tc>
        <w:tc>
          <w:tcPr>
            <w:tcW w:w="479" w:type="pct"/>
          </w:tcPr>
          <w:p w14:paraId="508CB6E8" w14:textId="1D1E71E3" w:rsidR="007972F8" w:rsidRPr="00610A40" w:rsidRDefault="007972F8" w:rsidP="00565E2A">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fldChar w:fldCharType="begin" w:fldLock="1"/>
            </w:r>
            <w:r w:rsidR="00565E2A" w:rsidRPr="00610A40">
              <w:rPr>
                <w:color w:val="000000"/>
                <w:szCs w:val="24"/>
              </w:rPr>
              <w:instrText>ADDIN CSL_CITATION { "citationItems" : [ { "id" : "ITEM-1", "itemData" : { "ISBN" : "0920-5063", "author" : [ { "dropping-particle" : "", "family" : "Kwon", "given" : "I K", "non-dropping-particle" : "", "parse-names" : false, "suffix" : "" }, { "dropping-particle" : "", "family" : "Park", "given" : "K D", "non-dropping-particle" : "", "parse-names" : false, "suffix" : "" }, { "dropping-particle" : "", "family" : "Choi", "given" : "S W", "non-dropping-particle" : "", "parse-names" : false, "suffix" : "" }, { "dropping-particle" : "", "family" : "Lee", "given" : "S-H", "non-dropping-particle" : "", "parse-names" : false, "suffix" : "" }, { "dropping-particle" : "", "family" : "Lee", "given" : "E B", "non-dropping-particle" : "", "parse-names" : false, "suffix" : "" }, { "dropping-particle" : "", "family" : "Na", "given" : "J S", "non-dropping-particle" : "", "parse-names" : false, "suffix" : "" }, { "dropping-particle" : "", "family" : "Kim", "given" : "S H", "non-dropping-particle" : "", "parse-names" : false, "suffix" : "" }, { "dropping-particle" : "", "family" : "Kim", "given" : "Y H", "non-dropping-particle" : "", "parse-names" : false, "suffix" : "" } ], "container-title" : "Journal of Biomaterials Science, Polymer Edition", "id" : "ITEM-1", "issue" : "10", "issued" : { "date-parts" : [ [ "2001" ] ] }, "page" : "1147-1160", "title" : "Fibroblast culture on surface-modified poly (glycolide-co-\u03b5-caprolactone) scaffold for soft tissue regeneration", "type" : "article-journal", "volume" : "12" }, "uris" : [ "http://www.mendeley.com/documents/?uuid=fd4179cb-8029-46c2-b4fe-4a49e7e1fd53" ] }, { "id" : "ITEM-2", "itemData" : { "DOI" : "10.1002/pen.23766", "ISBN" : "0032-3888", "author" : [ { "dropping-particle" : "", "family" : "Zhao", "given" : "Xiong-Yan", "non-dropping-particle" : "", "parse-names" : false, "suffix" : "" }, { "dropping-particle" : "", "family" : "Wang", "given" : "Ming-Zhu", "non-dropping-particle" : "", "parse-names" : false, "suffix" : "" }, { "dropping-particle" : "", "family" : "Xing", "given" : "Ai", "non-dropping-particle" : "", "parse-names" : false, "suffix" : "" }, { "dropping-particle" : "", "family" : "Xiao", "given" : "Ji-Jun", "non-dropping-particle" : "", "parse-names" : false, "suffix" : "" }, { "dropping-particle" : "", "family" : "Xie", "given" : "Jiang", "non-dropping-particle" : "", "parse-names" : false, "suffix" : "" } ], "container-title" : "Polymer Engineering &amp; Science", "id" : "ITEM-2", "issue" : "9", "issued" : { "date-parts" : [ [ "2014" ] ] }, "page" : "2170-2176", "publisher" : "Society of Plastics Engineers, Inc", "publisher-place" : "Newtown", "title" : "Design and synthesis of biodegradable copolyester poly(\u03b5-caprolactone-co-d,l-lactide) with four pendent functional groups", "type" : "article-journal", "volume" : "54" }, "uris" : [ "http://www.mendeley.com/documents/?uuid=892d76ed-422c-41af-b111-409bf1e03951" ] } ], "mendeley" : { "formattedCitation" : "&lt;sup&gt;20,85&lt;/sup&gt;", "plainTextFormattedCitation" : "20,85", "previouslyFormattedCitation" : "&lt;sup&gt;20,84&lt;/sup&gt;"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20,85</w:t>
            </w:r>
            <w:r w:rsidRPr="00610A40">
              <w:rPr>
                <w:color w:val="000000"/>
                <w:szCs w:val="24"/>
              </w:rPr>
              <w:fldChar w:fldCharType="end"/>
            </w:r>
          </w:p>
        </w:tc>
      </w:tr>
      <w:tr w:rsidR="00E907D0" w:rsidRPr="00610A40" w14:paraId="394CA25B" w14:textId="77777777" w:rsidTr="00BF3DC6">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464" w:type="pct"/>
          </w:tcPr>
          <w:p w14:paraId="78967853" w14:textId="77777777" w:rsidR="007972F8" w:rsidRPr="00610A40" w:rsidRDefault="007972F8" w:rsidP="007972F8">
            <w:pPr>
              <w:jc w:val="left"/>
              <w:rPr>
                <w:color w:val="000000"/>
                <w:szCs w:val="24"/>
              </w:rPr>
            </w:pPr>
            <w:r w:rsidRPr="00610A40">
              <w:rPr>
                <w:color w:val="000000"/>
                <w:szCs w:val="24"/>
              </w:rPr>
              <w:t>PLGC</w:t>
            </w:r>
          </w:p>
        </w:tc>
        <w:tc>
          <w:tcPr>
            <w:tcW w:w="272" w:type="pct"/>
          </w:tcPr>
          <w:p w14:paraId="3F930F40"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-57.8 – 7.6</w:t>
            </w:r>
          </w:p>
        </w:tc>
        <w:tc>
          <w:tcPr>
            <w:tcW w:w="459" w:type="pct"/>
          </w:tcPr>
          <w:p w14:paraId="07BCD0E9"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w:t>
            </w:r>
          </w:p>
        </w:tc>
        <w:tc>
          <w:tcPr>
            <w:tcW w:w="760" w:type="pct"/>
          </w:tcPr>
          <w:p w14:paraId="71A73922"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19.7 – 31.5 </w:t>
            </w:r>
            <w:proofErr w:type="spellStart"/>
            <w:r w:rsidRPr="00610A40">
              <w:rPr>
                <w:color w:val="000000"/>
                <w:szCs w:val="24"/>
              </w:rPr>
              <w:t>MPa</w:t>
            </w:r>
            <w:proofErr w:type="spellEnd"/>
          </w:p>
          <w:p w14:paraId="3747B9EC"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E = 19.6 </w:t>
            </w:r>
            <w:proofErr w:type="spellStart"/>
            <w:r w:rsidRPr="00610A40">
              <w:rPr>
                <w:color w:val="000000"/>
                <w:szCs w:val="24"/>
              </w:rPr>
              <w:t>MPa</w:t>
            </w:r>
            <w:proofErr w:type="spellEnd"/>
            <w:r w:rsidRPr="00610A40">
              <w:rPr>
                <w:color w:val="000000"/>
                <w:szCs w:val="24"/>
              </w:rPr>
              <w:t xml:space="preserve"> </w:t>
            </w:r>
          </w:p>
          <w:p w14:paraId="55B47437"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 500 – </w:t>
            </w:r>
            <w:r w:rsidRPr="00610A40">
              <w:rPr>
                <w:color w:val="000000"/>
                <w:szCs w:val="24"/>
              </w:rPr>
              <w:lastRenderedPageBreak/>
              <w:t>1356%</w:t>
            </w:r>
          </w:p>
        </w:tc>
        <w:tc>
          <w:tcPr>
            <w:tcW w:w="746" w:type="pct"/>
          </w:tcPr>
          <w:p w14:paraId="06DB47E3"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lastRenderedPageBreak/>
              <w:t>Room Temp</w:t>
            </w:r>
          </w:p>
          <w:p w14:paraId="25618424"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Tensile rate = </w:t>
            </w:r>
            <w:r w:rsidRPr="00610A40">
              <w:rPr>
                <w:color w:val="000000"/>
              </w:rPr>
              <w:t>10 mm/min</w:t>
            </w:r>
          </w:p>
        </w:tc>
        <w:tc>
          <w:tcPr>
            <w:tcW w:w="746" w:type="pct"/>
          </w:tcPr>
          <w:p w14:paraId="29172728" w14:textId="297295EC"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90% weight loss in 16 weeks</w:t>
            </w:r>
          </w:p>
        </w:tc>
        <w:tc>
          <w:tcPr>
            <w:tcW w:w="1073" w:type="pct"/>
          </w:tcPr>
          <w:p w14:paraId="7845E758"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 </w:t>
            </w:r>
            <w:proofErr w:type="spellStart"/>
            <w:r w:rsidRPr="00610A40">
              <w:rPr>
                <w:color w:val="000000"/>
                <w:szCs w:val="24"/>
              </w:rPr>
              <w:t>Mechano</w:t>
            </w:r>
            <w:proofErr w:type="spellEnd"/>
            <w:r w:rsidRPr="00610A40">
              <w:rPr>
                <w:color w:val="000000"/>
                <w:szCs w:val="24"/>
              </w:rPr>
              <w:t>-active tissue engineering</w:t>
            </w:r>
          </w:p>
        </w:tc>
        <w:tc>
          <w:tcPr>
            <w:tcW w:w="479" w:type="pct"/>
          </w:tcPr>
          <w:p w14:paraId="2CC9158E" w14:textId="34A5AE6B" w:rsidR="007972F8" w:rsidRPr="00610A40" w:rsidRDefault="007972F8" w:rsidP="00565E2A">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fldChar w:fldCharType="begin" w:fldLock="1"/>
            </w:r>
            <w:r w:rsidR="00565E2A" w:rsidRPr="00610A40">
              <w:rPr>
                <w:color w:val="000000"/>
                <w:szCs w:val="24"/>
              </w:rPr>
              <w:instrText>ADDIN CSL_CITATION { "citationItems" : [ { "id" : "ITEM-1", "itemData" : { "DOI" : "10.1163/156856200743698", "ISBN" : "0920-5063\r1568-5624", "author" : [ { "dropping-particle" : "", "family" : "Cai", "given" : "Qing", "non-dropping-particle" : "", "parse-names" : false, "suffix" : "" }, { "dropping-particle" : "", "family" : "Bei", "given" : "Jianzhong", "non-dropping-particle" : "", "parse-names" : false, "suffix" : "" }, { "dropping-particle" : "", "family" : "Wang", "given" : "Shenguo", "non-dropping-particle" : "", "parse-names" : false, "suffix" : "" } ], "container-title" : "Journal of Biomaterials Science, Polymer Edition", "id" : "ITEM-1", "issue" : "3", "issued" : { "date-parts" : [ [ "2000" ] ] }, "page" : "273-288", "title" : "Synthesis and degradation of a tri-component copolymer derived from glycolide, L-lactide, and \u03b5-caprolactone", "type" : "article-journal", "volume" : "11" }, "uris" : [ "http://www.mendeley.com/documents/?uuid=f6ca1b20-bc22-4a39-bdd8-0e4dd37cff2f" ] }, { "id" : "ITEM-2", "itemData" : { "ISBN" : "0920-5063", "author" : [ { "dropping-particle" : "", "family" : "Jung", "given" : "Youngmee", "non-dropping-particle" : "", "parse-names" : false, "suffix" : "" }, { "dropping-particle" : "", "family" : "Lee", "given" : "Sun-Hee", "non-dropping-particle" : "", "parse-names" : false, "suffix" : "" }, { "dropping-particle" : "", "family" : "Kim", "given" : "Sang-Heon", "non-dropping-particle" : "", "parse-names" : false, "suffix" : "" }, { "dropping-particle" : "", "family" : "Lim", "given" : "Jong Choo", "non-dropping-particle" : "", "parse-names" : false, "suffix" : "" }, { "dropping-particle" : "", "family" : "Kim", "given" : "Soo Hyun", "non-dropping-particle" : "", "parse-names" : false, "suffix" : "" } ], "container-title" : "Journal of Biomaterials Science, Polymer Edition", "id" : "ITEM-2", "issue" : "4", "issued" : { "date-parts" : [ [ "2013" ] ] }, "page" : "386-397", "title" : "Synthesis and characterization of the biodegradable and elastic terpolymer poly (glycolide-co-L-lactide-co-\u03f5-caprolactone) for mechano-active tissue engineering", "type" : "article-journal", "volume" : "24" }, "uris" : [ "http://www.mendeley.com/documents/?uuid=5ca59972-71e9-4de2-92b3-aa48288c1bbf" ] }, { "id" : "ITEM-3", "itemData" : { "ISBN" : "0032-3896", "author" : [ { "dropping-particle" : "", "family" : "Jikei", "given" : "Mitsutoshi", "non-dropping-particle" : "", "parse-names" : false, "suffix" : "" }, { "dropping-particle" : "", "family" : "Suga", "given" : "Takahiro", "non-dropping-particle" : "", "parse-names" : false, "suffix" : "" }, { "dropping-particle" : "", "family" : "Yamadoi", "given" : "Yuta", "non-dropping-particle" : "", "parse-names" : false, "suffix" : "" }, { "dropping-particle" : "", "family" : "Matsumoto", "given" : "Kazuya", "non-dropping-particle" : "", "parse-names" : false, "suffix" : "" } ], "container-title" : "Polymer Journal", "id" : "ITEM-3", "issue" : "4", "issued" : { "date-parts" : [ [ "2017" ] ] }, "page" : "369-375", "title" : "Synthesis and properties of poly (L-lactide-co-glycolide)-b-Poly (\u03f5-caprolactone) multiblock copolymers formed by self-polycondensation of diblock macromonomers", "type" : "article-journal", "volume" : "49" }, "uris" : [ "http://www.mendeley.com/documents/?uuid=d5eafe22-8540-4759-93e3-0db16ab95e2f", "http://www.mendeley.com/documents/?uuid=dce61650-3dd3-4312-8268-22706f3c97a7" ] }, { "id" : "ITEM-4", "itemData" : { "DOI" : "10.1007/s10965-009-9292-9", "ISBN" : "1022-9760", "author" : [ { "dropping-particle" : "", "family" : "Wang", "given" : "Liansong", "non-dropping-particle" : "", "parse-names" : false, "suffix" : "" }, { "dropping-particle" : "", "family" : "Zhang", "given" : "Zhiping", "non-dropping-particle" : "", "parse-names" : false, "suffix" : "" }, { "dropping-particle" : "", "family" : "Chen", "given" : "Hechun", "non-dropping-particle" : "", "parse-names" : false, "suffix" : "" }, { "dropping-particle" : "", "family" : "Zhang", "given" : "Shenglan", "non-dropping-particle" : "", "parse-names" : false, "suffix" : "" }, { "dropping-particle" : "", "family" : "Xiong", "given" : "Chengdong", "non-dropping-particle" : "", "parse-names" : false, "suffix" : "" } ], "container-title" : "Journal of Polymer Research", "id" : "ITEM-4", "issue" : "1", "issued" : { "date-parts" : [ [ "2010" ] ] }, "page" : "77-82", "publisher" : "Springer Netherlands", "publisher-place" : "Dordrecht", "title" : "Preparation and characterization of biodegradable thermoplastic Elastomers (PLCA/PLGA blends)", "type" : "article-journal", "volume" : "17" }, "uris" : [ "http://www.mendeley.com/documents/?uuid=c4466713-339c-4466-9455-2c8f77bf5f87" ] } ], "mendeley" : { "formattedCitation" : "&lt;sup&gt;24,86\u201388&lt;/sup&gt;", "plainTextFormattedCitation" : "24,86\u201388", "previouslyFormattedCitation" : "&lt;sup&gt;24,85\u201387&lt;/sup&gt;"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24,86–88</w:t>
            </w:r>
            <w:r w:rsidRPr="00610A40">
              <w:rPr>
                <w:color w:val="000000"/>
                <w:szCs w:val="24"/>
              </w:rPr>
              <w:fldChar w:fldCharType="end"/>
            </w:r>
          </w:p>
        </w:tc>
      </w:tr>
      <w:tr w:rsidR="002E6723" w:rsidRPr="00610A40" w14:paraId="711D0D58" w14:textId="77777777" w:rsidTr="00BF3DC6">
        <w:trPr>
          <w:trHeight w:val="305"/>
        </w:trPr>
        <w:tc>
          <w:tcPr>
            <w:cnfStyle w:val="001000000000" w:firstRow="0" w:lastRow="0" w:firstColumn="1" w:lastColumn="0" w:oddVBand="0" w:evenVBand="0" w:oddHBand="0" w:evenHBand="0" w:firstRowFirstColumn="0" w:firstRowLastColumn="0" w:lastRowFirstColumn="0" w:lastRowLastColumn="0"/>
            <w:tcW w:w="464" w:type="pct"/>
          </w:tcPr>
          <w:p w14:paraId="4BFD589F" w14:textId="77777777" w:rsidR="007972F8" w:rsidRPr="00610A40" w:rsidRDefault="007972F8" w:rsidP="007972F8">
            <w:pPr>
              <w:jc w:val="left"/>
              <w:rPr>
                <w:color w:val="000000"/>
                <w:szCs w:val="24"/>
              </w:rPr>
            </w:pPr>
            <w:r w:rsidRPr="00610A40">
              <w:rPr>
                <w:color w:val="000000"/>
                <w:szCs w:val="24"/>
              </w:rPr>
              <w:lastRenderedPageBreak/>
              <w:t>P4HB</w:t>
            </w:r>
          </w:p>
        </w:tc>
        <w:tc>
          <w:tcPr>
            <w:tcW w:w="272" w:type="pct"/>
          </w:tcPr>
          <w:p w14:paraId="513DA440"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-49</w:t>
            </w:r>
          </w:p>
        </w:tc>
        <w:tc>
          <w:tcPr>
            <w:tcW w:w="459" w:type="pct"/>
          </w:tcPr>
          <w:p w14:paraId="44D318F2"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54</w:t>
            </w:r>
          </w:p>
        </w:tc>
        <w:tc>
          <w:tcPr>
            <w:tcW w:w="760" w:type="pct"/>
          </w:tcPr>
          <w:p w14:paraId="7170D2C1"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50 </w:t>
            </w:r>
            <w:proofErr w:type="spellStart"/>
            <w:r w:rsidRPr="00610A40">
              <w:rPr>
                <w:color w:val="000000"/>
                <w:szCs w:val="24"/>
              </w:rPr>
              <w:t>MPa</w:t>
            </w:r>
            <w:proofErr w:type="spellEnd"/>
          </w:p>
          <w:p w14:paraId="105223F6"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xml:space="preserve">E = 0.07 </w:t>
            </w:r>
            <w:proofErr w:type="spellStart"/>
            <w:r w:rsidRPr="00610A40">
              <w:rPr>
                <w:color w:val="000000"/>
                <w:szCs w:val="24"/>
              </w:rPr>
              <w:t>MPa</w:t>
            </w:r>
            <w:proofErr w:type="spellEnd"/>
            <w:r w:rsidRPr="00610A40">
              <w:rPr>
                <w:color w:val="000000"/>
                <w:szCs w:val="24"/>
              </w:rPr>
              <w:t xml:space="preserve"> </w:t>
            </w:r>
          </w:p>
          <w:p w14:paraId="3A3A52EF"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 1000%</w:t>
            </w:r>
          </w:p>
        </w:tc>
        <w:tc>
          <w:tcPr>
            <w:tcW w:w="746" w:type="pct"/>
          </w:tcPr>
          <w:p w14:paraId="6A8C6800"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Room Temp</w:t>
            </w:r>
          </w:p>
          <w:p w14:paraId="277EA54A"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Tensile rate = 20 mm/min</w:t>
            </w:r>
          </w:p>
        </w:tc>
        <w:tc>
          <w:tcPr>
            <w:tcW w:w="746" w:type="pct"/>
          </w:tcPr>
          <w:p w14:paraId="4097C0D4"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2 – 12 months</w:t>
            </w:r>
          </w:p>
        </w:tc>
        <w:tc>
          <w:tcPr>
            <w:tcW w:w="1073" w:type="pct"/>
          </w:tcPr>
          <w:p w14:paraId="18CD60A8"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Absorbable suture</w:t>
            </w:r>
          </w:p>
          <w:p w14:paraId="1A01C621"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(FDA approved)</w:t>
            </w:r>
          </w:p>
          <w:p w14:paraId="511AA333"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Heart valve</w:t>
            </w:r>
          </w:p>
        </w:tc>
        <w:tc>
          <w:tcPr>
            <w:tcW w:w="479" w:type="pct"/>
          </w:tcPr>
          <w:p w14:paraId="05F3B2BF" w14:textId="0094D76F" w:rsidR="007972F8" w:rsidRPr="00610A40" w:rsidRDefault="007972F8" w:rsidP="00565E2A">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fldChar w:fldCharType="begin" w:fldLock="1"/>
            </w:r>
            <w:r w:rsidR="00565E2A" w:rsidRPr="00610A40">
              <w:rPr>
                <w:color w:val="000000"/>
                <w:szCs w:val="24"/>
              </w:rPr>
              <w:instrText>ADDIN CSL_CITATION { "citationItems" : [ { "id" : "ITEM-1", "itemData" : { "ISBN" : "1369-703X", "author" : [ { "dropping-particle" : "", "family" : "Martin", "given" : "David P", "non-dropping-particle" : "", "parse-names" : false, "suffix" : "" }, { "dropping-particle" : "", "family" : "Williams", "given" : "Simon F", "non-dropping-particle" : "", "parse-names" : false, "suffix" : "" } ], "container-title" : "Biochemical Engineering Journal", "id" : "ITEM-1", "issue" : "2", "issued" : { "date-parts" : [ [ "2003" ] ] }, "page" : "97-105", "title" : "Medical applications of poly-4-hydroxybutyrate: a strong flexible absorbable biomaterial", "type" : "article-journal", "volume" : "16" }, "uris" : [ "http://www.mendeley.com/documents/?uuid=953e7d34-7867-45b6-8c04-3a42afc7ca64" ] }, { "id" : "ITEM-2", "itemData" : { "ISBN" : "1058-2916", "author" : [ { "dropping-particle" : "", "family" : "Sodian", "given" : "Ralf", "non-dropping-particle" : "", "parse-names" : false, "suffix" : "" }, { "dropping-particle" : "", "family" : "Loebe", "given" : "Matthias", "non-dropping-particle" : "", "parse-names" : false, "suffix" : "" }, { "dropping-particle" : "", "family" : "Hein", "given" : "Andreas", "non-dropping-particle" : "", "parse-names" : false, "suffix" : "" }, { "dropping-particle" : "", "family" : "Martin", "given" : "David P", "non-dropping-particle" : "", "parse-names" : false, "suffix" : "" }, { "dropping-particle" : "", "family" : "Hoerstrup", "given" : "Simon P", "non-dropping-particle" : "", "parse-names" : false, "suffix" : "" }, { "dropping-particle" : "V", "family" : "Potapov", "given" : "Evgenij", "non-dropping-particle" : "", "parse-names" : false, "suffix" : "" }, { "dropping-particle" : "", "family" : "Hausmann", "given" : "Harald", "non-dropping-particle" : "", "parse-names" : false, "suffix" : "" }, { "dropping-particle" : "", "family" : "Lueth", "given" : "Tim", "non-dropping-particle" : "", "parse-names" : false, "suffix" : "" }, { "dropping-particle" : "", "family" : "Hetzer", "given" : "Roland", "non-dropping-particle" : "", "parse-names" : false, "suffix" : "" } ], "container-title" : "Asaio Journal", "id" : "ITEM-2", "issue" : "1", "issued" : { "date-parts" : [ [ "2002" ] ] }, "page" : "12-16", "title" : "Application of stereolithography for scaffold fabrication for tissue engineered heart valves", "type" : "article-journal", "volume" : "48" }, "uris" : [ "http://www.mendeley.com/documents/?uuid=66b80c1c-c51d-4172-bfed-6dcb78caea5a" ] }, { "id" : "ITEM-3", "itemData" : { "DOI" : "http://dx.doi.org/10.1016/S0079-6700(00)00035-6", "ISBN" : "0079-6700", "author" : [ { "dropping-particle" : "", "family" : "Sudesh", "given" : "K", "non-dropping-particle" : "", "parse-names" : false, "suffix" : "" }, { "dropping-particle" : "", "family" : "Abe", "given" : "H", "non-dropping-particle" : "", "parse-names" : false, "suffix" : "" }, { "dropping-particle" : "", "family" : "Doi", "given" : "Y", "non-dropping-particle" : "", "parse-names" : false, "suffix" : "" } ], "container-title" : "Progress in Polymer Science", "id" : "ITEM-3", "issue" : "10", "issued" : { "date-parts" : [ [ "2000" ] ] }, "page" : "1503-1555", "title" : "Synthesis, structure and properties of polyhydroxyalkanoates: biological polyesters", "type" : "article-journal", "volume" : "25" }, "uris" : [ "http://www.mendeley.com/documents/?uuid=a1543874-5ff4-4352-9b41-9d67b62e44b5" ] } ], "mendeley" : { "formattedCitation" : "&lt;sup&gt;89\u201391&lt;/sup&gt;", "plainTextFormattedCitation" : "89\u201391", "previouslyFormattedCitation" : "&lt;sup&gt;88\u201390&lt;/sup&gt;"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89–91</w:t>
            </w:r>
            <w:r w:rsidRPr="00610A40">
              <w:rPr>
                <w:color w:val="000000"/>
                <w:szCs w:val="24"/>
              </w:rPr>
              <w:fldChar w:fldCharType="end"/>
            </w:r>
          </w:p>
        </w:tc>
      </w:tr>
      <w:tr w:rsidR="00E907D0" w:rsidRPr="00610A40" w14:paraId="70D60449" w14:textId="77777777" w:rsidTr="00BF3DC6">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464" w:type="pct"/>
          </w:tcPr>
          <w:p w14:paraId="0295DF82" w14:textId="77777777" w:rsidR="007972F8" w:rsidRPr="00610A40" w:rsidRDefault="007972F8" w:rsidP="007972F8">
            <w:pPr>
              <w:jc w:val="left"/>
              <w:rPr>
                <w:color w:val="000000"/>
                <w:szCs w:val="24"/>
              </w:rPr>
            </w:pPr>
            <w:proofErr w:type="spellStart"/>
            <w:r w:rsidRPr="00610A40">
              <w:rPr>
                <w:color w:val="000000"/>
                <w:szCs w:val="24"/>
              </w:rPr>
              <w:t>PHBHHx</w:t>
            </w:r>
            <w:proofErr w:type="spellEnd"/>
          </w:p>
        </w:tc>
        <w:tc>
          <w:tcPr>
            <w:tcW w:w="272" w:type="pct"/>
          </w:tcPr>
          <w:p w14:paraId="4AAC3F7D"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-1.16</w:t>
            </w:r>
          </w:p>
        </w:tc>
        <w:tc>
          <w:tcPr>
            <w:tcW w:w="459" w:type="pct"/>
          </w:tcPr>
          <w:p w14:paraId="4D0C8045"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97</w:t>
            </w:r>
          </w:p>
        </w:tc>
        <w:tc>
          <w:tcPr>
            <w:tcW w:w="760" w:type="pct"/>
          </w:tcPr>
          <w:p w14:paraId="73A1AA16"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4.5 </w:t>
            </w:r>
            <w:proofErr w:type="spellStart"/>
            <w:r w:rsidRPr="00610A40">
              <w:rPr>
                <w:color w:val="000000"/>
                <w:szCs w:val="24"/>
              </w:rPr>
              <w:t>MPa</w:t>
            </w:r>
            <w:proofErr w:type="spellEnd"/>
          </w:p>
          <w:p w14:paraId="1C06F1B9"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E = 0.135 </w:t>
            </w:r>
            <w:proofErr w:type="spellStart"/>
            <w:r w:rsidRPr="00610A40">
              <w:rPr>
                <w:color w:val="000000"/>
                <w:szCs w:val="24"/>
              </w:rPr>
              <w:t>MPa</w:t>
            </w:r>
            <w:proofErr w:type="spellEnd"/>
            <w:r w:rsidRPr="00610A40">
              <w:rPr>
                <w:color w:val="000000"/>
                <w:szCs w:val="24"/>
              </w:rPr>
              <w:t xml:space="preserve"> </w:t>
            </w:r>
          </w:p>
          <w:p w14:paraId="5174170E"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 107%</w:t>
            </w:r>
          </w:p>
        </w:tc>
        <w:tc>
          <w:tcPr>
            <w:tcW w:w="746" w:type="pct"/>
          </w:tcPr>
          <w:p w14:paraId="6DA54D8C"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Room Temp</w:t>
            </w:r>
          </w:p>
          <w:p w14:paraId="799CEF6A"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Tensile rate = 5 mm/min</w:t>
            </w:r>
          </w:p>
        </w:tc>
        <w:tc>
          <w:tcPr>
            <w:tcW w:w="746" w:type="pct"/>
          </w:tcPr>
          <w:p w14:paraId="1499A395"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15% weight loss in 70 days</w:t>
            </w:r>
          </w:p>
        </w:tc>
        <w:tc>
          <w:tcPr>
            <w:tcW w:w="1073" w:type="pct"/>
          </w:tcPr>
          <w:p w14:paraId="65253829"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 Nerve conduit </w:t>
            </w:r>
          </w:p>
          <w:p w14:paraId="5FE85D1A"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 Cartilage proliferation </w:t>
            </w:r>
          </w:p>
          <w:p w14:paraId="704890F9"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Blood vessels</w:t>
            </w:r>
          </w:p>
          <w:p w14:paraId="2AEE9B31"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Bone regeneration</w:t>
            </w:r>
          </w:p>
        </w:tc>
        <w:tc>
          <w:tcPr>
            <w:tcW w:w="479" w:type="pct"/>
          </w:tcPr>
          <w:p w14:paraId="1EC46EA9" w14:textId="55E8A015" w:rsidR="007972F8" w:rsidRPr="00610A40" w:rsidRDefault="007972F8" w:rsidP="00565E2A">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fldChar w:fldCharType="begin" w:fldLock="1"/>
            </w:r>
            <w:r w:rsidR="00565E2A" w:rsidRPr="00610A40">
              <w:rPr>
                <w:color w:val="000000"/>
                <w:szCs w:val="24"/>
              </w:rPr>
              <w:instrText>ADDIN CSL_CITATION { "citationItems" : [ { "id" : "ITEM-1", "itemData" : { "ISBN" : "1359-5113", "author" : [ { "dropping-particle" : "", "family" : "Zhao", "given" : "Wei", "non-dropping-particle" : "", "parse-names" : false, "suffix" : "" }, { "dropping-particle" : "", "family" : "Chen", "given" : "Guo-Qiang", "non-dropping-particle" : "", "parse-names" : false, "suffix" : "" } ], "container-title" : "Process Biochemistry", "id" : "ITEM-1", "issue" : "9", "issued" : { "date-parts" : [ [ "2007" ] ] }, "page" : "1342-1347", "title" : "Production and characterization of terpolyester poly (3-hydroxybutyrate-co-3-hydroxyvalerate-co-3-hydroxyhexanoate) by recombinant Aeromonas hydrophila 4AK4 harboring genes phaAB", "type" : "article-journal", "volume" : "42" }, "uris" : [ "http://www.mendeley.com/documents/?uuid=a2c6e52f-f511-4208-bbf6-28e5fa4a9916" ] }, { "id" : "ITEM-2", "itemData" : { "ISBN" : "0142-9612", "author" : [ { "dropping-particle" : "", "family" : "Qu", "given" : "Xiang-Hua", "non-dropping-particle" : "", "parse-names" : false, "suffix" : "" }, { "dropping-particle" : "", "family" : "Wu", "given" : "Qiong", "non-dropping-particle" : "", "parse-names" : false, "suffix" : "" }, { "dropping-particle" : "", "family" : "Liang", "given" : "Juan", "non-dropping-particle" : "", "parse-names" : false, "suffix" : "" }, { "dropping-particle" : "", "family" : "Zou", "given" : "Bing", "non-dropping-particle" : "", "parse-names" : false, "suffix" : "" }, { "dropping-particle" : "", "family" : "Chen", "given" : "Guo-Qiang", "non-dropping-particle" : "", "parse-names" : false, "suffix" : "" } ], "container-title" : "Biomaterials", "id" : "ITEM-2", "issue" : "15", "issued" : { "date-parts" : [ [ "2006" ] ] }, "page" : "2944-2950", "title" : "Effect of 3-hydroxyhexanoate content in poly (3-hydroxybutyrate-co-3-hydroxyhexanoate) on in vitro growth and differentiation of smooth muscle cells", "type" : "article-journal", "volume" : "27" }, "uris" : [ "http://www.mendeley.com/documents/?uuid=c6e7211c-540a-46c8-a5c7-2615de4e7bcb" ] }, { "id" : "ITEM-3", "itemData" : { "DOI" : "10.1016/j.msec.2012.01.021", "ISBN" : "09284931", "author" : [ { "dropping-particle" : "", "family" : "Hazer", "given" : "Derya Burcu", "non-dropping-particle" : "", "parse-names" : false, "suffix" : "" }, { "dropping-particle" : "", "family" : "K\u0131l\u0131\u00e7ay", "given" : "Ebru", "non-dropping-particle" : "", "parse-names" : false, "suffix" : "" }, { "dropping-particle" : "", "family" : "Hazer", "given" : "Baki", "non-dropping-particle" : "", "parse-names" : false, "suffix" : "" } ], "container-title" : "Materials Science and Engineering: C", "id" : "ITEM-3", "issue" : "4", "issued" : { "date-parts" : [ [ "2012" ] ] }, "page" : "637-647", "title" : "Poly(3-hydroxyalkanoate)s: Diversification and biomedical applications", "type" : "article-journal", "volume" : "32" }, "uris" : [ "http://www.mendeley.com/documents/?uuid=636da223-d1b3-415a-9a6d-64ec4f093d1b" ] }, { "id" : "ITEM-4", "itemData" : { "DOI" : "http://dx.doi.org/10.1016/S0142-9612(03)00561-1", "ISSN" : "0142-9612", "abstract" : "Rabbit bone marrow cells were inoculated on 3D scaffolds of poly(lactic acid) (PLA), poly(3-hydroxybutyrate) (PHB) and poly(3-hydroxybutyrate-co-3-hydroxyhexanoate) (PHBHHx) to evaluate their in vitro biocompatibilities. It was found that PHBHHx had the best performance on attachment, proliferation of bone marrow cells. The cells on PHBHHx scaffolds presented typical osteoblast phenotypes: round cell shape, high alkaline phosphotase (ALP) activity, strong calcium deposition, and fibrillar collagen synthesis. After incubation for 10 days, cells grown on PHBHHx scaffolds were approximately 2\u00d7105 ml\u22121, 40% more than that on PHB scaffolds and 60% more than that on PLA scaffolds. ALP activity of the cells grown on PHBHHx scaffolds was up to about 65 U/g scaffolds, 50% higher than that of PHB and PLA, respectively. The scanning electronic microscopy (SEM) results showed that PHBHHx scaffolds had the appropriate roughness for osteoblast attachment and proliferation comparing with PHB and PLA. All these indicated that PHBHHx was a suitable biomaterial for osteoblast attachment, proliferation and differentiation from bone marrow cells.", "author" : [ { "dropping-particle" : "", "family" : "Wang", "given" : "Ya-Wu", "non-dropping-particle" : "", "parse-names" : false, "suffix" : "" }, { "dropping-particle" : "", "family" : "Wu", "given" : "Qiong", "non-dropping-particle" : "", "parse-names" : false, "suffix" : "" }, { "dropping-particle" : "", "family" : "Chen", "given" : "Guo-Qiang", "non-dropping-particle" : "", "parse-names" : false, "suffix" : "" } ], "container-title" : "Biomaterials", "id" : "ITEM-4", "issue" : "4", "issued" : { "date-parts" : [ [ "2004", "2" ] ] }, "page" : "669-675", "title" : "Attachment, proliferation and differentiation of osteoblasts on random biopolyester poly(3-hydroxybutyrate-co-3-hydroxyhexanoate) scaffolds", "type" : "article-journal", "volume" : "25" }, "uris" : [ "http://www.mendeley.com/documents/?uuid=e7abe1ba-6ca6-4034-980d-3ea139a90bd5" ] } ], "mendeley" : { "formattedCitation" : "&lt;sup&gt;92\u201395&lt;/sup&gt;", "plainTextFormattedCitation" : "92\u201395", "previouslyFormattedCitation" : "&lt;sup&gt;91\u201394&lt;/sup&gt;"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92–95</w:t>
            </w:r>
            <w:r w:rsidRPr="00610A40">
              <w:rPr>
                <w:color w:val="000000"/>
                <w:szCs w:val="24"/>
              </w:rPr>
              <w:fldChar w:fldCharType="end"/>
            </w:r>
          </w:p>
        </w:tc>
      </w:tr>
      <w:tr w:rsidR="002E6723" w:rsidRPr="00610A40" w14:paraId="7629D4A3" w14:textId="77777777" w:rsidTr="00BF3DC6">
        <w:trPr>
          <w:trHeight w:val="305"/>
        </w:trPr>
        <w:tc>
          <w:tcPr>
            <w:cnfStyle w:val="001000000000" w:firstRow="0" w:lastRow="0" w:firstColumn="1" w:lastColumn="0" w:oddVBand="0" w:evenVBand="0" w:oddHBand="0" w:evenHBand="0" w:firstRowFirstColumn="0" w:firstRowLastColumn="0" w:lastRowFirstColumn="0" w:lastRowLastColumn="0"/>
            <w:tcW w:w="464" w:type="pct"/>
          </w:tcPr>
          <w:p w14:paraId="5D6F5BE1" w14:textId="77777777" w:rsidR="007972F8" w:rsidRPr="00610A40" w:rsidRDefault="007972F8" w:rsidP="007972F8">
            <w:pPr>
              <w:jc w:val="left"/>
              <w:rPr>
                <w:color w:val="000000"/>
                <w:szCs w:val="24"/>
              </w:rPr>
            </w:pPr>
            <w:r w:rsidRPr="00610A40">
              <w:rPr>
                <w:color w:val="000000"/>
                <w:szCs w:val="24"/>
              </w:rPr>
              <w:t>PHO</w:t>
            </w:r>
          </w:p>
        </w:tc>
        <w:tc>
          <w:tcPr>
            <w:tcW w:w="272" w:type="pct"/>
          </w:tcPr>
          <w:p w14:paraId="1424AE38"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-36</w:t>
            </w:r>
          </w:p>
        </w:tc>
        <w:tc>
          <w:tcPr>
            <w:tcW w:w="459" w:type="pct"/>
          </w:tcPr>
          <w:p w14:paraId="5E3C47E6"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51</w:t>
            </w:r>
          </w:p>
        </w:tc>
        <w:tc>
          <w:tcPr>
            <w:tcW w:w="760" w:type="pct"/>
          </w:tcPr>
          <w:p w14:paraId="499F2D2D"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45.1 </w:t>
            </w:r>
            <w:proofErr w:type="spellStart"/>
            <w:r w:rsidRPr="00610A40">
              <w:rPr>
                <w:color w:val="000000"/>
                <w:szCs w:val="24"/>
              </w:rPr>
              <w:t>MPa</w:t>
            </w:r>
            <w:proofErr w:type="spellEnd"/>
          </w:p>
          <w:p w14:paraId="7A950364"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xml:space="preserve">E = 10.4 </w:t>
            </w:r>
            <w:proofErr w:type="spellStart"/>
            <w:r w:rsidRPr="00610A40">
              <w:rPr>
                <w:color w:val="000000"/>
                <w:szCs w:val="24"/>
              </w:rPr>
              <w:t>MPa</w:t>
            </w:r>
            <w:proofErr w:type="spellEnd"/>
            <w:r w:rsidRPr="00610A40">
              <w:rPr>
                <w:color w:val="000000"/>
                <w:szCs w:val="24"/>
              </w:rPr>
              <w:t xml:space="preserve"> </w:t>
            </w:r>
          </w:p>
          <w:p w14:paraId="41B010AF"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 198%</w:t>
            </w:r>
          </w:p>
        </w:tc>
        <w:tc>
          <w:tcPr>
            <w:tcW w:w="746" w:type="pct"/>
          </w:tcPr>
          <w:p w14:paraId="1A7CDF12"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Room Temp</w:t>
            </w:r>
          </w:p>
          <w:p w14:paraId="438672AE"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Tensile rate = 20 mm/min</w:t>
            </w:r>
          </w:p>
        </w:tc>
        <w:tc>
          <w:tcPr>
            <w:tcW w:w="746" w:type="pct"/>
          </w:tcPr>
          <w:p w14:paraId="17EA5F72"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95% weight loss after aerobic cultivation for 38 h</w:t>
            </w:r>
          </w:p>
        </w:tc>
        <w:tc>
          <w:tcPr>
            <w:tcW w:w="1073" w:type="pct"/>
          </w:tcPr>
          <w:p w14:paraId="155C50EA"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Pulmonary heart valve</w:t>
            </w:r>
          </w:p>
          <w:p w14:paraId="1198D2D7"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Subcutaneous patches</w:t>
            </w:r>
          </w:p>
        </w:tc>
        <w:tc>
          <w:tcPr>
            <w:tcW w:w="479" w:type="pct"/>
          </w:tcPr>
          <w:p w14:paraId="2EDD2D91" w14:textId="0BE47338" w:rsidR="007972F8" w:rsidRPr="00610A40" w:rsidRDefault="007972F8" w:rsidP="00565E2A">
            <w:pPr>
              <w:jc w:val="left"/>
              <w:cnfStyle w:val="000000000000" w:firstRow="0" w:lastRow="0" w:firstColumn="0" w:lastColumn="0" w:oddVBand="0" w:evenVBand="0" w:oddHBand="0" w:evenHBand="0" w:firstRowFirstColumn="0" w:firstRowLastColumn="0" w:lastRowFirstColumn="0" w:lastRowLastColumn="0"/>
              <w:rPr>
                <w:color w:val="000000"/>
                <w:szCs w:val="24"/>
                <w:lang w:eastAsia="zh-CN"/>
              </w:rPr>
            </w:pPr>
            <w:r w:rsidRPr="00610A40">
              <w:rPr>
                <w:color w:val="000000"/>
                <w:szCs w:val="24"/>
              </w:rPr>
              <w:fldChar w:fldCharType="begin" w:fldLock="1"/>
            </w:r>
            <w:r w:rsidR="00565E2A" w:rsidRPr="00610A40">
              <w:rPr>
                <w:color w:val="000000"/>
                <w:szCs w:val="24"/>
              </w:rPr>
              <w:instrText>ADDIN CSL_CITATION { "citationItems" : [ { "id" : "ITEM-1", "itemData" : { "ISBN" : "0022-5223", "author" : [ { "dropping-particle" : "", "family" : "Stock", "given" : "Ulrich A", "non-dropping-particle" : "", "parse-names" : false, "suffix" : "" }, { "dropping-particle" : "", "family" : "Nagashima", "given" : "Mitsugi", "non-dropping-particle" : "", "parse-names" : false, "suffix" : "" }, { "dropping-particle" : "", "family" : "Khalil", "given" : "Philipe N", "non-dropping-particle" : "", "parse-names" : false, "suffix" : "" }, { "dropping-particle" : "", "family" : "Nollert", "given" : "Georg D", "non-dropping-particle" : "", "parse-names" : false, "suffix" : "" }, { "dropping-particle" : "", "family" : "Herdena", "given" : "Tanja", "non-dropping-particle" : "", "parse-names" : false, "suffix" : "" }, { "dropping-particle" : "", "family" : "Sperling", "given" : "Jason S", "non-dropping-particle" : "", "parse-names" : false, "suffix" : "" }, { "dropping-particle" : "", "family" : "Moran", "given" : "Adrian", "non-dropping-particle" : "", "parse-names" : false, "suffix" : "" }, { "dropping-particle" : "", "family" : "Lien", "given" : "Jamie", "non-dropping-particle" : "", "parse-names" : false, "suffix" : "" }, { "dropping-particle" : "", "family" : "Martin", "given" : "David P", "non-dropping-particle" : "", "parse-names" : false, "suffix" : "" }, { "dropping-particle" : "", "family" : "Schoen", "given" : "Frederick J", "non-dropping-particle" : "", "parse-names" : false, "suffix" : "" } ], "container-title" : "The Journal of thoracic and cardiovascular surgery", "id" : "ITEM-1", "issue" : "4", "issued" : { "date-parts" : [ [ "2000" ] ] }, "page" : "732-740", "title" : "Tissue-engineered valved conduits in the pulmonary circulation", "type" : "article-journal", "volume" : "119" }, "uris" : [ "http://www.mendeley.com/documents/?uuid=de8ff413-0227-4955-b19c-839ca1d0d4d0" ] }, { "id" : "ITEM-2", "itemData" : { "DOI" : "http://dx.doi.org/10.1016/j.mser.2010.11.002", "ISBN" : "0927-796X", "author" : [ { "dropping-particle" : "", "family" : "Rai", "given" : "R", "non-dropping-particle" : "", "parse-names" : false, "suffix" : "" }, { "dropping-particle" : "", "family" : "Keshavarz", "given" : "T", "non-dropping-particle" : "", "parse-names" : false, "suffix" : "" }, { "dropping-particle" : "", "family" : "Roether", "given" : "J A", "non-dropping-particle" : "", "parse-names" : false, "suffix" : "" }, { "dropping-particle" : "", "family" : "Boccaccini", "given" : "A R", "non-dropping-particle" : "", "parse-names" : false, "suffix" : "" }, { "dropping-particle" : "", "family" : "Roy", "given" : "I", "non-dropping-particle" : "", "parse-names" : false, "suffix" : "" } ], "container-title" : "Materials Science and Engineering: R: Reports", "id" : "ITEM-2", "issue" : "3", "issued" : { "date-parts" : [ [ "2011" ] ] }, "page" : "29-47", "title" : "Medium chain length polyhydroxyalkanoates, promising new biomedical materials for the future", "type" : "article-journal", "volume" : "72" }, "uris" : [ "http://www.mendeley.com/documents/?uuid=721cb236-0a44-4c0f-ac7d-c1130e224602" ] }, { "id" : "ITEM-3", "itemData" : { "ISSN" : "1524-4539", "PMID" : "11082357", "abstract" : "BACKGROUND Tissue engineering is a new approach in which techniques are being developed to transplant autologous cells onto biodegradable scaffolds to ultimately form new functional autologous tissue. Workers at our laboratory have focused on tissue engineering of heart valves. The present study was designed to evaluate the implantation of a whole trileaflet tissue-engineered heart valve in the pulmonary position in a lamb model. METHODS AND RESULTS We constructed a biodegradable and biocompatible trileaflet heart valve scaffold that was fabricated from a porous polyhydroxyalkanoate (pore size 180 to 240 microm; Tepha Inc). Vascular cells were harvested from ovine carotid arteries, expanded in vitro, and seeded onto our heart valve scaffold. With the use of cardiopulmonary bypass, the native pulmonary leaflets were resected, and 2-cm segments of pulmonary artery were replaced by autologous cell-seeded heart valve constructs (n=4). One animal received an acellular valved conduit. No animal received any anticoagulation therapy. Animals were killed at 1, 5, 13, and 17 weeks. Explanted valves were examined histologically with scanning electron microscopy, biochemically, and biomechanically. All animals survived the procedure. The valves showed minimal regurgitation, and valve gradients were &lt;20 mm Hg on echocardiography. The maximum gradient was 10 mm Hg with direct pressures. Macroscopically, the tissue-engineered constructs were covered with tissue, and there was no thrombus formation on any of the specimens. Scanning electron microscopy showed smooth flow surfaces during the follow-up period. Histological examination demonstrated laminated fibrous tissue with predominant glycosaminoglycans as extracellular matrix. 4-Hydroxyproline assays demonstrated an increase in collagen content as a percentage of native pulmonary artery (1 week 45.8%, 17 weeks 116%). DNA assays showed a comparable number of cells in all explanted samples. There was no tissue formation in the acellular control. CONCLUSIONS Tissue-engineered heart valve scaffolds fabricated from polyhydroxyalkanoates can be used for implantation in the pulmonary position with an appropriate function for 120 days in lambs.", "author" : [ { "dropping-particle" : "", "family" : "Sodian", "given" : "R", "non-dropping-particle" : "", "parse-names" : false, "suffix" : "" }, { "dropping-particle" : "", "family" : "Hoerstrup", "given" : "S P", "non-dropping-particle" : "", "parse-names" : false, "suffix" : "" }, { "dropping-particle" : "", "family" : "Sperling", "given" : "J S", "non-dropping-particle" : "", "parse-names" : false, "suffix" : "" }, { "dropping-particle" : "", "family" : "Daebritz", "given" : "S", "non-dropping-particle" : "", "parse-names" : false, "suffix" : "" }, { "dropping-particle" : "", "family" : "Martin", "given" : "D P", "non-dropping-particle" : "", "parse-names" : false, "suffix" : "" }, { "dropping-particle" : "", "family" : "Moran", "given" : "A M", "non-dropping-particle" : "", "parse-names" : false, "suffix" : "" }, { "dropping-particle" : "", "family" : "Kim", "given" : "B S", "non-dropping-particle" : "", "parse-names" : false, "suffix" : "" }, { "dropping-particle" : "", "family" : "Schoen", "given" : "F J", "non-dropping-particle" : "", "parse-names" : false, "suffix" : "" }, { "dropping-particle" : "", "family" : "Vacanti", "given" : "J P", "non-dropping-particle" : "", "parse-names" : false, "suffix" : "" }, { "dropping-particle" : "", "family" : "Mayer", "given" : "J E", "non-dropping-particle" : "", "parse-names" : false, "suffix" : "" } ], "container-title" : "Circulation", "id" : "ITEM-3", "issue" : "19 Suppl 3", "issued" : { "date-parts" : [ [ "2000", "11" ] ] }, "page" : "III22-9", "title" : "Early in vivo experience with tissue-engineered trileaflet heart valves.", "type" : "article-journal", "volume" : "102" }, "uris" : [ "http://www.mendeley.com/documents/?uuid=1e92007d-7521-4f67-aa62-c67156aefc79" ] }, { "id" : "ITEM-4", "itemData" : { "ISBN" : "1748-605X", "author" : [ { "dropping-particle" : "", "family" : "Hazer", "given" : "Derya Burcu", "non-dropping-particle" : "", "parse-names" : false, "suffix" : "" }, { "dropping-particle" : "", "family" : "Hazer", "given" : "Baki", "non-dropping-particle" : "", "parse-names" : false, "suffix" : "" }, { "dropping-particle" : "", "family" : "Kaymaz", "given" : "Figen", "non-dropping-particle" : "", "parse-names" : false, "suffix" : "" } ], "container-title" : "Biomedical Materials", "id" : "ITEM-4", "issue" : "3", "issued" : { "date-parts" : [ [ "2009" ] ] }, "page" : "35011", "title" : "Synthesis of microbial elastomers based on soybean oily acids. Biocompatibility studies", "type" : "article-journal", "volume" : "4" }, "uris" : [ "http://www.mendeley.com/documents/?uuid=b0bfced9-02c7-401c-8647-5c284aa00288" ] } ], "mendeley" : { "formattedCitation" : "&lt;sup&gt;96\u201399&lt;/sup&gt;", "plainTextFormattedCitation" : "96\u201399", "previouslyFormattedCitation" : "&lt;sup&gt;95\u201398&lt;/sup&gt;"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lang w:eastAsia="zh-CN"/>
              </w:rPr>
              <w:t>96–99</w:t>
            </w:r>
            <w:r w:rsidRPr="00610A40">
              <w:rPr>
                <w:color w:val="000000"/>
                <w:szCs w:val="24"/>
              </w:rPr>
              <w:fldChar w:fldCharType="end"/>
            </w:r>
            <w:hyperlink w:anchor="_ENREF_24" w:tooltip="Rai, 2011 #1508" w:history="1"/>
          </w:p>
        </w:tc>
      </w:tr>
      <w:tr w:rsidR="00E907D0" w:rsidRPr="00610A40" w14:paraId="379A7058" w14:textId="77777777" w:rsidTr="00BF3DC6">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64" w:type="pct"/>
          </w:tcPr>
          <w:p w14:paraId="3DCF5D90" w14:textId="77777777" w:rsidR="007972F8" w:rsidRPr="00610A40" w:rsidRDefault="007972F8" w:rsidP="007972F8">
            <w:pPr>
              <w:jc w:val="left"/>
              <w:rPr>
                <w:color w:val="000000"/>
                <w:szCs w:val="24"/>
                <w:lang w:eastAsia="zh-CN"/>
              </w:rPr>
            </w:pPr>
            <w:r w:rsidRPr="00610A40">
              <w:rPr>
                <w:color w:val="000000"/>
                <w:szCs w:val="24"/>
                <w:lang w:eastAsia="zh-CN"/>
              </w:rPr>
              <w:t>PGS</w:t>
            </w:r>
          </w:p>
        </w:tc>
        <w:tc>
          <w:tcPr>
            <w:tcW w:w="272" w:type="pct"/>
          </w:tcPr>
          <w:p w14:paraId="574529F7"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&lt; 80</w:t>
            </w:r>
          </w:p>
        </w:tc>
        <w:tc>
          <w:tcPr>
            <w:tcW w:w="459" w:type="pct"/>
          </w:tcPr>
          <w:p w14:paraId="1367BB9B"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5 - 37</w:t>
            </w:r>
          </w:p>
        </w:tc>
        <w:tc>
          <w:tcPr>
            <w:tcW w:w="760" w:type="pct"/>
          </w:tcPr>
          <w:p w14:paraId="0D94D8BE"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proofErr w:type="spellStart"/>
            <w:r w:rsidRPr="00610A40">
              <w:rPr>
                <w:color w:val="000000"/>
                <w:szCs w:val="24"/>
              </w:rPr>
              <w:t>σ</w:t>
            </w:r>
            <w:r w:rsidRPr="00610A40">
              <w:rPr>
                <w:color w:val="000000"/>
                <w:szCs w:val="24"/>
                <w:vertAlign w:val="subscript"/>
                <w:lang w:eastAsia="zh-CN"/>
              </w:rPr>
              <w:t>max</w:t>
            </w:r>
            <w:proofErr w:type="spellEnd"/>
            <w:r w:rsidRPr="00610A40">
              <w:rPr>
                <w:color w:val="000000"/>
                <w:szCs w:val="24"/>
                <w:lang w:eastAsia="zh-CN"/>
              </w:rPr>
              <w:t xml:space="preserve"> = ~0.5 </w:t>
            </w:r>
            <w:proofErr w:type="spellStart"/>
            <w:r w:rsidRPr="00610A40">
              <w:rPr>
                <w:color w:val="000000"/>
                <w:szCs w:val="24"/>
                <w:lang w:eastAsia="zh-CN"/>
              </w:rPr>
              <w:t>MPa</w:t>
            </w:r>
            <w:proofErr w:type="spellEnd"/>
          </w:p>
          <w:p w14:paraId="224BA3AD"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 xml:space="preserve">E = 0.03 – 1.2 </w:t>
            </w:r>
            <w:proofErr w:type="spellStart"/>
            <w:r w:rsidRPr="00610A40">
              <w:rPr>
                <w:color w:val="000000"/>
                <w:szCs w:val="24"/>
                <w:lang w:eastAsia="zh-CN"/>
              </w:rPr>
              <w:t>MPa</w:t>
            </w:r>
            <w:proofErr w:type="spellEnd"/>
            <w:r w:rsidRPr="00610A40">
              <w:rPr>
                <w:color w:val="000000"/>
                <w:szCs w:val="24"/>
                <w:lang w:eastAsia="zh-CN"/>
              </w:rPr>
              <w:t xml:space="preserve"> </w:t>
            </w:r>
          </w:p>
          <w:p w14:paraId="4AD2F598" w14:textId="290A4503"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proofErr w:type="spellStart"/>
            <w:r w:rsidRPr="00610A40">
              <w:rPr>
                <w:color w:val="000000"/>
                <w:szCs w:val="24"/>
              </w:rPr>
              <w:t>ε</w:t>
            </w:r>
            <w:r w:rsidRPr="00610A40">
              <w:rPr>
                <w:color w:val="000000"/>
                <w:szCs w:val="24"/>
                <w:vertAlign w:val="subscript"/>
                <w:lang w:eastAsia="zh-CN"/>
              </w:rPr>
              <w:t>max</w:t>
            </w:r>
            <w:proofErr w:type="spellEnd"/>
            <w:r w:rsidRPr="00610A40">
              <w:rPr>
                <w:color w:val="000000"/>
                <w:szCs w:val="24"/>
                <w:lang w:eastAsia="zh-CN"/>
              </w:rPr>
              <w:t>&gt; 300%</w:t>
            </w:r>
          </w:p>
        </w:tc>
        <w:tc>
          <w:tcPr>
            <w:tcW w:w="746" w:type="pct"/>
          </w:tcPr>
          <w:p w14:paraId="1A24A894"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Room Temp</w:t>
            </w:r>
          </w:p>
          <w:p w14:paraId="0B63FFE0"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 xml:space="preserve">Tensile rate = </w:t>
            </w:r>
            <w:r w:rsidRPr="00610A40">
              <w:rPr>
                <w:color w:val="000000"/>
                <w:lang w:eastAsia="zh-CN"/>
              </w:rPr>
              <w:t>10 mm/min</w:t>
            </w:r>
          </w:p>
        </w:tc>
        <w:tc>
          <w:tcPr>
            <w:tcW w:w="746" w:type="pct"/>
          </w:tcPr>
          <w:p w14:paraId="165BDA24"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0.2 to 1.5 mm/month</w:t>
            </w:r>
          </w:p>
        </w:tc>
        <w:tc>
          <w:tcPr>
            <w:tcW w:w="1073" w:type="pct"/>
          </w:tcPr>
          <w:p w14:paraId="5CCC5F88"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 Myocardial patch</w:t>
            </w:r>
          </w:p>
          <w:p w14:paraId="2779D70C"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 Nerve conduit</w:t>
            </w:r>
          </w:p>
          <w:p w14:paraId="083BBDC1"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t>- Retinal tissue engineering</w:t>
            </w:r>
          </w:p>
          <w:p w14:paraId="76EB5925"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lang w:eastAsia="zh-CN"/>
              </w:rPr>
            </w:pPr>
            <w:r w:rsidRPr="00610A40">
              <w:rPr>
                <w:color w:val="000000"/>
                <w:szCs w:val="24"/>
                <w:lang w:eastAsia="zh-CN"/>
              </w:rPr>
              <w:lastRenderedPageBreak/>
              <w:t>- Vascular tissue engineering</w:t>
            </w:r>
          </w:p>
        </w:tc>
        <w:tc>
          <w:tcPr>
            <w:tcW w:w="479" w:type="pct"/>
          </w:tcPr>
          <w:p w14:paraId="3DC7DDF2" w14:textId="7CF16E0B" w:rsidR="007972F8" w:rsidRPr="00610A40" w:rsidRDefault="007972F8" w:rsidP="00565E2A">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lastRenderedPageBreak/>
              <w:fldChar w:fldCharType="begin" w:fldLock="1"/>
            </w:r>
            <w:r w:rsidR="00565E2A" w:rsidRPr="00610A40">
              <w:rPr>
                <w:color w:val="000000"/>
                <w:szCs w:val="24"/>
                <w:lang w:eastAsia="zh-CN"/>
              </w:rPr>
              <w:instrText>ADDIN CSL_CITATION { "citationItems" : [ { "id" : "ITEM-1", "itemData" : { "ISBN" : "1552-4965", "author" : [ { "dropping-particle" : "", "family" : "Pomerantseva", "given" : "Irina", "non-dropping-particle" : "", "parse-names" : false, "suffix" : "" }, { "dropping-particle" : "", "family" : "Krebs", "given" : "Nicholas", "non-dropping-particle" : "", "parse-names" : false, "suffix" : "" }, { "dropping-particle" : "", "family" : "Hart", "given" : "Alison", "non-dropping-particle" : "", "parse-names" : false, "suffix" : "" }, { "dropping-particle" : "", "family" : "Neville", "given" : "Craig M", "non-dropping-particle" : "", "parse-names" : false, "suffix" : "" }, { "dropping-particle" : "", "family" : "Huang", "given" : "Albert Y", "non-dropping-particle" : "", "parse-names" : false, "suffix" : "" }, { "dropping-particle" : "", "family" : "Sundback", "given" : "Cathryn A", "non-dropping-particle" : "", "parse-names" : false, "suffix" : "" } ], "container-title" : "Journal of Biomedical Materials Research Part A", "id" : "ITEM-1", "issue" : "4", "issued" : { "date-parts" : [ [ "2009" ] ] }, "page" : "1038-1047", "title" : "Degradation behavior of poly (glycerol sebacate)", "type" : "article-journal", "volume" : "91" }, "uris" : [ "http://www.mendeley.com/documents/?uuid=3bcf84a6-3f6b-47ce-90fd-76d39e1f4344", "http://www.mendeley.com/documents/?uuid=c8cb2bc4-a654-4e13-bc9b-974c05f095e4" ] }, { "id" : "ITEM-2", "itemData" : { "ISBN" : "0142-9612", "author" : [ { "dropping-particle" : "", "family" : "Bruggeman", "given" : "Joost P", "non-dropping-particle" : "", "parse-names" : false, "suffix" : "" }, { "dropping-particle" : "", "family" : "Bruin", "given" : "Berend-Jan", "non-dropping-particle" : "de", "parse-names" : false, "suffix" : "" }, { "dropping-particle" : "", "family" : "Bettinger", "given" : "Christopher J", "non-dropping-particle" : "", "parse-names" : false, "suffix" : "" }, { "dropping-particle" : "", "family" : "Langer", "given" : "Robert", "non-dropping-particle" : "", "parse-names" : false, "suffix" : "" } ], "container-title" : "Biomaterials", "id" : "ITEM-2", "issue" : "36", "issued" : { "date-parts" : [ [ "2008" ] ] }, "page" : "4726-4735", "title" : "Biodegradable poly (polyol sebacate) polymers", "type" : "article-journal", "volume" : "29" }, "uris" : [ "http://www.mendeley.com/documents/?uuid=8c3fcf80-f388-4133-854b-4149c90508e3", "http://www.mendeley.com/documents/?uuid=fe945345-4f4b-4110-b3af-58761a39794b" ] }, { "id" : "ITEM-3", "itemData" : { "ISBN" : "0079-6700", "author" : [ { "dropping-particle" : "", "family" : "Rai", "given" : "Ranjana", "non-dropping-particle" : "", "parse-names" : false, "suffix" : "" }, { "dropping-particle" : "", "family" : "Tallawi", "given" : "Marwa", "non-dropping-particle" : "", "parse-names" : false, "suffix" : "" }, { "dropping-particle" : "", "family" : "Grigore", "given" : "Alexandra", "non-dropping-particle" : "", "parse-names" : false, "suffix" : "" }, { "dropping-particle" : "", "family" : "Boccaccini", "given" : "Aldo R", "non-dropping-particle" : "", "parse-names" : false, "suffix" : "" } ], "container-title" : "Progress in Polymer Science", "id" : "ITEM-3", "issue" : "8", "issued" : { "date-parts" : [ [ "2012" ] ] }, "page" : "1051-1078", "title" : "Synthesis, properties and biomedical applications of poly (glycerol sebacate)(PGS): a review", "type" : "article-journal", "volume" : "37" }, "uris" : [ "http://www.mendeley.com/documents/?uuid=4b138e8b-cea7-441e-b398-3ab08bfc77c7", "http://www.mendeley.com/documents/?uuid=84e569ac-0bfc-4985-b2da-e17f145cfccf" ] } ], "mendeley" : { "formattedCitation" : "&lt;sup&gt;100\u2013102&lt;/sup&gt;", "plainTextFormattedCitation" : "100\u2013102", "previouslyFormattedCitation" : "&lt;sup&gt;99\u2013101&lt;/sup&gt;"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100–102</w:t>
            </w:r>
            <w:r w:rsidRPr="00610A40">
              <w:rPr>
                <w:color w:val="000000"/>
                <w:szCs w:val="24"/>
              </w:rPr>
              <w:fldChar w:fldCharType="end"/>
            </w:r>
          </w:p>
        </w:tc>
      </w:tr>
      <w:tr w:rsidR="002E6723" w:rsidRPr="00610A40" w14:paraId="42C3007E" w14:textId="77777777" w:rsidTr="00BF3DC6">
        <w:trPr>
          <w:trHeight w:val="676"/>
        </w:trPr>
        <w:tc>
          <w:tcPr>
            <w:cnfStyle w:val="001000000000" w:firstRow="0" w:lastRow="0" w:firstColumn="1" w:lastColumn="0" w:oddVBand="0" w:evenVBand="0" w:oddHBand="0" w:evenHBand="0" w:firstRowFirstColumn="0" w:firstRowLastColumn="0" w:lastRowFirstColumn="0" w:lastRowLastColumn="0"/>
            <w:tcW w:w="464" w:type="pct"/>
          </w:tcPr>
          <w:p w14:paraId="3AD4BB3B" w14:textId="77777777" w:rsidR="007972F8" w:rsidRPr="00610A40" w:rsidRDefault="007972F8" w:rsidP="007972F8">
            <w:pPr>
              <w:jc w:val="left"/>
              <w:rPr>
                <w:color w:val="000000"/>
                <w:szCs w:val="24"/>
              </w:rPr>
            </w:pPr>
            <w:r w:rsidRPr="00610A40">
              <w:rPr>
                <w:color w:val="000000"/>
                <w:szCs w:val="24"/>
              </w:rPr>
              <w:lastRenderedPageBreak/>
              <w:t>POC</w:t>
            </w:r>
          </w:p>
        </w:tc>
        <w:tc>
          <w:tcPr>
            <w:tcW w:w="272" w:type="pct"/>
          </w:tcPr>
          <w:p w14:paraId="0E1FA96B"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-5 – 10</w:t>
            </w:r>
          </w:p>
        </w:tc>
        <w:tc>
          <w:tcPr>
            <w:tcW w:w="459" w:type="pct"/>
          </w:tcPr>
          <w:p w14:paraId="6FB31F52"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w:t>
            </w:r>
          </w:p>
        </w:tc>
        <w:tc>
          <w:tcPr>
            <w:tcW w:w="760" w:type="pct"/>
          </w:tcPr>
          <w:p w14:paraId="45C5887F"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~6.1 </w:t>
            </w:r>
            <w:proofErr w:type="spellStart"/>
            <w:r w:rsidRPr="00610A40">
              <w:rPr>
                <w:color w:val="000000"/>
                <w:szCs w:val="24"/>
              </w:rPr>
              <w:t>MPa</w:t>
            </w:r>
            <w:proofErr w:type="spellEnd"/>
          </w:p>
          <w:p w14:paraId="461245C8"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xml:space="preserve">E = 0.92 – 16.4 </w:t>
            </w:r>
            <w:proofErr w:type="spellStart"/>
            <w:r w:rsidRPr="00610A40">
              <w:rPr>
                <w:color w:val="000000"/>
                <w:szCs w:val="24"/>
              </w:rPr>
              <w:t>MPa</w:t>
            </w:r>
            <w:proofErr w:type="spellEnd"/>
            <w:r w:rsidRPr="00610A40">
              <w:rPr>
                <w:color w:val="000000"/>
                <w:szCs w:val="24"/>
              </w:rPr>
              <w:t xml:space="preserve"> </w:t>
            </w:r>
          </w:p>
          <w:p w14:paraId="460BD4BC"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 117 – 265%</w:t>
            </w:r>
          </w:p>
        </w:tc>
        <w:tc>
          <w:tcPr>
            <w:tcW w:w="746" w:type="pct"/>
          </w:tcPr>
          <w:p w14:paraId="4EED0A49"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Room Temp</w:t>
            </w:r>
          </w:p>
          <w:p w14:paraId="76B07220"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xml:space="preserve">Tensile rate = </w:t>
            </w:r>
            <w:r w:rsidRPr="00610A40">
              <w:rPr>
                <w:color w:val="000000"/>
              </w:rPr>
              <w:t>500 mm/min</w:t>
            </w:r>
          </w:p>
        </w:tc>
        <w:tc>
          <w:tcPr>
            <w:tcW w:w="746" w:type="pct"/>
          </w:tcPr>
          <w:p w14:paraId="6A172D22"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Half a year in vitro</w:t>
            </w:r>
          </w:p>
        </w:tc>
        <w:tc>
          <w:tcPr>
            <w:tcW w:w="1073" w:type="pct"/>
          </w:tcPr>
          <w:p w14:paraId="162B66C4"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Vascular tissue engineering</w:t>
            </w:r>
          </w:p>
          <w:p w14:paraId="1A1238E2"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Cartilage tissue engineering</w:t>
            </w:r>
          </w:p>
          <w:p w14:paraId="481CFB1C"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Cardiac tissue engineering</w:t>
            </w:r>
          </w:p>
        </w:tc>
        <w:tc>
          <w:tcPr>
            <w:tcW w:w="479" w:type="pct"/>
          </w:tcPr>
          <w:p w14:paraId="1ADA462E" w14:textId="6008E3CC" w:rsidR="007972F8" w:rsidRPr="00610A40" w:rsidRDefault="007972F8" w:rsidP="00565E2A">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fldChar w:fldCharType="begin" w:fldLock="1"/>
            </w:r>
            <w:r w:rsidR="00565E2A" w:rsidRPr="00610A40">
              <w:rPr>
                <w:color w:val="000000"/>
                <w:szCs w:val="24"/>
              </w:rPr>
              <w:instrText>ADDIN CSL_CITATION { "citationItems" : [ { "id" : "ITEM-1", "itemData" : { "ISBN" : "1097-4628", "author" : [ { "dropping-particle" : "", "family" : "Zhao", "given" : "Haichao", "non-dropping-particle" : "", "parse-names" : false, "suffix" : "" }, { "dropping-particle" : "", "family" : "Ameer", "given" : "Guillermo A", "non-dropping-particle" : "", "parse-names" : false, "suffix" : "" } ], "container-title" : "Journal of applied polymer science", "id" : "ITEM-1", "issue" : "3", "issued" : { "date-parts" : [ [ "2009" ] ] }, "page" : "1464-1470", "title" : "Modulating the mechanical properties of poly (diol citrates) via the incorporation of a second type of crosslink network", "type" : "article-journal", "volume" : "114" }, "uris" : [ "http://www.mendeley.com/documents/?uuid=f2d30b29-8ca6-4345-bdfb-356e1ca94356" ] }, { "id" : "ITEM-2", "itemData" : { "ISBN" : "0142-9612", "author" : [ { "dropping-particle" : "", "family" : "Yang", "given" : "Jian", "non-dropping-particle" : "", "parse-names" : false, "suffix" : "" }, { "dropping-particle" : "", "family" : "Webb", "given" : "Antonio R", "non-dropping-particle" : "", "parse-names" : false, "suffix" : "" }, { "dropping-particle" : "", "family" : "Pickerill", "given" : "Samuel J", "non-dropping-particle" : "", "parse-names" : false, "suffix" : "" }, { "dropping-particle" : "", "family" : "Hageman", "given" : "Gretchen", "non-dropping-particle" : "", "parse-names" : false, "suffix" : "" }, { "dropping-particle" : "", "family" : "Ameer", "given" : "Guillermo A", "non-dropping-particle" : "", "parse-names" : false, "suffix" : "" } ], "container-title" : "Biomaterials", "id" : "ITEM-2", "issue" : "9", "issued" : { "date-parts" : [ [ "2006" ] ] }, "page" : "1889-1898", "title" : "Synthesis and evaluation of poly (diol citrate) biodegradable elastomers", "type" : "article-journal", "volume" : "27" }, "uris" : [ "http://www.mendeley.com/documents/?uuid=f58634ea-59ed-4702-95d1-d18369f04c9e", "http://www.mendeley.com/documents/?uuid=52d4b9c2-e591-4974-88f7-62206b96632f" ] }, { "id" : "ITEM-3", "itemData" : { "DOI" : "10.1002/adma.200306264", "ISBN" : "0935-9648", "ISSN" : "09359648", "abstract" : "The synthesis and characterization of novel biodegradable elastomers, exemplified by poly(1,8-octanediol-co-citric acid), is reported. Biodegradation, mechanical, and biocompatibility data suggest very good potential for use as porous scaffolds in cardiovascular tissue engineering (see Figure). Material properties can be tailored by modulating the monomer ratio and post-polymerization conditions.", "author" : [ { "dropping-particle" : "", "family" : "Yang", "given" : "Jian", "non-dropping-particle" : "", "parse-names" : false, "suffix" : "" }, { "dropping-particle" : "", "family" : "Webb", "given" : "Antonio R.", "non-dropping-particle" : "", "parse-names" : false, "suffix" : "" }, { "dropping-particle" : "", "family" : "Ameer", "given" : "Guillermo a.", "non-dropping-particle" : "", "parse-names" : false, "suffix" : "" } ], "container-title" : "Advanced Materials", "id" : "ITEM-3", "issue" : "6", "issued" : { "date-parts" : [ [ "2004" ] ] }, "page" : "511-516", "title" : "Novel Citric Acid-Based Biodegradable Elastomers for Tissue Engineering", "type" : "article-journal", "volume" : "16" }, "uris" : [ "http://www.mendeley.com/documents/?uuid=a9c887d0-b8a1-4f12-bf4c-72b756b2655f" ] } ], "mendeley" : { "formattedCitation" : "&lt;sup&gt;60,103,104&lt;/sup&gt;", "plainTextFormattedCitation" : "60,103,104", "previouslyFormattedCitation" : "&lt;sup&gt;60,102,103&lt;/sup&gt;"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60,103,104</w:t>
            </w:r>
            <w:r w:rsidRPr="00610A40">
              <w:rPr>
                <w:color w:val="000000"/>
                <w:szCs w:val="24"/>
              </w:rPr>
              <w:fldChar w:fldCharType="end"/>
            </w:r>
          </w:p>
        </w:tc>
      </w:tr>
      <w:tr w:rsidR="00E907D0" w:rsidRPr="00610A40" w14:paraId="1A5128EF" w14:textId="77777777" w:rsidTr="00BF3DC6">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464" w:type="pct"/>
          </w:tcPr>
          <w:p w14:paraId="4DF6BAF0" w14:textId="77777777" w:rsidR="007972F8" w:rsidRPr="00610A40" w:rsidRDefault="007972F8" w:rsidP="007972F8">
            <w:pPr>
              <w:jc w:val="left"/>
              <w:rPr>
                <w:color w:val="000000"/>
                <w:szCs w:val="24"/>
              </w:rPr>
            </w:pPr>
            <w:r w:rsidRPr="00610A40">
              <w:rPr>
                <w:color w:val="000000"/>
                <w:szCs w:val="24"/>
              </w:rPr>
              <w:t>p(OCS)</w:t>
            </w:r>
          </w:p>
        </w:tc>
        <w:tc>
          <w:tcPr>
            <w:tcW w:w="272" w:type="pct"/>
          </w:tcPr>
          <w:p w14:paraId="0D6E68E0"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-18 – -7</w:t>
            </w:r>
          </w:p>
        </w:tc>
        <w:tc>
          <w:tcPr>
            <w:tcW w:w="459" w:type="pct"/>
          </w:tcPr>
          <w:p w14:paraId="5FBA0B20"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28</w:t>
            </w:r>
          </w:p>
        </w:tc>
        <w:tc>
          <w:tcPr>
            <w:tcW w:w="760" w:type="pct"/>
          </w:tcPr>
          <w:p w14:paraId="7F49BBD7"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0.2 - 0.6 </w:t>
            </w:r>
            <w:proofErr w:type="spellStart"/>
            <w:r w:rsidRPr="00610A40">
              <w:rPr>
                <w:color w:val="000000"/>
                <w:szCs w:val="24"/>
              </w:rPr>
              <w:t>MPa</w:t>
            </w:r>
            <w:proofErr w:type="spellEnd"/>
          </w:p>
          <w:p w14:paraId="4AB8128D"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E = 0.19 - 1.1 </w:t>
            </w:r>
            <w:proofErr w:type="spellStart"/>
            <w:r w:rsidRPr="00610A40">
              <w:rPr>
                <w:color w:val="000000"/>
                <w:szCs w:val="24"/>
              </w:rPr>
              <w:t>MPa</w:t>
            </w:r>
            <w:proofErr w:type="spellEnd"/>
            <w:r w:rsidRPr="00610A40">
              <w:rPr>
                <w:color w:val="000000"/>
                <w:szCs w:val="24"/>
              </w:rPr>
              <w:t xml:space="preserve"> </w:t>
            </w:r>
          </w:p>
          <w:p w14:paraId="12AC9759"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 160 - 230%</w:t>
            </w:r>
          </w:p>
        </w:tc>
        <w:tc>
          <w:tcPr>
            <w:tcW w:w="746" w:type="pct"/>
          </w:tcPr>
          <w:p w14:paraId="0236E8EF"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Room Temp</w:t>
            </w:r>
          </w:p>
          <w:p w14:paraId="0F92C3C3"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Tensile rate = </w:t>
            </w:r>
            <w:r w:rsidRPr="00610A40">
              <w:rPr>
                <w:color w:val="000000"/>
              </w:rPr>
              <w:t>10 mm/min</w:t>
            </w:r>
          </w:p>
        </w:tc>
        <w:tc>
          <w:tcPr>
            <w:tcW w:w="746" w:type="pct"/>
          </w:tcPr>
          <w:p w14:paraId="0C6CC665"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9-70% weight loss in 4 weeks</w:t>
            </w:r>
          </w:p>
        </w:tc>
        <w:tc>
          <w:tcPr>
            <w:tcW w:w="1073" w:type="pct"/>
          </w:tcPr>
          <w:p w14:paraId="4403BDCC"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Bone regeneration</w:t>
            </w:r>
          </w:p>
        </w:tc>
        <w:tc>
          <w:tcPr>
            <w:tcW w:w="479" w:type="pct"/>
          </w:tcPr>
          <w:p w14:paraId="5E952249" w14:textId="7B0DD94B" w:rsidR="007972F8" w:rsidRPr="00610A40" w:rsidRDefault="007972F8" w:rsidP="00565E2A">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fldChar w:fldCharType="begin" w:fldLock="1"/>
            </w:r>
            <w:r w:rsidR="00565E2A" w:rsidRPr="00610A40">
              <w:rPr>
                <w:color w:val="000000"/>
                <w:szCs w:val="24"/>
              </w:rPr>
              <w:instrText>ADDIN CSL_CITATION { "citationItems" : [ { "id" : "ITEM-1", "itemData" : { "ISBN" : "1097-0126", "author" : [ { "dropping-particle" : "", "family" : "Djordjevic", "given" : "Ivan", "non-dropping-particle" : "", "parse-names" : false, "suffix" : "" }, { "dropping-particle" : "", "family" : "Choudhury", "given" : "Namita Roy", "non-dropping-particle" : "", "parse-names" : false, "suffix" : "" }, { "dropping-particle" : "", "family" : "Dutta", "given" : "Naba K", "non-dropping-particle" : "", "parse-names" : false, "suffix" : "" }, { "dropping-particle" : "", "family" : "Kumar", "given" : "Sunil", "non-dropping-particle" : "", "parse-names" : false, "suffix" : "" } ], "container-title" : "Polymer International", "id" : "ITEM-1", "issue" : "3", "issued" : { "date-parts" : [ [ "2011" ] ] }, "page" : "333-343", "title" : "Poly [octanediol\u2010co\u2010(citric acid)\u2010co\u2010(sebacic acid)] elastomers: novel bio\u2010elastomers for tissue engineering", "type" : "article-journal", "volume" : "60" }, "uris" : [ "http://www.mendeley.com/documents/?uuid=799111fb-6ae6-4738-a407-709d38d7a9f7", "http://www.mendeley.com/documents/?uuid=dbe8dcbf-0bc1-4247-80f7-92a756b4a058" ] }, { "id" : "ITEM-2", "itemData" : { "DOI" : "10.1016/j.polymer.2009.01.045", "ISSN" : "00323861", "author" : [ { "dropping-particle" : "", "family" : "Djordjevic", "given" : "Ivan", "non-dropping-particle" : "", "parse-names" : false, "suffix" : "" }, { "dropping-particle" : "", "family" : "Choudhury", "given" : "Namita Roy", "non-dropping-particle" : "", "parse-names" : false, "suffix" : "" }, { "dropping-particle" : "", "family" : "Dutta", "given" : "Naba K.", "non-dropping-particle" : "", "parse-names" : false, "suffix" : "" }, { "dropping-particle" : "", "family" : "Kumar", "given" : "Sunil", "non-dropping-particle" : "", "parse-names" : false, "suffix" : "" } ], "container-title" : "Polymer", "id" : "ITEM-2", "issue" : "7", "issued" : { "date-parts" : [ [ "2009", "3" ] ] }, "page" : "1682-1691", "title" : "Synthesis and characterization of novel citric acid-based polyester elastomers", "type" : "article-journal", "volume" : "50" }, "uris" : [ "http://www.mendeley.com/documents/?uuid=bb823234-b7a8-4fe5-b489-3fbda829de2b" ] }, { "id" : "ITEM-3", "itemData" : { "DOI" : "10.1163/156856209X415558", "ISSN" : "0920-5063", "abstract" : "Elastomeric polyesters synthesized from non-toxic and biocompatible reactants are topical research materials for tissue-engineering applications. In such applications, the morphology, chemistry and functionality of the materials surfaces play a key role. While a number of papers have focused and reported on the fabrication and biological evaluation of elastic polyesters, only a few have attempted to characterise the surfaces of such materials. In this paper, we report on the preparation and surface characterization of films of a co-polyester bioelastomer, polyoctanediol citrate/sebacate (p(OCS)). The co-polymer was synthesized following the standard procedure of polyesterification using three non-toxic monomers (1,8-octanediol, citric acid and sebacic acid) in a catalyst-free environment. Nuclear magnetic resonance spectroscopy was used to monitor the chemical composition of the various p(OCS) elastomers. The p(OCS) films, prepared by both spin-coating and solvent casting of the p(OCS) pre-polymer solutio...", "author" : [ { "dropping-particle" : "", "family" : "Djordjevic", "given" : "Ivan", "non-dropping-particle" : "", "parse-names" : false, "suffix" : "" }, { "dropping-particle" : "", "family" : "Choudhury", "given" : "Namita Roy", "non-dropping-particle" : "", "parse-names" : false, "suffix" : "" }, { "dropping-particle" : "", "family" : "Dutta", "given" : "Naba K.", "non-dropping-particle" : "", "parse-names" : false, "suffix" : "" }, { "dropping-particle" : "", "family" : "Kumar", "given" : "Sunil", "non-dropping-particle" : "", "parse-names" : false, "suffix" : "" }, { "dropping-particle" : "", "family" : "Szili", "given" : "Endre J.", "non-dropping-particle" : "", "parse-names" : false, "suffix" : "" }, { "dropping-particle" : "", "family" : "Steele", "given" : "David A.", "non-dropping-particle" : "", "parse-names" : false, "suffix" : "" } ], "container-title" : "Journal of Biomaterials Science, Polymer Edition", "id" : "ITEM-3", "issue" : "2", "issued" : { "date-parts" : [ [ "2010", "1" ] ] }, "page" : "237-251", "publisher" : " Taylor &amp; Francis Group ", "title" : "Polyoctanediol Citrate/Sebacate Bioelastomer Films: Surface Morphology, Chemistry and Functionality", "type" : "article-journal", "volume" : "21" }, "uris" : [ "http://www.mendeley.com/documents/?uuid=1a12ffef-6701-4786-9ddf-039243b6ca6e" ] } ], "mendeley" : { "formattedCitation" : "&lt;sup&gt;62,63,105&lt;/sup&gt;", "plainTextFormattedCitation" : "62,63,105", "previouslyFormattedCitation" : "&lt;sup&gt;61,62,104&lt;/sup&gt;"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62,63,105</w:t>
            </w:r>
            <w:r w:rsidRPr="00610A40">
              <w:rPr>
                <w:color w:val="000000"/>
                <w:szCs w:val="24"/>
              </w:rPr>
              <w:fldChar w:fldCharType="end"/>
            </w:r>
          </w:p>
        </w:tc>
      </w:tr>
      <w:tr w:rsidR="002E6723" w:rsidRPr="00610A40" w14:paraId="30754B74" w14:textId="77777777" w:rsidTr="00BF3DC6">
        <w:trPr>
          <w:trHeight w:val="713"/>
        </w:trPr>
        <w:tc>
          <w:tcPr>
            <w:cnfStyle w:val="001000000000" w:firstRow="0" w:lastRow="0" w:firstColumn="1" w:lastColumn="0" w:oddVBand="0" w:evenVBand="0" w:oddHBand="0" w:evenHBand="0" w:firstRowFirstColumn="0" w:firstRowLastColumn="0" w:lastRowFirstColumn="0" w:lastRowLastColumn="0"/>
            <w:tcW w:w="464" w:type="pct"/>
          </w:tcPr>
          <w:p w14:paraId="369C0735" w14:textId="77777777" w:rsidR="007972F8" w:rsidRPr="00610A40" w:rsidRDefault="007972F8" w:rsidP="007972F8">
            <w:pPr>
              <w:jc w:val="left"/>
              <w:rPr>
                <w:color w:val="000000"/>
                <w:szCs w:val="24"/>
              </w:rPr>
            </w:pPr>
            <w:r w:rsidRPr="00610A40">
              <w:rPr>
                <w:color w:val="000000"/>
                <w:szCs w:val="24"/>
              </w:rPr>
              <w:t>PTMC</w:t>
            </w:r>
          </w:p>
        </w:tc>
        <w:tc>
          <w:tcPr>
            <w:tcW w:w="272" w:type="pct"/>
          </w:tcPr>
          <w:p w14:paraId="1ACD4071"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-19 – -11</w:t>
            </w:r>
          </w:p>
        </w:tc>
        <w:tc>
          <w:tcPr>
            <w:tcW w:w="459" w:type="pct"/>
          </w:tcPr>
          <w:p w14:paraId="4F2DEDC4"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w:t>
            </w:r>
          </w:p>
        </w:tc>
        <w:tc>
          <w:tcPr>
            <w:tcW w:w="760" w:type="pct"/>
          </w:tcPr>
          <w:p w14:paraId="30075351"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0.5 - 17 </w:t>
            </w:r>
            <w:proofErr w:type="spellStart"/>
            <w:r w:rsidRPr="00610A40">
              <w:rPr>
                <w:color w:val="000000"/>
                <w:szCs w:val="24"/>
              </w:rPr>
              <w:t>MPa</w:t>
            </w:r>
            <w:proofErr w:type="spellEnd"/>
          </w:p>
          <w:p w14:paraId="24141F79"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xml:space="preserve">E = 3 - 7 </w:t>
            </w:r>
            <w:proofErr w:type="spellStart"/>
            <w:r w:rsidRPr="00610A40">
              <w:rPr>
                <w:color w:val="000000"/>
                <w:szCs w:val="24"/>
              </w:rPr>
              <w:t>MPa</w:t>
            </w:r>
            <w:proofErr w:type="spellEnd"/>
            <w:r w:rsidRPr="00610A40">
              <w:rPr>
                <w:color w:val="000000"/>
                <w:szCs w:val="24"/>
              </w:rPr>
              <w:t xml:space="preserve"> </w:t>
            </w:r>
          </w:p>
          <w:p w14:paraId="33081EA7"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proofErr w:type="spellStart"/>
            <w:r w:rsidRPr="00610A40">
              <w:rPr>
                <w:color w:val="000000"/>
                <w:szCs w:val="24"/>
              </w:rPr>
              <w:lastRenderedPageBreak/>
              <w:t>ε</w:t>
            </w:r>
            <w:r w:rsidRPr="00610A40">
              <w:rPr>
                <w:color w:val="000000"/>
                <w:szCs w:val="24"/>
                <w:vertAlign w:val="subscript"/>
              </w:rPr>
              <w:t>max</w:t>
            </w:r>
            <w:proofErr w:type="spellEnd"/>
            <w:r w:rsidRPr="00610A40">
              <w:rPr>
                <w:color w:val="000000"/>
                <w:szCs w:val="24"/>
              </w:rPr>
              <w:t xml:space="preserve"> = 230 - 800%</w:t>
            </w:r>
          </w:p>
        </w:tc>
        <w:tc>
          <w:tcPr>
            <w:tcW w:w="746" w:type="pct"/>
          </w:tcPr>
          <w:p w14:paraId="598CC143"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lastRenderedPageBreak/>
              <w:t>Room Temp</w:t>
            </w:r>
          </w:p>
          <w:p w14:paraId="07DF03F4"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xml:space="preserve">Tensile rate = </w:t>
            </w:r>
            <w:r w:rsidRPr="00610A40">
              <w:rPr>
                <w:color w:val="000000"/>
              </w:rPr>
              <w:t>50 mm/min</w:t>
            </w:r>
          </w:p>
        </w:tc>
        <w:tc>
          <w:tcPr>
            <w:tcW w:w="746" w:type="pct"/>
          </w:tcPr>
          <w:p w14:paraId="11A76E9A"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3 weeks to degrade &gt;90%</w:t>
            </w:r>
          </w:p>
        </w:tc>
        <w:tc>
          <w:tcPr>
            <w:tcW w:w="1073" w:type="pct"/>
          </w:tcPr>
          <w:p w14:paraId="5F4ABDF2"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Smooth muscle tissue engineering</w:t>
            </w:r>
          </w:p>
          <w:p w14:paraId="5165C900"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t>- Drug delivery system</w:t>
            </w:r>
          </w:p>
          <w:p w14:paraId="48DCE7E8" w14:textId="77777777" w:rsidR="007972F8" w:rsidRPr="00610A40" w:rsidRDefault="007972F8" w:rsidP="007972F8">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lastRenderedPageBreak/>
              <w:t>- Vascular tissue engineering</w:t>
            </w:r>
          </w:p>
        </w:tc>
        <w:tc>
          <w:tcPr>
            <w:tcW w:w="479" w:type="pct"/>
          </w:tcPr>
          <w:p w14:paraId="5DB98021" w14:textId="75A7321D" w:rsidR="007972F8" w:rsidRPr="00610A40" w:rsidRDefault="007972F8" w:rsidP="00565E2A">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610A40">
              <w:rPr>
                <w:color w:val="000000"/>
                <w:szCs w:val="24"/>
              </w:rPr>
              <w:lastRenderedPageBreak/>
              <w:fldChar w:fldCharType="begin" w:fldLock="1"/>
            </w:r>
            <w:r w:rsidR="00565E2A" w:rsidRPr="00610A40">
              <w:rPr>
                <w:color w:val="000000"/>
                <w:szCs w:val="24"/>
              </w:rPr>
              <w:instrText>ADDIN CSL_CITATION { "citationItems" : [ { "id" : "ITEM-1", "itemData" : { "ISBN" : "0032-3861", "author" : [ { "dropping-particle" : "", "family" : "Yang", "given" : "Li-Qun", "non-dropping-particle" : "", "parse-names" : false, "suffix" : "" }, { "dropping-particle" : "", "family" : "He", "given" : "Bin", "non-dropping-particle" : "", "parse-names" : false, "suffix" : "" }, { "dropping-particle" : "", "family" : "Meng", "given" : "Shu", "non-dropping-particle" : "", "parse-names" : false, "suffix" : "" }, { "dropping-particle" : "", "family" : "Zhang", "given" : "Jin-Zhe", "non-dropping-particle" : "", "parse-names" : false, "suffix" : "" }, { "dropping-particle" : "", "family" : "Li", "given" : "Miao", "non-dropping-particle" : "", "parse-names" : false, "suffix" : "" }, { "dropping-particle" : "", "family" : "Guo", "given" : "Jing", "non-dropping-particle" : "", "parse-names" : false, "suffix" : "" }, { "dropping-particle" : "", "family" : "Guan", "given" : "Yan-Min", "non-dropping-particle" : "", "parse-names" : false, "suffix" : "" }, { "dropping-particle" : "", "family" : "Li", "given" : "Jian-Xin", "non-dropping-particle" : "", "parse-names" : false, "suffix" : "" }, { "dropping-particle" : "", "family" : "Gu", "given" : "Zhong-Wei", "non-dropping-particle" : "", "parse-names" : false, "suffix" : "" } ], "container-title" : "Polymer", "id" : "ITEM-1", "issue" : "11", "issued" : { "date-parts" : [ [ "2013" ] ] }, "page" : "2668-2675", "title" : "Biodegradable cross-linked poly (trimethylene carbonate) networks for implant applications: Synthesis and properties", "type" : "article-journal", "volume" : "54" }, "uris" : [ "http://www.mendeley.com/documents/?uuid=d862f533-67fd-4f9a-a20a-486b1646134a", "http://www.mendeley.com/documents/?uuid=512ab509-8902-4f08-84c2-e215c751c803" ] }, { "id" : "ITEM-2", "itemData" : { "DOI" : "10.1016/S0032-3861(03)00668-2", "ISBN" : "3153489297", "ISSN" : "00323861", "abstract" : "Poly(1,3-trimethylene carbonate), poly(TMC), has often been regarded as a rubbery polymer that cannot be applied in the biomedical field due to its poor dimensional stability, tackiness and inadequate mechanical properties. In this study we show that high molecular weight, amorphous poly(TMC) is very flexible, tough and has excellent ultimate mechanical properties. A number average molecular weight of 100,000 was determined to be a critical value below which the polymer has negligible mechanical properties and poor dimensional stability. This corresponds to a molecular weight that is 40 times higher than the molecular weight between entanglements. The dependency of the mechanical properties levels off at values above 200,000. This very high molecular weight poly(TMC) shows good recovery after mechanical deformation, considering that the only resistance to chain flow is due to chain entanglement. Poly(TMC) cross-linked upon gamma-irradiation, resulting in the formation of an insoluble network. The degree of cross-linking increases with the radiation dose. The final mechanical properties of the high molecular weight poly(TMC) rubbers improve upon irradiation. Especially, the creep resistance increased, while the Young's modulus and tensile strength were not significantly affected. These biodegradable cross-linked rubbers may find wide application in soft tissue engineering where tough and elastomeric scaffolds are desirable.", "author" : [ { "dropping-particle" : "", "family" : "P\u00eago", "given" : "Ana Paula", "non-dropping-particle" : "", "parse-names" : false, "suffix" : "" }, { "dropping-particle" : "", "family" : "Grijpma", "given" : "Dirk W", "non-dropping-particle" : "", "parse-names" : false, "suffix" : "" }, { "dropping-particle" : "", "family" : "Feijen", "given" : "Jan", "non-dropping-particle" : "", "parse-names" : false, "suffix" : "" } ], "container-title" : "Polymer", "id" : "ITEM-2", "issue" : "21", "issued" : { "date-parts" : [ [ "2003" ] ] }, "page" : "6495-6504", "title" : "Enhanced mechanical properties of 1,3-trimethylene carbonate polymers and networks", "type" : "article-journal", "volume" : "44" }, "uris" : [ "http://www.mendeley.com/documents/?uuid=b2b5f2c7-a541-4685-b3d1-bdf9f16f999d" ] }, { "id" : "ITEM-3", "itemData" : { "DOI" : "http://dx.doi.org/10.1016/j.biomaterials.2010.07.102", "ISSN" : "0142-9612", "abstract" : "A practical method of photocrosslinking high molecular weight poly(trimethylene carbonate)(PTMC) is presented. Flexible, elastomeric and biodegradable networks could be readily prepared by UV irradiating PTMC films containing pentaerythritol triacrylate (PETA) and a photoinitiator. The network characteristics, mechanical properties, wettability, and in vitro enzymatic erosion of the photocrosslinked PTMC films were investigated. Densely crosslinked networks with gel contents up to 98% could be obtained in this manner. Upon photocrosslinking, flexible and tough networks with excellent elastomeric properties were obtained. To illustrate the ease with which the properties of the networks can be tailored, blends of PTMC with mPEG-PTMC or with PTMC-PCL-PTMC were also photocrosslinked. The wettability and the enzymatic erosion rate of the networks could be tuned by blending with block copolymers. Tissue engineering scaffolds were also fabricated using these flexible photocrosslinkable materials. After crosslinking, the fabricated PTMC-based scaffolds showed inter-connected pores and extensive microporosity. Human mesenchymal stem cell (hMSC) culturing studies showed that the photocrosslinked scaffolds prepared from PTMC and PTMC/PTMC-PCL-PTMC blends are well-suited for tissue engineering applications.", "author" : [ { "dropping-particle" : "", "family" : "Bat", "given" : "Erhan", "non-dropping-particle" : "", "parse-names" : false, "suffix" : "" }, { "dropping-particle" : "", "family" : "Kothman", "given" : "Bas H M", "non-dropping-particle" : "", "parse-names" : false, "suffix" : "" }, { "dropping-particle" : "", "family" : "Higuera", "given" : "Gustavo A", "non-dropping-particle" : "", "parse-names" : false, "suffix" : "" }, { "dropping-particle" : "", "family" : "Blitterswijk", "given" : "Clemens A", "non-dropping-particle" : "van", "parse-names" : false, "suffix" : "" }, { "dropping-particle" : "", "family" : "Feijen", "given" : "Jan", "non-dropping-particle" : "", "parse-names" : false, "suffix" : "" }, { "dropping-particle" : "", "family" : "Grijpma", "given" : "Dirk W", "non-dropping-particle" : "", "parse-names" : false, "suffix" : "" } ], "container-title" : "Biomaterials", "id" : "ITEM-3", "issue" : "33", "issued" : { "date-parts" : [ [ "2010", "11" ] ] }, "page" : "8696-8705", "title" : "Ultraviolet light crosslinking of poly(trimethylene carbonate) for elastomeric tissue engineering scaffolds", "type" : "article-journal", "volume" : "31" }, "uris" : [ "http://www.mendeley.com/documents/?uuid=0c2f41f8-7450-4a67-83d8-c42c23abd6f1" ] }, { "id" : "ITEM-4", "itemData" : { "DOI" : "http://dx.doi.org/10.1016/j.actbio.2009.10.002", "ISSN" : "1742-7061", "abstract" : "Biocompatible and elastic porous tubular structures based on poly(1,3-trimethylene carbonate), PTMC, were developed as scaffolds for tissue engineering of small-diameter blood vessels. High-molecular-weight PTMC (Mn = 4.37 \u00d7 105) was cross-linked by gamma-irradiation in an inert nitrogen atmosphere. The resulting networks (50\u201370% gel content) were elastic and creep resistant. The PTMC materials were highly biocompatible as determined by cell adhesion and proliferation studies using various relevant cell types (human umbilical vein endothelial cells (HUVECs), smooth muscle cells (SMCs) and mesenchymal stem cells (MSCs)). Dimensionally stable tubular scaffolds with an interconnected pore network were prepared by particulate leaching. Different cross-linked porous PTMC specimens with average pore sizes ranging between 55 and 116 \u03bcm, and porosities ranging from 59% to 83% were prepared. These scaffolds were highly compliant and flexible, with high elongations at break. Furthermore, their resistance to creep was excellent and under cyclic loading conditions (20 deformation cycles to 30% elongation) no permanent deformation occurred. Seeding of SMCs into the wall of the tubular structures was done by carefully perfusing cell suspensions with syringes from the lumen through the wall. The cells were then cultured for 7 days. Upon proliferation of the SMCs, the formed blood vessel constructs had excellent mechanical properties. Their radial tensile strengths had increased from 0.23 to 0.78 MPa, which is close to those of natural blood vessels.", "author" : [ { "dropping-particle" : "", "family" : "Song", "given" : "Y", "non-dropping-particle" : "", "parse-names" : false, "suffix" : "" }, { "dropping-particle" : "", "family" : "Kamphuis", "given" : "M M J", "non-dropping-particle" : "", "parse-names" : false, "suffix" : "" }, { "dropping-particle" : "", "family" : "Zhang", "given" : "Z", "non-dropping-particle" : "", "parse-names" : false, "suffix" : "" }, { "dropping-particle" : "", "family" : "Sterk", "given" : "L.M.Th.", "non-dropping-particle" : "", "parse-names" : false, "suffix" : "" }, { "dropping-particle" : "", "family" : "Vermes", "given" : "I", "non-dropping-particle" : "", "parse-names" : false, "suffix" : "" }, { "dropping-particle" : "", "family" : "Poot", "given" : "A A", "non-dropping-particle" : "", "parse-names" : false, "suffix" : "" }, { "dropping-particle" : "", "family" : "Feijen", "given" : "J", "non-dropping-particle" : "", "parse-names" : false, "suffix" : "" }, { "dropping-particle" : "", "family" : "Grijpma", "given" : "D W", "non-dropping-particle" : "", "parse-names" : false, "suffix" : "" } ], "container-title" : "Acta Biomaterialia", "id" : "ITEM-4", "issue" : "4", "issued" : { "date-parts" : [ [ "2010", "4" ] ] }, "page" : "1269-1277", "title" : "Flexible and elastic porous poly(trimethylene carbonate) structures for use in vascular tissue engineering", "type" : "article-journal", "volume" : "6" }, "uris" : [ "http://www.mendeley.com/documents/?uuid=75572975-3af2-40c4-b8f4-3be16a175f22" ] } ], "mendeley" : { "formattedCitation" : "&lt;sup&gt;65,68,70,106&lt;/sup&gt;", "plainTextFormattedCitation" : "65,68,70,106", "previouslyFormattedCitation" : "&lt;sup&gt;64,67,69,105&lt;/sup&gt;"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65,68,70,106</w:t>
            </w:r>
            <w:r w:rsidRPr="00610A40">
              <w:rPr>
                <w:color w:val="000000"/>
                <w:szCs w:val="24"/>
              </w:rPr>
              <w:fldChar w:fldCharType="end"/>
            </w:r>
          </w:p>
        </w:tc>
      </w:tr>
      <w:tr w:rsidR="00E907D0" w:rsidRPr="00610A40" w14:paraId="42132F60" w14:textId="77777777" w:rsidTr="00BF3DC6">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64" w:type="pct"/>
          </w:tcPr>
          <w:p w14:paraId="1EDC7656" w14:textId="77777777" w:rsidR="007972F8" w:rsidRPr="00610A40" w:rsidRDefault="007972F8" w:rsidP="007972F8">
            <w:pPr>
              <w:jc w:val="left"/>
              <w:rPr>
                <w:color w:val="000000"/>
                <w:szCs w:val="24"/>
              </w:rPr>
            </w:pPr>
            <w:r w:rsidRPr="00610A40">
              <w:rPr>
                <w:color w:val="000000"/>
                <w:szCs w:val="24"/>
              </w:rPr>
              <w:lastRenderedPageBreak/>
              <w:t>PCLF</w:t>
            </w:r>
          </w:p>
        </w:tc>
        <w:tc>
          <w:tcPr>
            <w:tcW w:w="272" w:type="pct"/>
          </w:tcPr>
          <w:p w14:paraId="0AB488E1"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-50 – -60</w:t>
            </w:r>
          </w:p>
        </w:tc>
        <w:tc>
          <w:tcPr>
            <w:tcW w:w="459" w:type="pct"/>
          </w:tcPr>
          <w:p w14:paraId="4AF3C5BA"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20 - 40</w:t>
            </w:r>
          </w:p>
        </w:tc>
        <w:tc>
          <w:tcPr>
            <w:tcW w:w="760" w:type="pct"/>
          </w:tcPr>
          <w:p w14:paraId="04F54DEF"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σ</w:t>
            </w:r>
            <w:r w:rsidRPr="00610A40">
              <w:rPr>
                <w:color w:val="000000"/>
                <w:szCs w:val="24"/>
                <w:vertAlign w:val="subscript"/>
              </w:rPr>
              <w:t>max</w:t>
            </w:r>
            <w:proofErr w:type="spellEnd"/>
            <w:r w:rsidRPr="00610A40">
              <w:rPr>
                <w:color w:val="000000"/>
                <w:szCs w:val="24"/>
              </w:rPr>
              <w:t xml:space="preserve"> = 0.5 - 17 </w:t>
            </w:r>
            <w:proofErr w:type="spellStart"/>
            <w:r w:rsidRPr="00610A40">
              <w:rPr>
                <w:color w:val="000000"/>
                <w:szCs w:val="24"/>
              </w:rPr>
              <w:t>MPa</w:t>
            </w:r>
            <w:proofErr w:type="spellEnd"/>
          </w:p>
          <w:p w14:paraId="51BB89BD"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E = 3 - 7 </w:t>
            </w:r>
            <w:proofErr w:type="spellStart"/>
            <w:r w:rsidRPr="00610A40">
              <w:rPr>
                <w:color w:val="000000"/>
                <w:szCs w:val="24"/>
              </w:rPr>
              <w:t>MPa</w:t>
            </w:r>
            <w:proofErr w:type="spellEnd"/>
            <w:r w:rsidRPr="00610A40">
              <w:rPr>
                <w:color w:val="000000"/>
                <w:szCs w:val="24"/>
              </w:rPr>
              <w:t xml:space="preserve"> </w:t>
            </w:r>
          </w:p>
          <w:p w14:paraId="229FEF2E"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proofErr w:type="spellStart"/>
            <w:r w:rsidRPr="00610A40">
              <w:rPr>
                <w:color w:val="000000"/>
                <w:szCs w:val="24"/>
              </w:rPr>
              <w:t>ε</w:t>
            </w:r>
            <w:r w:rsidRPr="00610A40">
              <w:rPr>
                <w:color w:val="000000"/>
                <w:szCs w:val="24"/>
                <w:vertAlign w:val="subscript"/>
              </w:rPr>
              <w:t>max</w:t>
            </w:r>
            <w:proofErr w:type="spellEnd"/>
            <w:r w:rsidRPr="00610A40">
              <w:rPr>
                <w:color w:val="000000"/>
                <w:szCs w:val="24"/>
              </w:rPr>
              <w:t xml:space="preserve"> = 230 - 800%</w:t>
            </w:r>
          </w:p>
        </w:tc>
        <w:tc>
          <w:tcPr>
            <w:tcW w:w="746" w:type="pct"/>
          </w:tcPr>
          <w:p w14:paraId="6CA7712E"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Room Temp</w:t>
            </w:r>
          </w:p>
          <w:p w14:paraId="6EADD7C3"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Tensile rate = </w:t>
            </w:r>
            <w:r w:rsidRPr="00610A40">
              <w:rPr>
                <w:color w:val="000000"/>
              </w:rPr>
              <w:t>6 mm/min</w:t>
            </w:r>
          </w:p>
        </w:tc>
        <w:tc>
          <w:tcPr>
            <w:tcW w:w="746" w:type="pct"/>
          </w:tcPr>
          <w:p w14:paraId="1E3B3CF7"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w:t>
            </w:r>
          </w:p>
        </w:tc>
        <w:tc>
          <w:tcPr>
            <w:tcW w:w="1073" w:type="pct"/>
          </w:tcPr>
          <w:p w14:paraId="619EA393"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Injectable scaffolds</w:t>
            </w:r>
          </w:p>
          <w:p w14:paraId="1DF6220F"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Bone regeneration</w:t>
            </w:r>
          </w:p>
          <w:p w14:paraId="06856342" w14:textId="77777777" w:rsidR="007972F8" w:rsidRPr="00610A40" w:rsidRDefault="007972F8" w:rsidP="007972F8">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t xml:space="preserve">- Nerve conduit  </w:t>
            </w:r>
          </w:p>
        </w:tc>
        <w:tc>
          <w:tcPr>
            <w:tcW w:w="479" w:type="pct"/>
          </w:tcPr>
          <w:p w14:paraId="463D8B3B" w14:textId="6B0469AC" w:rsidR="007972F8" w:rsidRPr="00610A40" w:rsidRDefault="007972F8" w:rsidP="00565E2A">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610A40">
              <w:rPr>
                <w:color w:val="000000"/>
                <w:szCs w:val="24"/>
              </w:rPr>
              <w:fldChar w:fldCharType="begin" w:fldLock="1"/>
            </w:r>
            <w:r w:rsidR="00565E2A" w:rsidRPr="00610A40">
              <w:rPr>
                <w:color w:val="000000"/>
                <w:szCs w:val="24"/>
              </w:rPr>
              <w:instrText>ADDIN CSL_CITATION { "citationItems" : [ { "id" : "ITEM-1", "itemData" : { "DOI" : "http://dx.doi.org/10.1016/j.actbio.2008.12.015", "ISSN" : "1742-7061", "abstract" : "In an effort to achieve suitable biomaterials for peripheral nerve regeneration, we present a material design strategy of combining a crystallite-based physical network and a crosslink-based chemical network. Biodegradable polymer disks and conduits have been fabricated by photo-crosslinking three poly(\u03b5-caprolactone fumarate)s (PCLF530, PCLF1250, and PCLF2000), which were synthesized from the precursor poly(\u03b5-caprolactone) (PCL) diols with nominal molecular weights of 530, 1250, and 2000 g mol\u22121, respectively. Thermal properties such as glass transition temperature (Tg), melting temperature (Tm), and crystallinity of photo-crosslinked PCLFs were examined and correlated with their rheological and mechanical properties. Furthermore, in vitro degradation of uncrosslinked and crosslinked PCLFs in PBS crosslinked PCLFs in 1 N NaOH aqueous solution at 37 \u00b0C was studied. In vitro cytocompatibility, attachment, and proliferation of Schwann cell precursor line SPL201 cells on three PCLF networks were investigated. Crosslinked PCLF2000 with the highest crystallinity and mechanical properties was found to best support cell attachment and proliferation. Using a new photo-crosslinking method, single-lumen crosslinked PCLF nerve conduits without defects were fabricated in a glass mold. Crosslinked PCLF2000 nerve conduits were selected for evaluation in a 1 cm gap rat sciatic nerve model. Histological evaluation demonstrated that the material was biocompatible with sufficient strength to hold sutures in place after 6 and 17 weeks of implantation. Nerve cable with myelinated axons was found in the crosslinked PCLF2000 nerve conduit.", "author" : [ { "dropping-particle" : "", "family" : "Wang", "given" : "Shanfeng", "non-dropping-particle" : "", "parse-names" : false, "suffix" : "" }, { "dropping-particle" : "", "family" : "Yaszemski", "given" : "Michael J", "non-dropping-particle" : "", "parse-names" : false, "suffix" : "" }, { "dropping-particle" : "", "family" : "Knight", "given" : "Andrew M", "non-dropping-particle" : "", "parse-names" : false, "suffix" : "" }, { "dropping-particle" : "", "family" : "Gruetzmacher", "given" : "James A", "non-dropping-particle" : "", "parse-names" : false, "suffix" : "" }, { "dropping-particle" : "", "family" : "Windebank", "given" : "Anthony J", "non-dropping-particle" : "", "parse-names" : false, "suffix" : "" }, { "dropping-particle" : "", "family" : "Lu", "given" : "Lichun", "non-dropping-particle" : "", "parse-names" : false, "suffix" : "" } ], "container-title" : "Acta Biomaterialia", "id" : "ITEM-1", "issue" : "5", "issued" : { "date-parts" : [ [ "2009", "6" ] ] }, "page" : "1531-1542", "title" : "Photo-crosslinked poly(\u03b5-caprolactone fumarate) networks for guided peripheral nerve regeneration: Material properties and preliminary biological evaluations", "type" : "article-journal", "volume" : "5" }, "uris" : [ "http://www.mendeley.com/documents/?uuid=8a7ec190-c178-44d8-8724-e18fc25f0b4f" ] }, { "id" : "ITEM-2", "itemData" : { "DOI" : "10.1016/j.polymer.2008.10.021", "ISSN" : "00323861", "author" : [ { "dropping-particle" : "", "family" : "Wang", "given" : "Shanfeng", "non-dropping-particle" : "", "parse-names" : false, "suffix" : "" }, { "dropping-particle" : "", "family" : "Yaszemski", "given" : "Michael J.", "non-dropping-particle" : "", "parse-names" : false, "suffix" : "" }, { "dropping-particle" : "", "family" : "Gruetzmacher", "given" : "James a.", "non-dropping-particle" : "", "parse-names" : false, "suffix" : "" }, { "dropping-particle" : "", "family" : "Lu", "given" : "Lichun", "non-dropping-particle" : "", "parse-names" : false, "suffix" : "" } ], "container-title" : "Polymer", "id" : "ITEM-2", "issue" : "26", "issued" : { "date-parts" : [ [ "2008" ] ] }, "page" : "5692-5699", "publisher" : "Elsevier Ltd", "title" : "Photo-crosslinked poly(\u025b-caprolactone fumarate) networks: Roles of crystallinity and crosslinking density in determining mechanical properties", "type" : "article-journal", "volume" : "49" }, "uris" : [ "http://www.mendeley.com/documents/?uuid=e0264ee9-2ec2-4329-b8f7-8bd0214ccf0c" ] }, { "id" : "ITEM-3", "itemData" : { "DOI" : "10.1021/bm050206y", "ISBN" : "1525-7797 (Print)\\n1525-7797 (Linking)", "ISSN" : "15257797", "PMID" : "16153086", "abstract" : "A novel self-cross-linkable and biodegradable macromer, poly(caprolactone fumarate) (PCLF), has been developed for guided bone regeneration. This macromer is a copolymer of fumaryl chloride, which contains double bonds for in-situ cross-linking, and poly(epsilon-caprolactone), which has a flexible chain to facilitate self-cross-linkability. PCLF was characterized with Fourier transform infrared spectroscopy, 1H and 13C nuclear magnetic resonance spectroscopy, and gel permeation chromatography. Porous scaffolds were fabricated with sodium chloride particles as the porogen and a chemical initiation system. The PCLF scaffolds were characterized with scanning electron microscopy and micro-computed-tomography. The cytotoxicity and in vivo biocompatibility of PCLF were also assessed. Our results suggest that this novel copolymer, PCLF, is an injectable, self-cross-linkable, and biocompatible macromer that may be potentially used as a scaffold for tissue engineering applications.", "author" : [ { "dropping-particle" : "", "family" : "Jabbari", "given" : "Esmaiel", "non-dropping-particle" : "", "parse-names" : false, "suffix" : "" }, { "dropping-particle" : "", "family" : "Wang", "given" : "Shanfeng", "non-dropping-particle" : "", "parse-names" : false, "suffix" : "" }, { "dropping-particle" : "", "family" : "Lu", "given" : "Lichun", "non-dropping-particle" : "", "parse-names" : false, "suffix" : "" }, { "dropping-particle" : "", "family" : "Gruetzmacher", "given" : "James a.", "non-dropping-particle" : "", "parse-names" : false, "suffix" : "" }, { "dropping-particle" : "", "family" : "Ameenuddin", "given" : "Syed", "non-dropping-particle" : "", "parse-names" : false, "suffix" : "" }, { "dropping-particle" : "", "family" : "Hefferan", "given" : "Theresa E.", "non-dropping-particle" : "", "parse-names" : false, "suffix" : "" }, { "dropping-particle" : "", "family" : "Currier", "given" : "Bradford L.", "non-dropping-particle" : "", "parse-names" : false, "suffix" : "" }, { "dropping-particle" : "", "family" : "Windebank", "given" : "Anthony J.", "non-dropping-particle" : "", "parse-names" : false, "suffix" : "" }, { "dropping-particle" : "", "family" : "Yaszemski", "given" : "Michael J.", "non-dropping-particle" : "", "parse-names" : false, "suffix" : "" } ], "container-title" : "Biomacromolecules", "id" : "ITEM-3", "issue" : "5", "issued" : { "date-parts" : [ [ "2005" ] ] }, "page" : "2503-2511", "title" : "Synthesis, material properties, and biocompatibility of a novel self-cross-linkable poly(caprolactone fumarate) as an injectable tissue engineering scaffold", "type" : "article-journal", "volume" : "6" }, "uris" : [ "http://www.mendeley.com/documents/?uuid=4a2a47dc-20b5-49e1-839a-c150bb1faac1" ] } ], "mendeley" : { "formattedCitation" : "&lt;sup&gt;80,81,107&lt;/sup&gt;", "plainTextFormattedCitation" : "80,81,107", "previouslyFormattedCitation" : "&lt;sup&gt;79,80,106&lt;/sup&gt;" }, "properties" : { "noteIndex" : 0 }, "schema" : "https://github.com/citation-style-language/schema/raw/master/csl-citation.json" }</w:instrText>
            </w:r>
            <w:r w:rsidRPr="00610A40">
              <w:rPr>
                <w:color w:val="000000"/>
                <w:szCs w:val="24"/>
              </w:rPr>
              <w:fldChar w:fldCharType="separate"/>
            </w:r>
            <w:r w:rsidR="00565E2A" w:rsidRPr="00610A40">
              <w:rPr>
                <w:noProof/>
                <w:color w:val="000000"/>
                <w:szCs w:val="24"/>
                <w:vertAlign w:val="superscript"/>
              </w:rPr>
              <w:t>80,81,107</w:t>
            </w:r>
            <w:r w:rsidRPr="00610A40">
              <w:rPr>
                <w:color w:val="000000"/>
                <w:szCs w:val="24"/>
              </w:rPr>
              <w:fldChar w:fldCharType="end"/>
            </w:r>
          </w:p>
        </w:tc>
      </w:tr>
    </w:tbl>
    <w:p w14:paraId="750D40A7" w14:textId="77777777" w:rsidR="007972F8" w:rsidRPr="00610A40" w:rsidRDefault="007972F8" w:rsidP="007972F8">
      <w:pPr>
        <w:spacing w:line="264" w:lineRule="auto"/>
        <w:rPr>
          <w:rFonts w:cs="Times New Roman"/>
          <w:noProof/>
          <w:color w:val="000000"/>
          <w:kern w:val="2"/>
          <w:szCs w:val="24"/>
          <w:vertAlign w:val="superscript"/>
        </w:rPr>
      </w:pPr>
    </w:p>
    <w:p w14:paraId="18762B26" w14:textId="77777777" w:rsidR="007972F8" w:rsidRPr="00610A40" w:rsidRDefault="007972F8" w:rsidP="007972F8">
      <w:pPr>
        <w:ind w:left="360" w:hanging="360"/>
        <w:rPr>
          <w:rFonts w:cs="Times New Roman"/>
          <w:noProof/>
          <w:color w:val="000000"/>
          <w:kern w:val="2"/>
          <w:szCs w:val="24"/>
        </w:rPr>
      </w:pPr>
    </w:p>
    <w:p w14:paraId="08621A9D" w14:textId="77777777" w:rsidR="007972F8" w:rsidRPr="00610A40" w:rsidRDefault="007972F8" w:rsidP="007972F8">
      <w:pPr>
        <w:ind w:left="360" w:hanging="360"/>
        <w:rPr>
          <w:rFonts w:cs="Times New Roman"/>
          <w:noProof/>
          <w:color w:val="000000"/>
          <w:kern w:val="2"/>
          <w:szCs w:val="24"/>
        </w:rPr>
      </w:pPr>
      <w:r w:rsidRPr="00610A40">
        <w:rPr>
          <w:rFonts w:cs="Times New Roman"/>
          <w:noProof/>
          <w:color w:val="000000"/>
          <w:kern w:val="2"/>
          <w:szCs w:val="24"/>
        </w:rPr>
        <w:t xml:space="preserve">PLCL: </w:t>
      </w:r>
      <w:proofErr w:type="gramStart"/>
      <w:r w:rsidRPr="00610A40">
        <w:rPr>
          <w:rFonts w:cs="Times New Roman"/>
          <w:noProof/>
          <w:color w:val="000000"/>
          <w:kern w:val="2"/>
          <w:szCs w:val="24"/>
        </w:rPr>
        <w:t>P</w:t>
      </w:r>
      <w:proofErr w:type="spellStart"/>
      <w:r w:rsidRPr="00610A40">
        <w:rPr>
          <w:rFonts w:cs="Times New Roman"/>
          <w:color w:val="000000"/>
          <w:szCs w:val="24"/>
        </w:rPr>
        <w:t>oly</w:t>
      </w:r>
      <w:proofErr w:type="spellEnd"/>
      <w:r w:rsidRPr="00610A40">
        <w:rPr>
          <w:rFonts w:cs="Times New Roman"/>
          <w:color w:val="000000"/>
          <w:szCs w:val="24"/>
        </w:rPr>
        <w:t>(</w:t>
      </w:r>
      <w:proofErr w:type="spellStart"/>
      <w:proofErr w:type="gramEnd"/>
      <w:r w:rsidRPr="00610A40">
        <w:rPr>
          <w:rFonts w:cs="Times New Roman"/>
          <w:color w:val="000000"/>
          <w:szCs w:val="24"/>
        </w:rPr>
        <w:t>lactide</w:t>
      </w:r>
      <w:proofErr w:type="spellEnd"/>
      <w:r w:rsidRPr="00610A40">
        <w:rPr>
          <w:rFonts w:cs="Times New Roman"/>
          <w:color w:val="000000"/>
          <w:szCs w:val="24"/>
        </w:rPr>
        <w:t>-</w:t>
      </w:r>
      <w:r w:rsidRPr="00610A40">
        <w:rPr>
          <w:rFonts w:cs="Times New Roman"/>
          <w:i/>
          <w:color w:val="000000"/>
          <w:szCs w:val="24"/>
        </w:rPr>
        <w:t>co</w:t>
      </w:r>
      <w:r w:rsidRPr="00610A40">
        <w:rPr>
          <w:rFonts w:cs="Times New Roman"/>
          <w:color w:val="000000"/>
          <w:szCs w:val="24"/>
        </w:rPr>
        <w:t>-</w:t>
      </w:r>
      <w:proofErr w:type="spellStart"/>
      <w:r w:rsidRPr="00610A40">
        <w:rPr>
          <w:rFonts w:cs="Times New Roman"/>
          <w:color w:val="000000"/>
          <w:szCs w:val="24"/>
        </w:rPr>
        <w:t>caprolactone</w:t>
      </w:r>
      <w:proofErr w:type="spellEnd"/>
      <w:r w:rsidRPr="00610A40">
        <w:rPr>
          <w:rFonts w:cs="Times New Roman"/>
          <w:color w:val="000000"/>
          <w:szCs w:val="24"/>
        </w:rPr>
        <w:t>);</w:t>
      </w:r>
      <w:r w:rsidRPr="00610A40">
        <w:rPr>
          <w:rFonts w:cs="Times New Roman"/>
          <w:noProof/>
          <w:color w:val="000000"/>
          <w:kern w:val="2"/>
          <w:szCs w:val="24"/>
        </w:rPr>
        <w:t xml:space="preserve"> PGCL: Poly(glycolide-</w:t>
      </w:r>
      <w:r w:rsidRPr="00610A40">
        <w:rPr>
          <w:rFonts w:cs="Times New Roman"/>
          <w:i/>
          <w:noProof/>
          <w:color w:val="000000"/>
          <w:kern w:val="2"/>
          <w:szCs w:val="24"/>
        </w:rPr>
        <w:t>co</w:t>
      </w:r>
      <w:r w:rsidRPr="00610A40">
        <w:rPr>
          <w:rFonts w:cs="Times New Roman"/>
          <w:noProof/>
          <w:color w:val="000000"/>
          <w:kern w:val="2"/>
          <w:szCs w:val="24"/>
        </w:rPr>
        <w:t xml:space="preserve">-caprolactone); </w:t>
      </w:r>
    </w:p>
    <w:p w14:paraId="36A3A94A" w14:textId="77777777" w:rsidR="007972F8" w:rsidRPr="00610A40" w:rsidRDefault="007972F8" w:rsidP="007972F8">
      <w:pPr>
        <w:ind w:left="360" w:hanging="360"/>
        <w:rPr>
          <w:rFonts w:cs="Times New Roman"/>
          <w:noProof/>
          <w:color w:val="000000"/>
          <w:kern w:val="2"/>
          <w:szCs w:val="24"/>
        </w:rPr>
      </w:pPr>
      <w:r w:rsidRPr="00610A40">
        <w:rPr>
          <w:rFonts w:cs="Times New Roman"/>
          <w:noProof/>
          <w:color w:val="000000"/>
          <w:kern w:val="2"/>
          <w:szCs w:val="24"/>
        </w:rPr>
        <w:t>PLGC: Poly(lactide-co-glycolide-co-caprolactone); P4HB: poly(4-hydroxybutyrate)</w:t>
      </w:r>
    </w:p>
    <w:p w14:paraId="3FA254D3" w14:textId="77777777" w:rsidR="007972F8" w:rsidRPr="00610A40" w:rsidRDefault="007972F8" w:rsidP="007972F8">
      <w:pPr>
        <w:ind w:left="360" w:hanging="360"/>
        <w:rPr>
          <w:rFonts w:cs="Times New Roman"/>
          <w:noProof/>
          <w:color w:val="000000"/>
          <w:kern w:val="2"/>
          <w:szCs w:val="24"/>
        </w:rPr>
      </w:pPr>
      <w:r w:rsidRPr="00610A40">
        <w:rPr>
          <w:rFonts w:cs="Times New Roman"/>
          <w:noProof/>
          <w:color w:val="000000"/>
          <w:kern w:val="2"/>
          <w:szCs w:val="24"/>
        </w:rPr>
        <w:t>PHBHHx: Poly(3-hydroxybutyrate-co-3-hydroxyhexanoate); PHO: Poly(3-hydroxyoctanoate);</w:t>
      </w:r>
    </w:p>
    <w:p w14:paraId="519CED6E" w14:textId="77777777" w:rsidR="007972F8" w:rsidRPr="00610A40" w:rsidRDefault="007972F8" w:rsidP="007972F8">
      <w:pPr>
        <w:ind w:left="360" w:hanging="360"/>
        <w:rPr>
          <w:rFonts w:cs="Times New Roman"/>
          <w:noProof/>
          <w:color w:val="000000"/>
          <w:kern w:val="2"/>
          <w:szCs w:val="24"/>
        </w:rPr>
      </w:pPr>
      <w:r w:rsidRPr="00610A40">
        <w:rPr>
          <w:rFonts w:cs="Times New Roman"/>
          <w:noProof/>
          <w:color w:val="000000"/>
          <w:kern w:val="2"/>
          <w:szCs w:val="24"/>
        </w:rPr>
        <w:t>PGS: Poly(glycerol sebacate); POC: Poly(1,8-octanediol); P(OCS): Poly[octanediol-co-(citric acid)-</w:t>
      </w:r>
      <w:r w:rsidRPr="00610A40">
        <w:rPr>
          <w:rFonts w:cs="Times New Roman"/>
          <w:i/>
          <w:noProof/>
          <w:color w:val="000000"/>
          <w:kern w:val="2"/>
          <w:szCs w:val="24"/>
        </w:rPr>
        <w:t>co</w:t>
      </w:r>
      <w:r w:rsidRPr="00610A40">
        <w:rPr>
          <w:rFonts w:cs="Times New Roman"/>
          <w:noProof/>
          <w:color w:val="000000"/>
          <w:kern w:val="2"/>
          <w:szCs w:val="24"/>
        </w:rPr>
        <w:t xml:space="preserve">-(sebacic acid)]; PTMC: Poly(trimethylene </w:t>
      </w:r>
    </w:p>
    <w:p w14:paraId="0C4D7971" w14:textId="77777777" w:rsidR="007972F8" w:rsidRPr="00610A40" w:rsidRDefault="007972F8" w:rsidP="007972F8">
      <w:pPr>
        <w:ind w:left="360" w:hanging="360"/>
        <w:rPr>
          <w:rFonts w:cs="Times New Roman"/>
          <w:color w:val="000000"/>
          <w:spacing w:val="-3"/>
          <w:szCs w:val="24"/>
        </w:rPr>
      </w:pPr>
      <w:r w:rsidRPr="00610A40">
        <w:rPr>
          <w:rFonts w:cs="Times New Roman"/>
          <w:noProof/>
          <w:color w:val="000000"/>
          <w:kern w:val="2"/>
          <w:szCs w:val="24"/>
        </w:rPr>
        <w:t xml:space="preserve">carbonate); PCLF: poly(caprolactone fumarate); </w:t>
      </w:r>
      <w:proofErr w:type="spellStart"/>
      <w:r w:rsidRPr="00610A40">
        <w:rPr>
          <w:rFonts w:cs="Times New Roman"/>
          <w:color w:val="000000"/>
          <w:szCs w:val="24"/>
        </w:rPr>
        <w:t>σ</w:t>
      </w:r>
      <w:r w:rsidRPr="00610A40">
        <w:rPr>
          <w:rFonts w:cs="Times New Roman"/>
          <w:color w:val="000000"/>
          <w:szCs w:val="24"/>
          <w:vertAlign w:val="subscript"/>
        </w:rPr>
        <w:t>max</w:t>
      </w:r>
      <w:proofErr w:type="spellEnd"/>
      <w:r w:rsidRPr="00610A40">
        <w:rPr>
          <w:rFonts w:cs="Times New Roman"/>
          <w:color w:val="000000"/>
          <w:szCs w:val="24"/>
        </w:rPr>
        <w:t xml:space="preserve">: Tensile strength, E: Young’s modulus, </w:t>
      </w:r>
      <w:proofErr w:type="spellStart"/>
      <w:r w:rsidRPr="00610A40">
        <w:rPr>
          <w:rFonts w:cs="Times New Roman"/>
          <w:color w:val="000000"/>
          <w:szCs w:val="24"/>
        </w:rPr>
        <w:t>ε</w:t>
      </w:r>
      <w:r w:rsidRPr="00610A40">
        <w:rPr>
          <w:rFonts w:cs="Times New Roman"/>
          <w:color w:val="000000"/>
          <w:szCs w:val="24"/>
          <w:vertAlign w:val="subscript"/>
        </w:rPr>
        <w:t>max</w:t>
      </w:r>
      <w:proofErr w:type="spellEnd"/>
      <w:r w:rsidRPr="00610A40">
        <w:rPr>
          <w:rFonts w:cs="Times New Roman"/>
          <w:color w:val="000000"/>
          <w:szCs w:val="24"/>
        </w:rPr>
        <w:t>: Elongation at break.</w:t>
      </w:r>
    </w:p>
    <w:p w14:paraId="1B7197BA" w14:textId="77777777" w:rsidR="00CA2966" w:rsidRPr="00610A40" w:rsidRDefault="00CA2966" w:rsidP="00CA2966">
      <w:pPr>
        <w:autoSpaceDE w:val="0"/>
        <w:autoSpaceDN w:val="0"/>
        <w:adjustRightInd w:val="0"/>
        <w:rPr>
          <w:color w:val="auto"/>
          <w:szCs w:val="24"/>
        </w:rPr>
        <w:sectPr w:rsidR="00CA2966" w:rsidRPr="00610A40" w:rsidSect="004A0094">
          <w:footerReference w:type="default" r:id="rId13"/>
          <w:pgSz w:w="15840" w:h="12240" w:orient="landscape"/>
          <w:pgMar w:top="1440" w:right="1440" w:bottom="1440" w:left="1440" w:header="720" w:footer="720" w:gutter="0"/>
          <w:cols w:space="720"/>
          <w:docGrid w:linePitch="360"/>
        </w:sectPr>
      </w:pPr>
    </w:p>
    <w:p w14:paraId="7673026E" w14:textId="444B4EC3" w:rsidR="008A57DC" w:rsidRPr="00610A40" w:rsidRDefault="00CA2966">
      <w:pPr>
        <w:pStyle w:val="Heading1"/>
        <w:rPr>
          <w:sz w:val="24"/>
        </w:rPr>
      </w:pPr>
      <w:r w:rsidRPr="00610A40">
        <w:rPr>
          <w:sz w:val="24"/>
        </w:rPr>
        <w:lastRenderedPageBreak/>
        <w:t>3</w:t>
      </w:r>
      <w:r w:rsidR="008A57DC" w:rsidRPr="00610A40">
        <w:rPr>
          <w:sz w:val="24"/>
        </w:rPr>
        <w:t>. Processing Methods of Polyesters</w:t>
      </w:r>
    </w:p>
    <w:p w14:paraId="58E5629C" w14:textId="6ED847BB" w:rsidR="00CB7C43" w:rsidRPr="00610A40" w:rsidRDefault="00CA2966" w:rsidP="00CB7C43">
      <w:pPr>
        <w:keepNext/>
        <w:keepLines/>
        <w:spacing w:before="200"/>
        <w:outlineLvl w:val="1"/>
        <w:rPr>
          <w:rFonts w:eastAsia="SimSun" w:cs="Times New Roman"/>
          <w:b/>
          <w:bCs/>
          <w:color w:val="auto"/>
          <w:szCs w:val="24"/>
        </w:rPr>
      </w:pPr>
      <w:r w:rsidRPr="00610A40">
        <w:rPr>
          <w:rFonts w:eastAsia="SimSun" w:cs="Times New Roman"/>
          <w:b/>
          <w:bCs/>
          <w:color w:val="auto"/>
          <w:szCs w:val="24"/>
        </w:rPr>
        <w:t>3</w:t>
      </w:r>
      <w:r w:rsidR="00CB7C43" w:rsidRPr="00610A40">
        <w:rPr>
          <w:rFonts w:eastAsia="SimSun" w:cs="Times New Roman"/>
          <w:b/>
          <w:bCs/>
          <w:color w:val="auto"/>
          <w:szCs w:val="24"/>
        </w:rPr>
        <w:t>.1 Solvent Casting and Particle Leaching</w:t>
      </w:r>
    </w:p>
    <w:p w14:paraId="15403E0D" w14:textId="7AA828DB" w:rsidR="00CB7C43" w:rsidRPr="00610A40" w:rsidRDefault="00CB7C43" w:rsidP="00CB7C43">
      <w:pPr>
        <w:rPr>
          <w:color w:val="auto"/>
          <w:szCs w:val="24"/>
        </w:rPr>
      </w:pPr>
      <w:r w:rsidRPr="00610A40">
        <w:rPr>
          <w:color w:val="auto"/>
          <w:szCs w:val="24"/>
        </w:rPr>
        <w:t xml:space="preserve">Solvent casting involves casting a dissolved </w:t>
      </w:r>
      <w:proofErr w:type="spellStart"/>
      <w:r w:rsidRPr="00610A40">
        <w:rPr>
          <w:color w:val="auto"/>
          <w:szCs w:val="24"/>
        </w:rPr>
        <w:t>prepolymer</w:t>
      </w:r>
      <w:proofErr w:type="spellEnd"/>
      <w:r w:rsidRPr="00610A40">
        <w:rPr>
          <w:color w:val="auto"/>
          <w:szCs w:val="24"/>
        </w:rPr>
        <w:t xml:space="preserve"> in a mold to form a film in the prescribed form when the solvent is completely evaporated. Pores can be created using the particle leaching technique whereby a porous scaffold is formed when the </w:t>
      </w:r>
      <w:proofErr w:type="spellStart"/>
      <w:r w:rsidRPr="00610A40">
        <w:rPr>
          <w:color w:val="auto"/>
          <w:szCs w:val="24"/>
        </w:rPr>
        <w:t>porogens</w:t>
      </w:r>
      <w:proofErr w:type="spellEnd"/>
      <w:r w:rsidRPr="00610A40">
        <w:rPr>
          <w:color w:val="auto"/>
          <w:szCs w:val="24"/>
        </w:rPr>
        <w:t xml:space="preserve"> are leached out</w:t>
      </w:r>
      <w:r w:rsidRPr="00610A40">
        <w:rPr>
          <w:color w:val="auto"/>
          <w:szCs w:val="24"/>
        </w:rPr>
        <w:fldChar w:fldCharType="begin" w:fldLock="1"/>
      </w:r>
      <w:r w:rsidR="00565E2A" w:rsidRPr="00610A40">
        <w:rPr>
          <w:color w:val="auto"/>
          <w:szCs w:val="24"/>
        </w:rPr>
        <w:instrText>ADDIN CSL_CITATION { "citationItems" : [ { "id" : "ITEM-1", "itemData" : { "DOI" : "Doi 10.1002/Jbm.A.10497", "ISBN" : "0021-9304", "ISSN" : "00219304", "PMID" : "12833428", "abstract" : "Cyclic mechanical strain has been demonstrated to enhance the development and function of engineered smooth muscle (SM) tissues, and it would be necessary for the development of the elastic scaffolds if one wishes to engineer SM tissues under cyclic mechanical loading. This study reports on the development of an elastic scaffold fabricated from a biodegradable polymer. Biodegradable poly(glycolide-co-caprolactone) (PGCL) copolymer was synthesized from glycolide and \u03b5-caprolactone in the presence of stannous octoate as catalyst. The copolymer was characterized by 1H-NMR, gel permeation chromatography and differential scanning calorimetry. Scaffolds for tissue engineering applications were fabricated from PGCL copolymer using the solvent-casting and particle-leaching technique. The PGCL scaffolds produced in this fashion had open pore structures (average pore size = 250 \u03bcm) without the usual nonporous skin layer on external surfaces. Mechanical testing revealed that PGCL scaffolds were far more elastic than poly(lactic-co-glycolic acid) (PLGA) scaffolds fabricated using the same method. Tensile mechanical tests indicated that PGCL scaffolds could withstand an extension of 250% without cracking, which was much higher than withstood by PLGA scaffolds (10-15%). In addition, PGCL scaffolds achieved recoveries exceeding 96% at applied extensions of up to 230%, whereas PLGA scaffolds failed (cracked) at an applied strain of 20%. Dynamic mechanical tests showed that the permanent deformation of the PGCL scaffolds in a dry condition produced was less than 4% of the applied strain, when an elongation of 20% at a frequency of 1 Hz (1 cycle per second) was applied for 6 days. Moreover, PGCL scaffolds in a buffer solution also had permanent deformations less than 5% of the applied strain when an elongation of 10% at a frequency of 1 Hz was applied for 2 days. The usefulness of the PGCL scaffolds was demonstrated by engineering SM tissues in vivo. This study shows that the elastic PGCL scaffolds produced in this study could be used to engineer SM-containing tissues (e.g. blood vessels and bladders) in mechanically dynamic environments. \u00a9 2003 Wiley Periodicals, Inc.", "author" : [ { "dropping-particle" : "", "family" : "Lee", "given" : "Soo Hong", "non-dropping-particle" : "", "parse-names" : false, "suffix" : "" }, { "dropping-particle" : "", "family" : "Kim", "given" : "Byung Soo", "non-dropping-particle" : "", "parse-names" : false, "suffix" : "" }, { "dropping-particle" : "", "family" : "Kim", "given" : "Soo Hyun", "non-dropping-particle" : "", "parse-names" : false, "suffix" : "" }, { "dropping-particle" : "", "family" : "Choi", "given" : "Sung Won", "non-dropping-particle" : "", "parse-names" : false, "suffix" : "" }, { "dropping-particle" : "", "family" : "Jeong", "given" : "Sung In", "non-dropping-particle" : "", "parse-names" : false, "suffix" : "" }, { "dropping-particle" : "", "family" : "Kwon", "given" : "Il Keun", "non-dropping-particle" : "", "parse-names" : false, "suffix" : "" }, { "dropping-particle" : "", "family" : "Kang", "given" : "Sun Woong", "non-dropping-particle" : "", "parse-names" : false, "suffix" : "" }, { "dropping-particle" : "", "family" : "Nikolovski", "given" : "Janeta", "non-dropping-particle" : "", "parse-names" : false, "suffix" : "" }, { "dropping-particle" : "", "family" : "Mooney", "given" : "David J", "non-dropping-particle" : "", "parse-names" : false, "suffix" : "" }, { "dropping-particle" : "", "family" : "Han", "given" : "Yang Kyoo", "non-dropping-particle" : "", "parse-names" : false, "suffix" : "" }, { "dropping-particle" : "", "family" : "Kim", "given" : "Young Ha", "non-dropping-particle" : "", "parse-names" : false, "suffix" : "" } ], "container-title" : "Journal of Biomedical Materials Research - Part A", "id" : "ITEM-1", "issue" : "1", "issued" : { "date-parts" : [ [ "2003" ] ] }, "page" : "29-37", "title" : "Elastic biodegradable poly(glycolide-co-caprolactone) scaffold for tissue engineering", "type" : "article-journal", "volume" : "66" }, "uris" : [ "http://www.mendeley.com/documents/?uuid=3bf004cd-982a-4e35-915d-eb968854c56c" ] } ], "mendeley" : { "formattedCitation" : "&lt;sup&gt;22&lt;/sup&gt;", "plainTextFormattedCitation" : "22", "previouslyFormattedCitation" : "&lt;sup&gt;22&lt;/sup&gt;"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22</w:t>
      </w:r>
      <w:r w:rsidRPr="00610A40">
        <w:rPr>
          <w:color w:val="auto"/>
          <w:szCs w:val="24"/>
        </w:rPr>
        <w:fldChar w:fldCharType="end"/>
      </w:r>
      <w:r w:rsidRPr="00610A40">
        <w:rPr>
          <w:color w:val="auto"/>
          <w:szCs w:val="24"/>
          <w:vertAlign w:val="superscript"/>
        </w:rPr>
        <w:t>,</w:t>
      </w:r>
      <w:r w:rsidRPr="00610A40">
        <w:rPr>
          <w:color w:val="auto"/>
          <w:szCs w:val="24"/>
        </w:rPr>
        <w:fldChar w:fldCharType="begin" w:fldLock="1"/>
      </w:r>
      <w:r w:rsidR="00565E2A" w:rsidRPr="00610A40">
        <w:rPr>
          <w:color w:val="auto"/>
          <w:szCs w:val="24"/>
        </w:rPr>
        <w:instrText>ADDIN CSL_CITATION { "citationItems" : [ { "id" : "ITEM-1", "itemData" : { "DOI" : "10.1039/c2ra20736b", "ISSN" : "20462069", "abstract" : "Recently there have been increasing research efforts in the development of elastomeric biomaterials with desirable biocompatibility, degradation profiles and mechanical properties for use in soft tissue engineering. This review provides an update on the progresses of developing biodegradable, soft elastomeric biomaterials and their tissue engineering scaffolding techniques. Following a brief review on traditional thermoplastic elastomers, including polyurethane (PU), polyhydroxyalkanoates (PHA) and aliphatic copolyesters, detailed review is devoted to the synthesis, properties and scaffold fabrication of recently developed soft, biodegradable elastomers, including poly(polyol sebacate) (PPS), PPS-based elastomers, and citric-acid based elastomers. Although biodegradable, soft elastomeric biomaterials have advantages (compliant and biodegradable), this review also identified a number of issues associated with these elastomers, including cytotoxicity, rapid in vivo degradation rates, and poor reproducibility. Future research directions are discussed to address these issues.", "author" : [ { "dropping-particle" : "", "family" : "Li", "given" : "Yuan", "non-dropping-particle" : "", "parse-names" : false, "suffix" : "" }, { "dropping-particle" : "", "family" : "Thouas", "given" : "George a", "non-dropping-particle" : "", "parse-names" : false, "suffix" : "" }, { "dropping-particle" : "", "family" : "Chen", "given" : "Qi-Zhi", "non-dropping-particle" : "", "parse-names" : false, "suffix" : "" } ], "container-title" : "RSC Advances", "id" : "ITEM-1", "issue" : "22", "issued" : { "date-parts" : [ [ "2012" ] ] }, "page" : "8229", "title" : "Biodegradable soft elastomers: synthesis/properties of materials and fabrication of scaffolds", "type" : "article-journal", "volume" : "2" }, "uris" : [ "http://www.mendeley.com/documents/?uuid=4bf4cac5-240a-4e16-9b74-98f653e8af60" ] } ], "mendeley" : { "formattedCitation" : "&lt;sup&gt;56&lt;/sup&gt;", "plainTextFormattedCitation" : "56", "previouslyFormattedCitation" : "&lt;sup&gt;56&lt;/sup&gt;"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56</w:t>
      </w:r>
      <w:r w:rsidRPr="00610A40">
        <w:rPr>
          <w:color w:val="auto"/>
          <w:szCs w:val="24"/>
        </w:rPr>
        <w:fldChar w:fldCharType="end"/>
      </w:r>
      <w:r w:rsidRPr="00610A40">
        <w:rPr>
          <w:color w:val="auto"/>
          <w:szCs w:val="24"/>
        </w:rPr>
        <w:t xml:space="preserve">. Solvent casting and particle leaching are usually performed together whereby </w:t>
      </w:r>
      <w:proofErr w:type="spellStart"/>
      <w:r w:rsidRPr="00610A40">
        <w:rPr>
          <w:color w:val="auto"/>
          <w:szCs w:val="24"/>
        </w:rPr>
        <w:t>porogens</w:t>
      </w:r>
      <w:proofErr w:type="spellEnd"/>
      <w:r w:rsidRPr="00610A40">
        <w:rPr>
          <w:color w:val="auto"/>
          <w:szCs w:val="24"/>
        </w:rPr>
        <w:t xml:space="preserve"> are incorporated into the </w:t>
      </w:r>
      <w:proofErr w:type="spellStart"/>
      <w:r w:rsidRPr="00610A40">
        <w:rPr>
          <w:color w:val="auto"/>
          <w:szCs w:val="24"/>
        </w:rPr>
        <w:t>prepolymer</w:t>
      </w:r>
      <w:proofErr w:type="spellEnd"/>
      <w:r w:rsidRPr="00610A40">
        <w:rPr>
          <w:color w:val="auto"/>
          <w:szCs w:val="24"/>
        </w:rPr>
        <w:t xml:space="preserve"> solution. The </w:t>
      </w:r>
      <w:proofErr w:type="spellStart"/>
      <w:r w:rsidRPr="00610A40">
        <w:rPr>
          <w:color w:val="auto"/>
          <w:szCs w:val="24"/>
        </w:rPr>
        <w:t>porogen</w:t>
      </w:r>
      <w:proofErr w:type="spellEnd"/>
      <w:r w:rsidRPr="00610A40">
        <w:rPr>
          <w:color w:val="auto"/>
          <w:szCs w:val="24"/>
        </w:rPr>
        <w:t xml:space="preserve"> leaching step is usually conducted after the </w:t>
      </w:r>
      <w:proofErr w:type="spellStart"/>
      <w:r w:rsidRPr="00610A40">
        <w:rPr>
          <w:color w:val="auto"/>
          <w:szCs w:val="24"/>
        </w:rPr>
        <w:t>prepolymer</w:t>
      </w:r>
      <w:proofErr w:type="spellEnd"/>
      <w:r w:rsidRPr="00610A40">
        <w:rPr>
          <w:color w:val="auto"/>
          <w:szCs w:val="24"/>
        </w:rPr>
        <w:t xml:space="preserve"> has been casted and cured into a solid elastomeric film. Pore size, porosity and pore interconnectivity are tunable. For example, </w:t>
      </w:r>
      <w:r w:rsidR="00D5605F" w:rsidRPr="00610A40">
        <w:rPr>
          <w:color w:val="auto"/>
          <w:szCs w:val="24"/>
        </w:rPr>
        <w:t>poly (</w:t>
      </w:r>
      <w:r w:rsidRPr="00610A40">
        <w:rPr>
          <w:color w:val="auto"/>
          <w:szCs w:val="24"/>
        </w:rPr>
        <w:t xml:space="preserve">glycerol </w:t>
      </w:r>
      <w:proofErr w:type="spellStart"/>
      <w:r w:rsidRPr="00610A40">
        <w:rPr>
          <w:color w:val="auto"/>
          <w:szCs w:val="24"/>
        </w:rPr>
        <w:t>sebacate</w:t>
      </w:r>
      <w:proofErr w:type="spellEnd"/>
      <w:r w:rsidRPr="00610A40">
        <w:rPr>
          <w:color w:val="auto"/>
          <w:szCs w:val="24"/>
        </w:rPr>
        <w:t xml:space="preserve">) (PGS) scaffolds containing both </w:t>
      </w:r>
      <w:proofErr w:type="spellStart"/>
      <w:r w:rsidRPr="00610A40">
        <w:rPr>
          <w:color w:val="auto"/>
          <w:szCs w:val="24"/>
        </w:rPr>
        <w:t>macropores</w:t>
      </w:r>
      <w:proofErr w:type="spellEnd"/>
      <w:r w:rsidRPr="00610A40">
        <w:rPr>
          <w:color w:val="auto"/>
          <w:szCs w:val="24"/>
        </w:rPr>
        <w:t xml:space="preserve"> and </w:t>
      </w:r>
      <w:proofErr w:type="spellStart"/>
      <w:r w:rsidRPr="00610A40">
        <w:rPr>
          <w:color w:val="auto"/>
          <w:szCs w:val="24"/>
        </w:rPr>
        <w:t>micropores</w:t>
      </w:r>
      <w:proofErr w:type="spellEnd"/>
      <w:r w:rsidRPr="00610A40">
        <w:rPr>
          <w:color w:val="auto"/>
          <w:szCs w:val="24"/>
        </w:rPr>
        <w:t xml:space="preserve"> can be generated using sodium chloride crystals. The removal of salt particles creates the interconnected </w:t>
      </w:r>
      <w:proofErr w:type="spellStart"/>
      <w:r w:rsidRPr="00610A40">
        <w:rPr>
          <w:color w:val="auto"/>
          <w:szCs w:val="24"/>
        </w:rPr>
        <w:t>macropores</w:t>
      </w:r>
      <w:proofErr w:type="spellEnd"/>
      <w:r w:rsidRPr="00610A40">
        <w:rPr>
          <w:color w:val="auto"/>
          <w:szCs w:val="24"/>
        </w:rPr>
        <w:t xml:space="preserve"> (75-150μm) while the partial evaporation of glycerol during curing results in </w:t>
      </w:r>
      <w:proofErr w:type="spellStart"/>
      <w:r w:rsidRPr="00610A40">
        <w:rPr>
          <w:color w:val="auto"/>
          <w:szCs w:val="24"/>
        </w:rPr>
        <w:t>micropores</w:t>
      </w:r>
      <w:proofErr w:type="spellEnd"/>
      <w:r w:rsidRPr="00610A40">
        <w:rPr>
          <w:color w:val="auto"/>
          <w:szCs w:val="24"/>
        </w:rPr>
        <w:t xml:space="preserve"> (5-20μm)</w:t>
      </w:r>
      <w:r w:rsidRPr="00610A40">
        <w:rPr>
          <w:color w:val="auto"/>
          <w:szCs w:val="24"/>
        </w:rPr>
        <w:fldChar w:fldCharType="begin" w:fldLock="1"/>
      </w:r>
      <w:r w:rsidR="00565E2A" w:rsidRPr="00610A40">
        <w:rPr>
          <w:color w:val="auto"/>
          <w:szCs w:val="24"/>
        </w:rPr>
        <w:instrText>ADDIN CSL_CITATION { "citationItems" : [ { "id" : "ITEM-1", "itemData" : { "DOI" : "doi: 10.1089/ten.2006.12.917", "ISSN" : "1076-3279", "abstract" : "Macroporous scaffolds are of great value in tissue engineering. We have developed a method to fabricate macroporous scaffolds from a biocompatible and biodegradable elastomer, poly(glycerol sebacate) (PGS). This method is potentially very useful for soft tissue engineering. Our fabrication method produced macroporous scaffolds with extensive micropores. We fabricated flat scaffolds and tubular scaffolds of uniform thickness. This fabrication method demonstrated good control of variables such as pore size, porosity, and pore interconnectivity. Sodium chloride (salt) crystals, which served as solid porogens, were packed into a mold and fused in a humid chamber. PGS was cured while dispersed throughout the fused salt template. Dissolution of the salt and subsequent lyophilization produced elastomer sponges with approximately 90% porosity, interconnected macropores (75?150 \u00b5m), and extensive micropores (5?20 \u00b5m). The macropores were generated by the salt particles, while the micropores were likely generated by glycerol vapor formed during PGS curing. Such numerous micropores could facilitate cell-cell interactions and mass transport. Fibroblasts adhered to and proliferated well within the PGS scaffolds and formed three-dimensional tissue-engineered constructs within 8 days.", "author" : [ { "dropping-particle" : "", "family" : "Gao", "given" : "Jin", "non-dropping-particle" : "", "parse-names" : false, "suffix" : "" }, { "dropping-particle" : "", "family" : "Crapo", "given" : "Peter", "non-dropping-particle" : "", "parse-names" : false, "suffix" : "" }, { "dropping-particle" : "", "family" : "Wang", "given" : "Yadong", "non-dropping-particle" : "", "parse-names" : false, "suffix" : "" } ], "container-title" : "Tissue Engineering", "id" : "ITEM-1", "issue" : "4", "issued" : { "date-parts" : [ [ "2006", "4", "1" ] ] }, "page" : "917-925", "publisher" : "Mary Ann Liebert, Inc., publishers", "title" : "Macroporous Elastomeric Scaffolds with Extensive Micropores for Soft Tissue Engineering", "type" : "article-journal", "volume" : "12" }, "uris" : [ "http://www.mendeley.com/documents/?uuid=3e0703c3-1f3e-4780-ae16-5721ddee2908" ] } ], "mendeley" : { "formattedCitation" : "&lt;sup&gt;108&lt;/sup&gt;", "plainTextFormattedCitation" : "108", "previouslyFormattedCitation" : "&lt;sup&gt;107&lt;/sup&gt;"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108</w:t>
      </w:r>
      <w:r w:rsidRPr="00610A40">
        <w:rPr>
          <w:color w:val="auto"/>
          <w:szCs w:val="24"/>
        </w:rPr>
        <w:fldChar w:fldCharType="end"/>
      </w:r>
      <w:r w:rsidRPr="00610A40">
        <w:rPr>
          <w:color w:val="auto"/>
          <w:szCs w:val="24"/>
        </w:rPr>
        <w:t>.  Scaffolds can have "open pore" microarchitecture when wet and "collapsed pore" structure when dry. Dramatic decrease in porosity (85% to 10%) can occur when the scaffold undergoes processes such as freeze-drying</w:t>
      </w:r>
      <w:r w:rsidRPr="00610A40">
        <w:rPr>
          <w:color w:val="auto"/>
          <w:szCs w:val="24"/>
        </w:rPr>
        <w:fldChar w:fldCharType="begin" w:fldLock="1"/>
      </w:r>
      <w:r w:rsidR="00565E2A" w:rsidRPr="00610A40">
        <w:rPr>
          <w:color w:val="auto"/>
          <w:szCs w:val="24"/>
        </w:rPr>
        <w:instrText>ADDIN CSL_CITATION { "citationItems" : [ { "id" : "ITEM-1", "itemData" : { "DOI" : "10.1002/adma.200801132", "ISBN" : "0935-9648", "ISSN" : "09359648", "abstract" : "A nanoporous biodegradable elastomer based on citric acid is described. Nanopores are used to control the mechanical and degradation properties of the elastomer. Furthermore, macromolecular drugs can be entrapped under mild conditions via pore collapse, which also delays the release of the drug. The nanoporous elastomer is biocompatible and a promising platform technology for engineering soft tissues.", "author" : [ { "dropping-particle" : "", "family" : "Hoshi", "given" : "Ryan a.", "non-dropping-particle" : "", "parse-names" : false, "suffix" : "" }, { "dropping-particle" : "", "family" : "Behl", "given" : "Saloni", "non-dropping-particle" : "", "parse-names" : false, "suffix" : "" }, { "dropping-particle" : "", "family" : "Ameer", "given" : "Guillermo a.", "non-dropping-particle" : "", "parse-names" : false, "suffix" : "" } ], "container-title" : "Advanced Materials", "id" : "ITEM-1", "issue" : "2", "issued" : { "date-parts" : [ [ "2009" ] ] }, "page" : "188-192", "title" : "Nanoporous biodegradable elastomers", "type" : "article-journal", "volume" : "21" }, "uris" : [ "http://www.mendeley.com/documents/?uuid=e8fe4e6e-415f-49aa-8c51-1084a71d70d6" ] } ], "mendeley" : { "formattedCitation" : "&lt;sup&gt;109&lt;/sup&gt;", "plainTextFormattedCitation" : "109", "previouslyFormattedCitation" : "&lt;sup&gt;108&lt;/sup&gt;"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109</w:t>
      </w:r>
      <w:r w:rsidRPr="00610A40">
        <w:rPr>
          <w:color w:val="auto"/>
          <w:szCs w:val="24"/>
        </w:rPr>
        <w:fldChar w:fldCharType="end"/>
      </w:r>
      <w:r w:rsidRPr="00610A40">
        <w:rPr>
          <w:bCs/>
          <w:color w:val="auto"/>
          <w:szCs w:val="24"/>
        </w:rPr>
        <w:t>.</w:t>
      </w:r>
      <w:r w:rsidRPr="00610A40">
        <w:rPr>
          <w:b/>
          <w:bCs/>
          <w:color w:val="auto"/>
          <w:szCs w:val="24"/>
        </w:rPr>
        <w:t> </w:t>
      </w:r>
      <w:r w:rsidRPr="00610A40">
        <w:rPr>
          <w:color w:val="auto"/>
          <w:szCs w:val="24"/>
        </w:rPr>
        <w:t xml:space="preserve">This closing of pores enables the encapsulation of therapeutics, allowing for a reduced burst release profile and more sustained </w:t>
      </w:r>
      <w:r w:rsidR="00E530BD" w:rsidRPr="00610A40">
        <w:rPr>
          <w:color w:val="auto"/>
          <w:szCs w:val="24"/>
        </w:rPr>
        <w:t xml:space="preserve">drug release.  </w:t>
      </w:r>
      <w:r w:rsidRPr="00610A40">
        <w:rPr>
          <w:color w:val="auto"/>
          <w:szCs w:val="24"/>
        </w:rPr>
        <w:t>Despite the ease of performing solvent casting in laboratories, it carries disadvantages which prevent industrial scaling-up. Large quantities of organic solvents are required for the dissolution of drugs and polymers leading to a more tedious and unsatisfactory step</w:t>
      </w:r>
      <w:r w:rsidRPr="00610A40">
        <w:rPr>
          <w:color w:val="auto"/>
          <w:szCs w:val="24"/>
        </w:rPr>
        <w:fldChar w:fldCharType="begin" w:fldLock="1"/>
      </w:r>
      <w:r w:rsidR="00565E2A" w:rsidRPr="00610A40">
        <w:rPr>
          <w:color w:val="auto"/>
          <w:szCs w:val="24"/>
        </w:rPr>
        <w:instrText>ADDIN CSL_CITATION { "citationItems" : [ { "id" : "ITEM-1", "itemData" : { "DOI" : "10.3390/polym3031377.Poly", "author" : [ { "dropping-particle" : "", "family" : "Makadia", "given" : "Hirenkumar K.", "non-dropping-particle" : "", "parse-names" : false, "suffix" : "" }, { "dropping-particle" : "", "family" : "Siegel", "given" : "Steven J.", "non-dropping-particle" : "", "parse-names" : false, "suffix" : "" } ], "container-title" : "Polymers", "id" : "ITEM-1", "issue" : "3", "issued" : { "date-parts" : [ [ "2011" ] ] }, "page" : "1377-1397", "title" : "Poly Lactic-co-Glycolic Acid (PLGA) as Biodegradable Controlled Drug Delivery Carrier", "type" : "article-journal", "volume" : "3" }, "uris" : [ "http://www.mendeley.com/documents/?uuid=c951c6fb-03ae-4896-9562-6a228aa8efb5" ] } ], "mendeley" : { "formattedCitation" : "&lt;sup&gt;110&lt;/sup&gt;", "plainTextFormattedCitation" : "110", "previouslyFormattedCitation" : "&lt;sup&gt;109&lt;/sup&gt;"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110</w:t>
      </w:r>
      <w:r w:rsidRPr="00610A40">
        <w:rPr>
          <w:color w:val="auto"/>
          <w:szCs w:val="24"/>
        </w:rPr>
        <w:fldChar w:fldCharType="end"/>
      </w:r>
      <w:r w:rsidRPr="00610A40">
        <w:rPr>
          <w:color w:val="auto"/>
          <w:szCs w:val="24"/>
        </w:rPr>
        <w:t>. The organic solvents can also denature the therapeutic compounds during the encapsulation step. The material becomes ineffective and may even cause immunogenicity and toxicity to the host. Lastly, batch-to-batch variation in the composition of the implants can be high.</w:t>
      </w:r>
    </w:p>
    <w:p w14:paraId="5C9927DA" w14:textId="77777777" w:rsidR="00CB7C43" w:rsidRPr="00610A40" w:rsidRDefault="00CB7C43" w:rsidP="00CB7C43">
      <w:pPr>
        <w:rPr>
          <w:color w:val="auto"/>
          <w:szCs w:val="24"/>
        </w:rPr>
      </w:pPr>
    </w:p>
    <w:p w14:paraId="7A9AB9B2" w14:textId="7A44B6D5" w:rsidR="00CB7C43" w:rsidRPr="00610A40" w:rsidRDefault="00CA2966" w:rsidP="00CB7C43">
      <w:pPr>
        <w:keepNext/>
        <w:keepLines/>
        <w:spacing w:before="200"/>
        <w:outlineLvl w:val="1"/>
        <w:rPr>
          <w:rFonts w:eastAsia="SimSun" w:cs="Times New Roman"/>
          <w:b/>
          <w:bCs/>
          <w:color w:val="auto"/>
          <w:szCs w:val="24"/>
        </w:rPr>
      </w:pPr>
      <w:r w:rsidRPr="00610A40">
        <w:rPr>
          <w:rFonts w:eastAsia="SimSun" w:cs="Times New Roman"/>
          <w:b/>
          <w:bCs/>
          <w:color w:val="auto"/>
          <w:szCs w:val="24"/>
        </w:rPr>
        <w:lastRenderedPageBreak/>
        <w:t>3</w:t>
      </w:r>
      <w:r w:rsidR="00CB7C43" w:rsidRPr="00610A40">
        <w:rPr>
          <w:rFonts w:eastAsia="SimSun" w:cs="Times New Roman"/>
          <w:b/>
          <w:bCs/>
          <w:color w:val="auto"/>
          <w:szCs w:val="24"/>
        </w:rPr>
        <w:t>.2 Compression Molding, Injection Molding and Extrusion  </w:t>
      </w:r>
    </w:p>
    <w:p w14:paraId="35BFCB22" w14:textId="2034466F" w:rsidR="00CB7C43" w:rsidRPr="00610A40" w:rsidRDefault="00CB7C43" w:rsidP="00CB7C43">
      <w:pPr>
        <w:rPr>
          <w:color w:val="auto"/>
          <w:szCs w:val="24"/>
        </w:rPr>
      </w:pPr>
      <w:r w:rsidRPr="00610A40">
        <w:rPr>
          <w:color w:val="auto"/>
          <w:szCs w:val="24"/>
        </w:rPr>
        <w:t>Before compression molding, the preheated polymer and drug mixture is first casted in an open heated mold cavity. The mold is covered up with plug member such that the viscous polymer mixtures are forced to fill up the entire mold areas. Curing then occurs and the heat and pressure are maintained throughout curing. Quenching to room temperature can be done using cold water</w:t>
      </w:r>
      <w:r w:rsidRPr="00610A40">
        <w:rPr>
          <w:color w:val="auto"/>
          <w:szCs w:val="24"/>
        </w:rPr>
        <w:fldChar w:fldCharType="begin" w:fldLock="1"/>
      </w:r>
      <w:r w:rsidR="00565E2A" w:rsidRPr="00610A40">
        <w:rPr>
          <w:color w:val="auto"/>
          <w:szCs w:val="24"/>
        </w:rPr>
        <w:instrText>ADDIN CSL_CITATION { "citationItems" : [ { "id" : "ITEM-1", "itemData" : { "DOI" : "10.1002/jbm.a.32921", "ISSN" : "1552-4965", "abstract" : "The in vivo erosion behavior of crosslinked (co)polymers based on trimethylene carbonate (TMC) and \u03b5-caprolactone (CL) was investigated. High molecular weight poly(trimethylene carbonate) (PTMC) homopolymer- and copolymer films were crosslinked by gamma irradiation. To adjust the in vivo erosion rate of the (co)polymer films, both the irradiation dose (25, 50, or 100 kGy) for PTMC and composition (100\u201370 mol % TMC) at a constant irradiation dose of 25 kGy were varied. After subcutaneous implantation of irradiated films in rats, their in vivo behavior was evaluated qualitatively and quantitatively. When the irradiation dose for PTMC was increased from 25 to 100 kGy, the erosion rate of nonextracted PTMC films (determined at day 5) decreased from 39.7 \u00b1 16.0 \u03bcm day\u22121 to 15.1 \u00b1 2.5 \u03bcm day\u22121, and the number of lymphocytes in the tissue surrounding the films decreased from 235 \u00b1 114 cells mm\u22122 to 64 \u00b1 33 cells mm\u22122. The number of macrophages and giant cells at the tissue\u2013polymer interface also decreased with increasing irradiation dose. All (co)polymer films eroded completely within 28 days of implantation. Variation of the TMC content of gamma irradiated (co)polymer films did not affect the tissue response to the gamma irradiated (co)polymer films and their in vivo erosion behavior much. \u00a9 2010 Wiley Periodicals, Inc. J Biomed Mater Res Part A, 2010.", "author" : [ { "dropping-particle" : "", "family" : "Bat", "given" : "Erhan", "non-dropping-particle" : "", "parse-names" : false, "suffix" : "" }, { "dropping-particle" : "", "family" : "Plantinga", "given" : "Jos\u00e9e A", "non-dropping-particle" : "", "parse-names" : false, "suffix" : "" }, { "dropping-particle" : "", "family" : "Harmsen", "given" : "Martin C", "non-dropping-particle" : "", "parse-names" : false, "suffix" : "" }, { "dropping-particle" : "", "family" : "Luyn", "given" : "Marja J A", "non-dropping-particle" : "van", "parse-names" : false, "suffix" : "" }, { "dropping-particle" : "", "family" : "Feijen", "given" : "Jan", "non-dropping-particle" : "", "parse-names" : false, "suffix" : "" }, { "dropping-particle" : "", "family" : "Grijpma", "given" : "Dirk W", "non-dropping-particle" : "", "parse-names" : false, "suffix" : "" } ], "container-title" : "Journal of Biomedical Materials Research Part A", "id" : "ITEM-1", "issue" : "3", "issued" : { "date-parts" : [ [ "2010", "12", "1" ] ] }, "page" : "940-949", "publisher" : "Wiley Subscription Services, Inc., A Wiley Company", "title" : "In vivo behavior of trimethylene carbonate and \u03b5-caprolactone-based (co)polymer networks: Degradation and tissue response", "type" : "article-journal", "volume" : "95A" }, "uris" : [ "http://www.mendeley.com/documents/?uuid=872d738f-461a-486d-9d32-34f419828fa4" ] } ], "mendeley" : { "formattedCitation" : "&lt;sup&gt;75&lt;/sup&gt;", "plainTextFormattedCitation" : "75", "previouslyFormattedCitation" : "&lt;sup&gt;74&lt;/sup&gt;"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75</w:t>
      </w:r>
      <w:r w:rsidRPr="00610A40">
        <w:rPr>
          <w:color w:val="auto"/>
          <w:szCs w:val="24"/>
        </w:rPr>
        <w:fldChar w:fldCharType="end"/>
      </w:r>
      <w:r w:rsidRPr="00610A40">
        <w:rPr>
          <w:color w:val="auto"/>
          <w:szCs w:val="24"/>
        </w:rPr>
        <w:t>.</w:t>
      </w:r>
      <w:r w:rsidRPr="00610A40">
        <w:rPr>
          <w:b/>
          <w:bCs/>
          <w:color w:val="auto"/>
          <w:szCs w:val="24"/>
        </w:rPr>
        <w:t> </w:t>
      </w:r>
      <w:r w:rsidR="00E530BD" w:rsidRPr="00610A40">
        <w:rPr>
          <w:color w:val="auto"/>
          <w:szCs w:val="24"/>
        </w:rPr>
        <w:t xml:space="preserve"> </w:t>
      </w:r>
      <w:r w:rsidRPr="00610A40">
        <w:rPr>
          <w:color w:val="auto"/>
          <w:szCs w:val="24"/>
        </w:rPr>
        <w:t>While fabricating complex scaffold which matches anatomical structures, polymer release from the mold with minimal alteration is challenging</w:t>
      </w:r>
      <w:r w:rsidRPr="00610A40">
        <w:rPr>
          <w:color w:val="auto"/>
          <w:szCs w:val="24"/>
        </w:rPr>
        <w:fldChar w:fldCharType="begin" w:fldLock="1"/>
      </w:r>
      <w:r w:rsidR="00565E2A" w:rsidRPr="00610A40">
        <w:rPr>
          <w:color w:val="auto"/>
          <w:szCs w:val="24"/>
        </w:rPr>
        <w:instrText>ADDIN CSL_CITATION { "citationItems" : [ { "id" : "ITEM-1", "itemData" : { "author" : [ { "dropping-particle" : "", "family" : "Pan", "given" : "Zhen", "non-dropping-particle" : "", "parse-names" : false, "suffix" : "" }, { "dropping-particle" : "", "family" : "Ding", "given" : "Jiandong", "non-dropping-particle" : "", "parse-names" : false, "suffix" : "" } ], "container-title" : "Interface Focus", "id" : "ITEM-1", "issue" : "March", "issued" : { "date-parts" : [ [ "2012" ] ] }, "page" : "366-377", "title" : "Poly (lactide-co-glycolide) porous scaffolds for tissue engineering and regenerative medicine", "type" : "article-journal", "volume" : "2" }, "uris" : [ "http://www.mendeley.com/documents/?uuid=4bee75ee-39a5-45ac-94a2-ec05492d3a75" ] } ], "mendeley" : { "formattedCitation" : "&lt;sup&gt;111&lt;/sup&gt;", "plainTextFormattedCitation" : "111", "previouslyFormattedCitation" : "&lt;sup&gt;110&lt;/sup&gt;"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111</w:t>
      </w:r>
      <w:r w:rsidRPr="00610A40">
        <w:rPr>
          <w:color w:val="auto"/>
          <w:szCs w:val="24"/>
        </w:rPr>
        <w:fldChar w:fldCharType="end"/>
      </w:r>
      <w:r w:rsidRPr="00610A40">
        <w:rPr>
          <w:color w:val="auto"/>
          <w:szCs w:val="24"/>
        </w:rPr>
        <w:t>. Compression molding can be done on specially made flexible-rigid combined mold which is conducive to scaffold shaping and release</w:t>
      </w:r>
      <w:r w:rsidRPr="00610A40">
        <w:rPr>
          <w:color w:val="auto"/>
          <w:szCs w:val="24"/>
        </w:rPr>
        <w:fldChar w:fldCharType="begin" w:fldLock="1"/>
      </w:r>
      <w:r w:rsidR="00565E2A" w:rsidRPr="00610A40">
        <w:rPr>
          <w:color w:val="auto"/>
          <w:szCs w:val="24"/>
        </w:rPr>
        <w:instrText>ADDIN CSL_CITATION { "citationItems" : [ { "id" : "ITEM-1", "itemData" : { "abstract" : "A novel method for the fabrication of complexly shaped three-dimensional porous scaffolds has been developed by combining modified compression molding and conventional particulate leaching. The resultant scaffolds of various shapes, including some shaped like auricles, were made of hydrophobic biodegradable and bioresorbable poly(D,L-lactic acid) (PDLLA) and poly(D,L-lactic-co-glycolic acid) (PLGA). A polymer-particulate mixture was first prepared by the conventional solvent casting method and then compressively molded in a specially designed flexible-rigid combined mold which facilitates shaping and mold release during the fabrication process. The molding was carried out at a moderate temperature, above the glass transition temperature and below the flow temperature of these amorphous polymers. A porous scaffold was then obtained after particulate leaching. The pores are highly interconnected and uniformly distributed both in the bulk and on the external surface of the scaffolds, and the porosity can exceed 90%. The mechanical properties of the resultant porous scaffolds are satisfactory as determined by measurements of compressive modulus and compressive stress at 10% strain. Good viability of cells seeded in the porous scaffolds was confirmed. This novel fabrication method is promising in tissue engineering because of its ability to produce precise and complexly (anatomically) shaped porous scaffolds.", "author" : [ { "dropping-particle" : "", "family" : "Wu", "given" : "Linbo", "non-dropping-particle" : "", "parse-names" : false, "suffix" : "" }, { "dropping-particle" : "", "family" : "Zhang", "given" : "Hong", "non-dropping-particle" : "", "parse-names" : false, "suffix" : "" }, { "dropping-particle" : "", "family" : "Zhang", "given" : "Junchuan", "non-dropping-particle" : "", "parse-names" : false, "suffix" : "" }, { "dropping-particle" : "", "family" : "Ding", "given" : "Jiandong", "non-dropping-particle" : "", "parse-names" : false, "suffix" : "" } ], "container-title" : "Tissue Engineering", "id" : "ITEM-1", "issue" : "7-8", "issued" : { "date-parts" : [ [ "2005" ] ] }, "page" : "1105-1114", "title" : "Fabrication of Three-Dimensional Porous Scaffolds of Complicated Shape for Tissue Engineering. I. Compression Molding Based on Flexible\u2013Rigid Combined Mold", "type" : "article-journal", "volume" : "11" }, "uris" : [ "http://www.mendeley.com/documents/?uuid=83fad0aa-b555-4c03-b03b-5297434e1a16" ] } ], "mendeley" : { "formattedCitation" : "&lt;sup&gt;112&lt;/sup&gt;", "plainTextFormattedCitation" : "112", "previouslyFormattedCitation" : "&lt;sup&gt;111&lt;/sup&gt;"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112</w:t>
      </w:r>
      <w:r w:rsidRPr="00610A40">
        <w:rPr>
          <w:color w:val="auto"/>
          <w:szCs w:val="24"/>
        </w:rPr>
        <w:fldChar w:fldCharType="end"/>
      </w:r>
      <w:r w:rsidRPr="00610A40">
        <w:rPr>
          <w:color w:val="auto"/>
          <w:szCs w:val="24"/>
        </w:rPr>
        <w:t>. Only moderate temperature above the glass transition temperature and below the flow temperature is required. Room temperature compression molding with particle leaching is also possible using solvent assistance</w:t>
      </w:r>
      <w:r w:rsidRPr="00610A40">
        <w:rPr>
          <w:color w:val="auto"/>
          <w:szCs w:val="24"/>
        </w:rPr>
        <w:fldChar w:fldCharType="begin" w:fldLock="1"/>
      </w:r>
      <w:r w:rsidR="00565E2A" w:rsidRPr="00610A40">
        <w:rPr>
          <w:color w:val="auto"/>
          <w:szCs w:val="24"/>
        </w:rPr>
        <w:instrText>ADDIN CSL_CITATION { "citationItems" : [ { "id" : "ITEM-1", "itemData" : { "DOI" : "10.1002/mabi.200600079", "ISSN" : "1616-5195", "abstract" : "Summary: This study investigated the room-temperature compression molding/particle leaching approach to fabricate three-dimensional porous scaffolds for tissue engineering. Scaffolds with anatomical shapes (ear, joint, tube, cylinder) were made from biodegradable poly(D,L-lactide) and poly[(D,L-lactide)-co-glycolide]. The utility of this room-temperature compression approach comes from the effect of solvent assistance, but the tendency for post-molding scaffold shrinkage is a problem unique to this method and is thus examined with emphasis in this paper. Scaffold shrinkage was found to be tolerable under normal fabrication conditions with high salt contents, which is just what the preparation of highly porous scaffolds requires. Furthermore, the resultant porosities after salt leaching were measured as well as the initial scaffold shrinkages after solvent evaporation, and the relation between them was revealed by theoretical analysis and confirmed by comparison with experimental measurements. The pores were interconnected, and porosity can exceed 90%. The effects of porosity on the mechanical properties of porous scaffolds were also investigated. This convenient fabrication approach is a prospective method for the tailoring of porous scaffolds for a variety of possible applications in tissue engineering and tissue reconstruction. Typical poly[(D,L-lactide)-co-glycolide] (PLGA) porous scaffolds with complicated shapes (ear, joint, tube, cylinder) fabricated by room-temperature compression molding and particulate leaching (RTCM/PL) approach.", "author" : [ { "dropping-particle" : "", "family" : "Jing", "given" : "Dianying", "non-dropping-particle" : "", "parse-names" : false, "suffix" : "" }, { "dropping-particle" : "", "family" : "Wu", "given" : "Linbo", "non-dropping-particle" : "", "parse-names" : false, "suffix" : "" }, { "dropping-particle" : "", "family" : "Ding", "given" : "Jiandong", "non-dropping-particle" : "", "parse-names" : false, "suffix" : "" } ], "container-title" : "Macromolecular Bioscience", "id" : "ITEM-1", "issue" : "9", "issued" : { "date-parts" : [ [ "2006", "9", "15" ] ] }, "page" : "747-757", "publisher" : "WILEY-VCH Verlag", "title" : "Solvent-Assisted Room-Temperature Compression Molding Approach to Fabricate Porous Scaffolds for Tissue Engineering", "type" : "article-journal", "volume" : "6" }, "uris" : [ "http://www.mendeley.com/documents/?uuid=0d128596-bb21-45a1-93d1-e967e9f5ecf3" ] } ], "mendeley" : { "formattedCitation" : "&lt;sup&gt;113&lt;/sup&gt;", "plainTextFormattedCitation" : "113", "previouslyFormattedCitation" : "&lt;sup&gt;112&lt;/sup&gt;"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113</w:t>
      </w:r>
      <w:r w:rsidRPr="00610A40">
        <w:rPr>
          <w:color w:val="auto"/>
          <w:szCs w:val="24"/>
        </w:rPr>
        <w:fldChar w:fldCharType="end"/>
      </w:r>
      <w:r w:rsidRPr="00610A40">
        <w:rPr>
          <w:color w:val="auto"/>
          <w:szCs w:val="24"/>
        </w:rPr>
        <w:t xml:space="preserve">. Two solvents are necessary - one dissolves the polymer but not the </w:t>
      </w:r>
      <w:proofErr w:type="spellStart"/>
      <w:r w:rsidRPr="00610A40">
        <w:rPr>
          <w:color w:val="auto"/>
          <w:szCs w:val="24"/>
        </w:rPr>
        <w:t>porogen</w:t>
      </w:r>
      <w:proofErr w:type="spellEnd"/>
      <w:r w:rsidRPr="00610A40">
        <w:rPr>
          <w:color w:val="auto"/>
          <w:szCs w:val="24"/>
        </w:rPr>
        <w:t xml:space="preserve"> (organic solvent) while the other dissolves the </w:t>
      </w:r>
      <w:proofErr w:type="spellStart"/>
      <w:r w:rsidRPr="00610A40">
        <w:rPr>
          <w:color w:val="auto"/>
          <w:szCs w:val="24"/>
        </w:rPr>
        <w:t>porogen</w:t>
      </w:r>
      <w:proofErr w:type="spellEnd"/>
      <w:r w:rsidRPr="00610A40">
        <w:rPr>
          <w:color w:val="auto"/>
          <w:szCs w:val="24"/>
        </w:rPr>
        <w:t xml:space="preserve"> but not the polymer (water). The mixture of concentrated polymer solution and salt particle is tightly compressed at room temperature before undergoing solvent and salt removal. The caveat of this approach is that the scaffold will shrink after solvent</w:t>
      </w:r>
      <w:r w:rsidR="00E530BD" w:rsidRPr="00610A40">
        <w:rPr>
          <w:color w:val="auto"/>
          <w:szCs w:val="24"/>
        </w:rPr>
        <w:t xml:space="preserve"> evaporation. </w:t>
      </w:r>
      <w:r w:rsidRPr="00610A40">
        <w:rPr>
          <w:color w:val="auto"/>
          <w:szCs w:val="24"/>
        </w:rPr>
        <w:t xml:space="preserve">Injectable polymers such as </w:t>
      </w:r>
      <w:r w:rsidR="00D605E6" w:rsidRPr="00610A40">
        <w:rPr>
          <w:color w:val="auto"/>
          <w:szCs w:val="24"/>
        </w:rPr>
        <w:t xml:space="preserve">poly (propylene </w:t>
      </w:r>
      <w:proofErr w:type="spellStart"/>
      <w:r w:rsidR="00D605E6" w:rsidRPr="00610A40">
        <w:rPr>
          <w:color w:val="auto"/>
          <w:szCs w:val="24"/>
        </w:rPr>
        <w:t>fumarate</w:t>
      </w:r>
      <w:proofErr w:type="spellEnd"/>
      <w:r w:rsidR="00D605E6" w:rsidRPr="00610A40">
        <w:rPr>
          <w:color w:val="auto"/>
          <w:szCs w:val="24"/>
        </w:rPr>
        <w:t xml:space="preserve">) </w:t>
      </w:r>
      <w:r w:rsidRPr="00610A40">
        <w:rPr>
          <w:color w:val="auto"/>
          <w:szCs w:val="24"/>
        </w:rPr>
        <w:t xml:space="preserve">(PPF) can be </w:t>
      </w:r>
      <w:proofErr w:type="spellStart"/>
      <w:r w:rsidRPr="00610A40">
        <w:rPr>
          <w:color w:val="auto"/>
          <w:szCs w:val="24"/>
        </w:rPr>
        <w:t>crosslinked</w:t>
      </w:r>
      <w:proofErr w:type="spellEnd"/>
      <w:r w:rsidRPr="00610A40">
        <w:rPr>
          <w:color w:val="auto"/>
          <w:szCs w:val="24"/>
        </w:rPr>
        <w:t xml:space="preserve"> on site post-injection, via chemical reactions or photocrosslinking</w:t>
      </w:r>
      <w:r w:rsidRPr="00610A40">
        <w:rPr>
          <w:color w:val="auto"/>
          <w:szCs w:val="24"/>
        </w:rPr>
        <w:fldChar w:fldCharType="begin" w:fldLock="1"/>
      </w:r>
      <w:r w:rsidR="00565E2A" w:rsidRPr="00610A40">
        <w:rPr>
          <w:color w:val="auto"/>
          <w:szCs w:val="24"/>
        </w:rPr>
        <w:instrText>ADDIN CSL_CITATION { "citationItems" : [ { "id" : "ITEM-1", "itemData" : { "author" : [ { "dropping-particle" : "", "family" : "Lee", "given" : "Kee-won", "non-dropping-particle" : "", "parse-names" : false, "suffix" : "" }, { "dropping-particle" : "", "family" : "Wang", "given" : "Shanfeng", "non-dropping-particle" : "", "parse-names" : false, "suffix" : "" }, { "dropping-particle" : "", "family" : "Lu", "given" : "Lichun", "non-dropping-particle" : "", "parse-names" : false, "suffix" : "" }, { "dropping-particle" : "", "family" : "Jabbari", "given" : "Esmaiel", "non-dropping-particle" : "", "parse-names" : false, "suffix" : "" }, { "dropping-particle" : "", "family" : "Currier", "given" : "Bradford L", "non-dropping-particle" : "", "parse-names" : false, "suffix" : "" }, { "dropping-particle" : "", "family" : "Yaszemski", "given" : "Michael J", "non-dropping-particle" : "", "parse-names" : false, "suffix" : "" } ], "container-title" : "Tissue Eng.", "id" : "ITEM-1", "issue" : "10", "issued" : { "date-parts" : [ [ "2006" ] ] }, "page" : "2801-2811", "title" : "Fabrication and Characterization of Poly(Propylene Fumarate) Scaffolds with Controlled Pore Structures Using 3-Dimensional Printing and Injection Molding", "type" : "article-journal", "volume" : "12" }, "uris" : [ "http://www.mendeley.com/documents/?uuid=39c4d012-b435-44a1-87ef-bbb0ed4e0657" ] } ], "mendeley" : { "formattedCitation" : "&lt;sup&gt;114&lt;/sup&gt;", "plainTextFormattedCitation" : "114", "previouslyFormattedCitation" : "&lt;sup&gt;113&lt;/sup&gt;"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114</w:t>
      </w:r>
      <w:r w:rsidRPr="00610A40">
        <w:rPr>
          <w:color w:val="auto"/>
          <w:szCs w:val="24"/>
        </w:rPr>
        <w:fldChar w:fldCharType="end"/>
      </w:r>
      <w:r w:rsidRPr="00610A40">
        <w:rPr>
          <w:color w:val="auto"/>
          <w:szCs w:val="24"/>
        </w:rPr>
        <w:t>. 3D-printed constructs are first created and then these polymers are injected to fill up cavities of specific geometries. After crosslinking to form the scaffold, the supporting materials are removed. Highly porous scaffolds of complicated shapes can be made with high precision and reproducibility at room temperature</w:t>
      </w:r>
      <w:r w:rsidRPr="00610A40">
        <w:rPr>
          <w:color w:val="auto"/>
          <w:szCs w:val="24"/>
        </w:rPr>
        <w:fldChar w:fldCharType="begin" w:fldLock="1"/>
      </w:r>
      <w:r w:rsidR="00565E2A" w:rsidRPr="00610A40">
        <w:rPr>
          <w:color w:val="auto"/>
          <w:szCs w:val="24"/>
        </w:rPr>
        <w:instrText>ADDIN CSL_CITATION { "citationItems" : [ { "id" : "ITEM-1", "itemData" : { "author" : [ { "dropping-particle" : "", "family" : "Pan", "given" : "Zhen", "non-dropping-particle" : "", "parse-names" : false, "suffix" : "" }, { "dropping-particle" : "", "family" : "Ding", "given" : "Jiandong", "non-dropping-particle" : "", "parse-names" : false, "suffix" : "" } ], "container-title" : "Interface Focus", "id" : "ITEM-1", "issue" : "March", "issued" : { "date-parts" : [ [ "2012" ] ] }, "page" : "366-377", "title" : "Poly (lactide-co-glycolide) porous scaffolds for tissue engineering and regenerative medicine", "type" : "article-journal", "volume" : "2" }, "uris" : [ "http://www.mendeley.com/documents/?uuid=4bee75ee-39a5-45ac-94a2-ec05492d3a75" ] } ], "mendeley" : { "formattedCitation" : "&lt;sup&gt;111&lt;/sup&gt;", "plainTextFormattedCitation" : "111", "previouslyFormattedCitation" : "&lt;sup&gt;110&lt;/sup&gt;"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111</w:t>
      </w:r>
      <w:r w:rsidRPr="00610A40">
        <w:rPr>
          <w:color w:val="auto"/>
          <w:szCs w:val="24"/>
        </w:rPr>
        <w:fldChar w:fldCharType="end"/>
      </w:r>
      <w:r w:rsidRPr="00610A40">
        <w:rPr>
          <w:color w:val="auto"/>
          <w:szCs w:val="24"/>
        </w:rPr>
        <w:t>.</w:t>
      </w:r>
      <w:r w:rsidRPr="00610A40">
        <w:rPr>
          <w:b/>
          <w:bCs/>
          <w:color w:val="auto"/>
          <w:szCs w:val="24"/>
        </w:rPr>
        <w:t> </w:t>
      </w:r>
      <w:r w:rsidRPr="00610A40">
        <w:rPr>
          <w:color w:val="auto"/>
          <w:szCs w:val="24"/>
        </w:rPr>
        <w:t>This avoids degradation from heat or the need for high pressure as in compression molding. </w:t>
      </w:r>
      <w:r w:rsidR="00E530BD" w:rsidRPr="00610A40">
        <w:rPr>
          <w:color w:val="auto"/>
          <w:szCs w:val="24"/>
        </w:rPr>
        <w:t xml:space="preserve"> </w:t>
      </w:r>
      <w:r w:rsidRPr="00610A40">
        <w:rPr>
          <w:color w:val="auto"/>
          <w:szCs w:val="24"/>
        </w:rPr>
        <w:t>Extrusion</w:t>
      </w:r>
      <w:r w:rsidR="00E530BD" w:rsidRPr="00610A40">
        <w:rPr>
          <w:color w:val="auto"/>
          <w:szCs w:val="24"/>
        </w:rPr>
        <w:t xml:space="preserve"> is a solvent-free method which</w:t>
      </w:r>
      <w:r w:rsidRPr="00610A40">
        <w:rPr>
          <w:color w:val="auto"/>
          <w:szCs w:val="24"/>
        </w:rPr>
        <w:t xml:space="preserve"> involves pushing a polymer-drug mixture through a die to generate scaffolds with fixed cross-sectional designs. The polymer-drug mixture is maintained in a semi-liquid state via heat or </w:t>
      </w:r>
      <w:r w:rsidRPr="00610A40">
        <w:rPr>
          <w:color w:val="auto"/>
          <w:szCs w:val="24"/>
        </w:rPr>
        <w:lastRenderedPageBreak/>
        <w:t xml:space="preserve">shear stress from the extrusion screw. The </w:t>
      </w:r>
      <w:proofErr w:type="spellStart"/>
      <w:r w:rsidRPr="00610A40">
        <w:rPr>
          <w:color w:val="auto"/>
          <w:szCs w:val="24"/>
        </w:rPr>
        <w:t>extrudate</w:t>
      </w:r>
      <w:proofErr w:type="spellEnd"/>
      <w:r w:rsidRPr="00610A40">
        <w:rPr>
          <w:color w:val="auto"/>
          <w:szCs w:val="24"/>
        </w:rPr>
        <w:t xml:space="preserve"> is subsequently cooled down and solidified. Finally, the implants with specific dimension requirements will be cut out. The disadvantage of hot extrusion is the denaturation of therapeutics and scaffold material can occur</w:t>
      </w:r>
      <w:r w:rsidRPr="00610A40">
        <w:rPr>
          <w:color w:val="auto"/>
          <w:szCs w:val="24"/>
        </w:rPr>
        <w:fldChar w:fldCharType="begin" w:fldLock="1"/>
      </w:r>
      <w:r w:rsidR="00565E2A" w:rsidRPr="00610A40">
        <w:rPr>
          <w:color w:val="auto"/>
          <w:szCs w:val="24"/>
        </w:rPr>
        <w:instrText>ADDIN CSL_CITATION { "citationItems" : [ { "id" : "ITEM-1", "itemData" : { "DOI" : "10.3390/polym3031377.Poly", "author" : [ { "dropping-particle" : "", "family" : "Makadia", "given" : "Hirenkumar K.", "non-dropping-particle" : "", "parse-names" : false, "suffix" : "" }, { "dropping-particle" : "", "family" : "Siegel", "given" : "Steven J.", "non-dropping-particle" : "", "parse-names" : false, "suffix" : "" } ], "container-title" : "Polymers", "id" : "ITEM-1", "issue" : "3", "issued" : { "date-parts" : [ [ "2011" ] ] }, "page" : "1377-1397", "title" : "Poly Lactic-co-Glycolic Acid (PLGA) as Biodegradable Controlled Drug Delivery Carrier", "type" : "article-journal", "volume" : "3" }, "uris" : [ "http://www.mendeley.com/documents/?uuid=c951c6fb-03ae-4896-9562-6a228aa8efb5" ] } ], "mendeley" : { "formattedCitation" : "&lt;sup&gt;110&lt;/sup&gt;", "plainTextFormattedCitation" : "110", "previouslyFormattedCitation" : "&lt;sup&gt;109&lt;/sup&gt;"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110</w:t>
      </w:r>
      <w:r w:rsidRPr="00610A40">
        <w:rPr>
          <w:color w:val="auto"/>
          <w:szCs w:val="24"/>
        </w:rPr>
        <w:fldChar w:fldCharType="end"/>
      </w:r>
      <w:r w:rsidRPr="00610A40">
        <w:rPr>
          <w:color w:val="auto"/>
          <w:szCs w:val="24"/>
        </w:rPr>
        <w:t>.</w:t>
      </w:r>
    </w:p>
    <w:p w14:paraId="19E09E2A" w14:textId="77777777" w:rsidR="00CB7C43" w:rsidRPr="00610A40" w:rsidRDefault="00CB7C43" w:rsidP="00CB7C43">
      <w:pPr>
        <w:rPr>
          <w:color w:val="auto"/>
          <w:szCs w:val="24"/>
        </w:rPr>
      </w:pPr>
    </w:p>
    <w:p w14:paraId="592062C9" w14:textId="39270AC8" w:rsidR="00CB7C43" w:rsidRPr="00610A40" w:rsidRDefault="00CA2966" w:rsidP="00CB7C43">
      <w:pPr>
        <w:keepNext/>
        <w:keepLines/>
        <w:spacing w:before="200"/>
        <w:outlineLvl w:val="1"/>
        <w:rPr>
          <w:rFonts w:eastAsia="SimSun" w:cs="Times New Roman"/>
          <w:b/>
          <w:bCs/>
          <w:color w:val="auto"/>
          <w:szCs w:val="24"/>
        </w:rPr>
      </w:pPr>
      <w:r w:rsidRPr="00610A40">
        <w:rPr>
          <w:rFonts w:eastAsia="SimSun" w:cs="Times New Roman"/>
          <w:b/>
          <w:bCs/>
          <w:color w:val="auto"/>
          <w:szCs w:val="24"/>
        </w:rPr>
        <w:t>3</w:t>
      </w:r>
      <w:r w:rsidR="00CB7C43" w:rsidRPr="00610A40">
        <w:rPr>
          <w:rFonts w:eastAsia="SimSun" w:cs="Times New Roman"/>
          <w:b/>
          <w:bCs/>
          <w:color w:val="auto"/>
          <w:szCs w:val="24"/>
        </w:rPr>
        <w:t>.3 Replica Molding </w:t>
      </w:r>
    </w:p>
    <w:p w14:paraId="4A7A9555" w14:textId="34D9AC0A" w:rsidR="00CB7C43" w:rsidRPr="00610A40" w:rsidRDefault="00CB7C43" w:rsidP="00CB7C43">
      <w:pPr>
        <w:rPr>
          <w:color w:val="auto"/>
          <w:szCs w:val="24"/>
        </w:rPr>
      </w:pPr>
      <w:r w:rsidRPr="00610A40">
        <w:rPr>
          <w:color w:val="auto"/>
          <w:szCs w:val="24"/>
        </w:rPr>
        <w:t>Replica molding can be used to produce scaffolds with desired surface topography. This technique can precisely generate sub-micron surface features so that the impact of topographical cues on cell orientation and morphology can be studied</w:t>
      </w:r>
      <w:r w:rsidRPr="00610A40">
        <w:rPr>
          <w:color w:val="auto"/>
          <w:szCs w:val="24"/>
        </w:rPr>
        <w:fldChar w:fldCharType="begin" w:fldLock="1"/>
      </w:r>
      <w:r w:rsidR="00565E2A" w:rsidRPr="00610A40">
        <w:rPr>
          <w:color w:val="auto"/>
          <w:szCs w:val="24"/>
        </w:rPr>
        <w:instrText>ADDIN CSL_CITATION { "citationItems" : [ { "id" : "ITEM-1", "itemData" : { "DOI" : "10.1016/j.biomaterials.2005.11.029", "ISBN" : "0142-9612", "ISSN" : "0142-9612", "PMID" : "16386300", "abstract" : "Controlling cell orientation and morphology through topographical patterning is a phenomenon that is applicable to a wide variety of medical applications such as implants and tissue engineering scaffolds. Previous work in this field, termed contact guidance, has demonstrated the application of this cellular response on a wide variety of material substrates such as silicon, quartz, glass, and poly(di-methyl siloxane) typically using ridge-groove geometries with sharp feature edges. One limitation of these studies in terms of biomedical applications is the choice of material. Therefore, demonstrating contact guidance and topography in a biodegradable material platform is a promising strategy for controlling cellular arrangements in tissue engineering scaffolds. This study investigates several strategies to advance contact guidance strategies and technology to more practical applications. Flexible biodegradable substrates with rounded features were fabricated by replica-molding poly(glycerol-sebacate) on sucrose-coated microfabricated silicon. Bovine aortic endothelial cells were cultured on substrates with microstructures between 2 and 5 microm in wavelength and with constant feature depth of 0.45 microm. Cells cultured on substrates with smaller pitches exhibited a substantially higher frequency of cell alignment and smaller circularity index. This work documents the first known use of using a flexible, biodegradable substrate with rounded features for use in contact guidance applications. The replica-molding technique described here is a general process that can be used to fabricate topographically patterned substrates with rounded features for many biomaterials. Furthermore, these results may lead to further elucidation of the mechanism of cell alignment and contact guidance on microfabricated substrates.", "author" : [ { "dropping-particle" : "", "family" : "Bettinger", "given" : "Christopher J", "non-dropping-particle" : "", "parse-names" : false, "suffix" : "" }, { "dropping-particle" : "", "family" : "Orrick", "given" : "Brian", "non-dropping-particle" : "", "parse-names" : false, "suffix" : "" }, { "dropping-particle" : "", "family" : "Misra", "given" : "Asish", "non-dropping-particle" : "", "parse-names" : false, "suffix" : "" }, { "dropping-particle" : "", "family" : "Langer", "given" : "Robert", "non-dropping-particle" : "", "parse-names" : false, "suffix" : "" }, { "dropping-particle" : "", "family" : "Borenstein", "given" : "Jeffrey T", "non-dropping-particle" : "", "parse-names" : false, "suffix" : "" } ], "container-title" : "Biomaterials", "id" : "ITEM-1", "issue" : "12", "issued" : { "date-parts" : [ [ "2006" ] ] }, "page" : "2558-65", "title" : "Microfabrication of poly (glycerol-sebacate) for contact guidance applications.", "type" : "article-journal", "volume" : "27" }, "uris" : [ "http://www.mendeley.com/documents/?uuid=dec4ddf7-90b7-4eb4-8778-934423916180" ] } ], "mendeley" : { "formattedCitation" : "&lt;sup&gt;115&lt;/sup&gt;", "plainTextFormattedCitation" : "115", "previouslyFormattedCitation" : "&lt;sup&gt;114&lt;/sup&gt;"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115</w:t>
      </w:r>
      <w:r w:rsidRPr="00610A40">
        <w:rPr>
          <w:color w:val="auto"/>
          <w:szCs w:val="24"/>
        </w:rPr>
        <w:fldChar w:fldCharType="end"/>
      </w:r>
      <w:r w:rsidRPr="00610A40">
        <w:rPr>
          <w:color w:val="auto"/>
          <w:szCs w:val="24"/>
        </w:rPr>
        <w:t>.</w:t>
      </w:r>
      <w:r w:rsidRPr="00610A40">
        <w:rPr>
          <w:bCs/>
          <w:color w:val="auto"/>
          <w:szCs w:val="24"/>
        </w:rPr>
        <w:t xml:space="preserve"> For example, </w:t>
      </w:r>
      <w:proofErr w:type="spellStart"/>
      <w:r w:rsidRPr="00610A40">
        <w:rPr>
          <w:color w:val="auto"/>
          <w:szCs w:val="24"/>
        </w:rPr>
        <w:t>nanotopographic</w:t>
      </w:r>
      <w:proofErr w:type="spellEnd"/>
      <w:r w:rsidRPr="00610A40">
        <w:rPr>
          <w:color w:val="auto"/>
          <w:szCs w:val="24"/>
        </w:rPr>
        <w:t xml:space="preserve"> features have been shown to enhance primary rat hepatocytes attachment and proliferation under serum-free conditions</w:t>
      </w:r>
      <w:r w:rsidRPr="00610A40">
        <w:rPr>
          <w:color w:val="auto"/>
          <w:szCs w:val="24"/>
        </w:rPr>
        <w:fldChar w:fldCharType="begin" w:fldLock="1"/>
      </w:r>
      <w:r w:rsidR="00565E2A" w:rsidRPr="00610A40">
        <w:rPr>
          <w:color w:val="auto"/>
          <w:szCs w:val="24"/>
        </w:rPr>
        <w:instrText>ADDIN CSL_CITATION { "citationItems" : [ { "id" : "ITEM-1", "itemData" : { "DOI" : "10.1089/ten.tea.2008.0134", "ISBN" : "1937-3341", "ISSN" : "1937-3341", "PMID" : "18847357", "abstract" : "Synthetic substrates that mimic the properties of extracellular matrix proteins hold significant promise for use in systems designed for tissue engineering applications. In this report, we designed a synthetic polymeric substrate that is intended to mimic chemical, mechanical, and topological characteristics of collagen. We found that elastomeric poly(ester amide) substrates modified with replica-molded nanotopographic features enhanced initial attachment, spreading, and adhesion of primary rat hepatocytes. Further, hepatocytes cultured on nanotopographic substrates also demonstrated reduced albumin secretion and urea synthesis, which is indicative of strongly adherent hepatocytes. These results suggest that these engineered substrates can function as synthetic collagen analogs for in vitro cell culture.", "author" : [ { "dropping-particle" : "", "family" : "Bettinger", "given" : "Christopher J", "non-dropping-particle" : "", "parse-names" : false, "suffix" : "" }, { "dropping-particle" : "", "family" : "Kulig", "given" : "Katherine M", "non-dropping-particle" : "", "parse-names" : false, "suffix" : "" }, { "dropping-particle" : "", "family" : "Vacanti", "given" : "Joseph P", "non-dropping-particle" : "", "parse-names" : false, "suffix" : "" }, { "dropping-particle" : "", "family" : "Langer", "given" : "Robert", "non-dropping-particle" : "", "parse-names" : false, "suffix" : "" }, { "dropping-particle" : "", "family" : "Borenstein", "given" : "Jeffrey T", "non-dropping-particle" : "", "parse-names" : false, "suffix" : "" } ], "container-title" : "Tissue engineering. Part A", "id" : "ITEM-1", "issue" : "6", "issued" : { "date-parts" : [ [ "2009" ] ] }, "page" : "1321-1329", "title" : "Nanofabricated collagen-inspired synthetic elastomers for primary rat hepatocyte culture.", "type" : "article-journal", "volume" : "15" }, "uris" : [ "http://www.mendeley.com/documents/?uuid=e1a591c5-031c-4ff7-9913-546e3a420e50" ] } ], "mendeley" : { "formattedCitation" : "&lt;sup&gt;116&lt;/sup&gt;", "plainTextFormattedCitation" : "116", "previouslyFormattedCitation" : "&lt;sup&gt;115&lt;/sup&gt;"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116</w:t>
      </w:r>
      <w:r w:rsidRPr="00610A40">
        <w:rPr>
          <w:color w:val="auto"/>
          <w:szCs w:val="24"/>
        </w:rPr>
        <w:fldChar w:fldCharType="end"/>
      </w:r>
      <w:r w:rsidRPr="00610A40">
        <w:rPr>
          <w:color w:val="auto"/>
          <w:szCs w:val="24"/>
        </w:rPr>
        <w:t xml:space="preserve">. Negative mold silicon or </w:t>
      </w:r>
      <w:proofErr w:type="spellStart"/>
      <w:r w:rsidRPr="00610A40">
        <w:rPr>
          <w:color w:val="auto"/>
          <w:szCs w:val="24"/>
        </w:rPr>
        <w:t>polydimethylsiloxane</w:t>
      </w:r>
      <w:proofErr w:type="spellEnd"/>
      <w:r w:rsidRPr="00610A40">
        <w:rPr>
          <w:color w:val="auto"/>
          <w:szCs w:val="24"/>
        </w:rPr>
        <w:t xml:space="preserve"> (PDMS) masters are first created using standard photolithography and plasma-etching techniques. Sucrose is spin-coated onto the masters as a sacrificial mold release layer. The </w:t>
      </w:r>
      <w:r w:rsidR="00D5605F" w:rsidRPr="00610A40">
        <w:rPr>
          <w:color w:val="auto"/>
          <w:szCs w:val="24"/>
        </w:rPr>
        <w:t>poly (</w:t>
      </w:r>
      <w:r w:rsidRPr="00610A40">
        <w:rPr>
          <w:color w:val="auto"/>
          <w:szCs w:val="24"/>
        </w:rPr>
        <w:t xml:space="preserve">glycerol </w:t>
      </w:r>
      <w:proofErr w:type="spellStart"/>
      <w:r w:rsidRPr="00610A40">
        <w:rPr>
          <w:color w:val="auto"/>
          <w:szCs w:val="24"/>
        </w:rPr>
        <w:t>sebacate</w:t>
      </w:r>
      <w:proofErr w:type="spellEnd"/>
      <w:r w:rsidRPr="00610A40">
        <w:rPr>
          <w:color w:val="auto"/>
          <w:szCs w:val="24"/>
        </w:rPr>
        <w:t xml:space="preserve">) (PGS) </w:t>
      </w:r>
      <w:proofErr w:type="spellStart"/>
      <w:r w:rsidRPr="00610A40">
        <w:rPr>
          <w:color w:val="auto"/>
          <w:szCs w:val="24"/>
        </w:rPr>
        <w:t>prepolymers</w:t>
      </w:r>
      <w:proofErr w:type="spellEnd"/>
      <w:r w:rsidRPr="00610A40">
        <w:rPr>
          <w:color w:val="auto"/>
          <w:szCs w:val="24"/>
        </w:rPr>
        <w:t xml:space="preserve"> are heated up to allow spreading across the mold before being cured. The </w:t>
      </w:r>
      <w:proofErr w:type="spellStart"/>
      <w:r w:rsidRPr="00610A40">
        <w:rPr>
          <w:color w:val="auto"/>
          <w:szCs w:val="24"/>
        </w:rPr>
        <w:t>crosslinked</w:t>
      </w:r>
      <w:proofErr w:type="spellEnd"/>
      <w:r w:rsidRPr="00610A40">
        <w:rPr>
          <w:color w:val="auto"/>
          <w:szCs w:val="24"/>
        </w:rPr>
        <w:t xml:space="preserve"> polymers are then delaminated in water</w:t>
      </w:r>
      <w:r w:rsidRPr="00610A40">
        <w:rPr>
          <w:color w:val="auto"/>
          <w:szCs w:val="24"/>
        </w:rPr>
        <w:fldChar w:fldCharType="begin" w:fldLock="1"/>
      </w:r>
      <w:r w:rsidR="00565E2A" w:rsidRPr="00610A40">
        <w:rPr>
          <w:color w:val="auto"/>
          <w:szCs w:val="24"/>
        </w:rPr>
        <w:instrText>ADDIN CSL_CITATION { "citationItems" : [ { "id" : "ITEM-1", "itemData" : { "DOI" : "10.1016/j.biomaterials.2007.10.007", "ISSN" : "01429612", "author" : [ { "dropping-particle" : "", "family" : "Neeley", "given" : "William L.", "non-dropping-particle" : "", "parse-names" : false, "suffix" : "" }, { "dropping-particle" : "", "family" : "Redenti", "given" : "Stephen", "non-dropping-particle" : "", "parse-names" : false, "suffix" : "" }, { "dropping-particle" : "", "family" : "Klassen", "given" : "Henry", "non-dropping-particle" : "", "parse-names" : false, "suffix" : "" }, { "dropping-particle" : "", "family" : "Tao", "given" : "Sarah", "non-dropping-particle" : "", "parse-names" : false, "suffix" : "" }, { "dropping-particle" : "", "family" : "Desai", "given" : "Tejal", "non-dropping-particle" : "", "parse-names" : false, "suffix" : "" }, { "dropping-particle" : "", "family" : "Young", "given" : "Michael J.", "non-dropping-particle" : "", "parse-names" : false, "suffix" : "" }, { "dropping-particle" : "", "family" : "Langer", "given" : "Robert", "non-dropping-particle" : "", "parse-names" : false, "suffix" : "" } ], "container-title" : "Biomaterials", "id" : "ITEM-1", "issue" : "4", "issued" : { "date-parts" : [ [ "2008" ] ] }, "page" : "418-426", "title" : "A microfabricated scaffold for retinal progenitor cell grafting", "type" : "article-journal", "volume" : "29" }, "uris" : [ "http://www.mendeley.com/documents/?uuid=561e180a-a2c0-4d6e-ae6d-5ecc08c817b9" ] } ], "mendeley" : { "formattedCitation" : "&lt;sup&gt;117&lt;/sup&gt;", "plainTextFormattedCitation" : "117", "previouslyFormattedCitation" : "&lt;sup&gt;116&lt;/sup&gt;"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117</w:t>
      </w:r>
      <w:r w:rsidRPr="00610A40">
        <w:rPr>
          <w:color w:val="auto"/>
          <w:szCs w:val="24"/>
        </w:rPr>
        <w:fldChar w:fldCharType="end"/>
      </w:r>
      <w:r w:rsidRPr="00610A40">
        <w:rPr>
          <w:color w:val="auto"/>
          <w:szCs w:val="24"/>
          <w:vertAlign w:val="superscript"/>
        </w:rPr>
        <w:t>,</w:t>
      </w:r>
      <w:r w:rsidRPr="00610A40">
        <w:rPr>
          <w:color w:val="auto"/>
          <w:szCs w:val="24"/>
        </w:rPr>
        <w:fldChar w:fldCharType="begin" w:fldLock="1"/>
      </w:r>
      <w:r w:rsidR="00565E2A" w:rsidRPr="00610A40">
        <w:rPr>
          <w:color w:val="auto"/>
          <w:szCs w:val="24"/>
        </w:rPr>
        <w:instrText>ADDIN CSL_CITATION { "citationItems" : [ { "id" : "ITEM-1", "itemData" : { "DOI" : "10.1002/adma.200500438", "ISSN" : "0935-9648", "author" : [ { "dropping-particle" : "", "family" : "Bettinger", "given" : "Christopher J", "non-dropping-particle" : "", "parse-names" : false, "suffix" : "" }, { "dropping-particle" : "", "family" : "Weinberg", "given" : "Eli J", "non-dropping-particle" : "", "parse-names" : false, "suffix" : "" }, { "dropping-particle" : "", "family" : "Kulig", "given" : "Katherine M", "non-dropping-particle" : "", "parse-names" : false, "suffix" : "" }, { "dropping-particle" : "", "family" : "Vacanti", "given" : "Joseph P", "non-dropping-particle" : "", "parse-names" : false, "suffix" : "" }, { "dropping-particle" : "", "family" : "Wang", "given" : "Yadong", "non-dropping-particle" : "", "parse-names" : false, "suffix" : "" }, { "dropping-particle" : "", "family" : "Borenstein", "given" : "Jeffrey T", "non-dropping-particle" : "", "parse-names" : false, "suffix" : "" }, { "dropping-particle" : "", "family" : "Langer", "given" : "Robert", "non-dropping-particle" : "", "parse-names" : false, "suffix" : "" } ], "container-title" : "Advanced Materials", "id" : "ITEM-1", "issue" : "2", "issued" : { "date-parts" : [ [ "2005", "12", "8" ] ] }, "page" : "165-169", "title" : "Three-Dimensional Microfluidic Tissue-Engineering Scaffolds Using a Flexible Biodegradable Polymer", "type" : "article-journal", "volume" : "18" }, "uris" : [ "http://www.mendeley.com/documents/?uuid=17065054-4d4b-4766-afb2-b4a7efd7914c" ] } ], "mendeley" : { "formattedCitation" : "&lt;sup&gt;118&lt;/sup&gt;", "plainTextFormattedCitation" : "118", "previouslyFormattedCitation" : "&lt;sup&gt;117&lt;/sup&gt;"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118</w:t>
      </w:r>
      <w:r w:rsidRPr="00610A40">
        <w:rPr>
          <w:color w:val="auto"/>
          <w:szCs w:val="24"/>
        </w:rPr>
        <w:fldChar w:fldCharType="end"/>
      </w:r>
      <w:r w:rsidR="00042995" w:rsidRPr="00610A40">
        <w:rPr>
          <w:color w:val="auto"/>
          <w:szCs w:val="24"/>
        </w:rPr>
        <w:t xml:space="preserve"> (</w:t>
      </w:r>
      <w:r w:rsidR="007E6A52" w:rsidRPr="00610A40">
        <w:rPr>
          <w:color w:val="auto"/>
          <w:szCs w:val="24"/>
        </w:rPr>
        <w:fldChar w:fldCharType="begin"/>
      </w:r>
      <w:r w:rsidR="007E6A52" w:rsidRPr="00610A40">
        <w:rPr>
          <w:color w:val="auto"/>
          <w:szCs w:val="24"/>
        </w:rPr>
        <w:instrText xml:space="preserve"> REF _Ref489036142 \h </w:instrText>
      </w:r>
      <w:r w:rsidR="00004924" w:rsidRPr="00610A40">
        <w:rPr>
          <w:color w:val="auto"/>
          <w:szCs w:val="24"/>
        </w:rPr>
        <w:instrText xml:space="preserve"> \* MERGEFORMAT </w:instrText>
      </w:r>
      <w:r w:rsidR="007E6A52" w:rsidRPr="00610A40">
        <w:rPr>
          <w:color w:val="auto"/>
          <w:szCs w:val="24"/>
        </w:rPr>
      </w:r>
      <w:r w:rsidR="007E6A52"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3</w:t>
      </w:r>
      <w:r w:rsidR="007E6A52" w:rsidRPr="00610A40">
        <w:rPr>
          <w:color w:val="auto"/>
          <w:szCs w:val="24"/>
        </w:rPr>
        <w:fldChar w:fldCharType="end"/>
      </w:r>
      <w:r w:rsidR="00042995" w:rsidRPr="00610A40">
        <w:rPr>
          <w:color w:val="auto"/>
          <w:szCs w:val="24"/>
        </w:rPr>
        <w:t>)</w:t>
      </w:r>
      <w:r w:rsidRPr="00610A40">
        <w:rPr>
          <w:color w:val="auto"/>
          <w:szCs w:val="24"/>
        </w:rPr>
        <w:t xml:space="preserve">. </w:t>
      </w:r>
    </w:p>
    <w:p w14:paraId="298B9B4A" w14:textId="77777777" w:rsidR="00042995" w:rsidRPr="00610A40" w:rsidRDefault="00042995" w:rsidP="00CB7C43">
      <w:pPr>
        <w:rPr>
          <w:color w:val="auto"/>
          <w:szCs w:val="24"/>
        </w:rPr>
      </w:pPr>
    </w:p>
    <w:p w14:paraId="06D391FA" w14:textId="77777777" w:rsidR="00042995" w:rsidRPr="00610A40" w:rsidRDefault="00042995" w:rsidP="00042995">
      <w:pPr>
        <w:keepNext/>
        <w:rPr>
          <w:color w:val="auto"/>
          <w:szCs w:val="24"/>
        </w:rPr>
      </w:pPr>
      <w:r w:rsidRPr="00610A40">
        <w:rPr>
          <w:noProof/>
          <w:color w:val="auto"/>
          <w:szCs w:val="24"/>
        </w:rPr>
        <w:drawing>
          <wp:inline distT="0" distB="0" distL="0" distR="0" wp14:anchorId="4B3111EB" wp14:editId="3489421B">
            <wp:extent cx="5943600" cy="1424474"/>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24474"/>
                    </a:xfrm>
                    <a:prstGeom prst="rect">
                      <a:avLst/>
                    </a:prstGeom>
                    <a:noFill/>
                    <a:ln>
                      <a:noFill/>
                    </a:ln>
                  </pic:spPr>
                </pic:pic>
              </a:graphicData>
            </a:graphic>
          </wp:inline>
        </w:drawing>
      </w:r>
    </w:p>
    <w:p w14:paraId="50A12644" w14:textId="6F76311F" w:rsidR="00042995" w:rsidRPr="00610A40" w:rsidRDefault="00042995" w:rsidP="00042995">
      <w:pPr>
        <w:pStyle w:val="Caption"/>
        <w:rPr>
          <w:sz w:val="24"/>
          <w:szCs w:val="24"/>
        </w:rPr>
      </w:pPr>
      <w:bookmarkStart w:id="3" w:name="_Ref489036142"/>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3</w:t>
      </w:r>
      <w:r w:rsidR="00004924" w:rsidRPr="00610A40">
        <w:rPr>
          <w:noProof/>
          <w:sz w:val="24"/>
          <w:szCs w:val="24"/>
        </w:rPr>
        <w:fldChar w:fldCharType="end"/>
      </w:r>
      <w:bookmarkEnd w:id="3"/>
      <w:r w:rsidRPr="00610A40">
        <w:rPr>
          <w:sz w:val="24"/>
          <w:szCs w:val="24"/>
        </w:rPr>
        <w:t>: Replica molding procedure for fabricating PGS scaf</w:t>
      </w:r>
      <w:r w:rsidR="00213E35" w:rsidRPr="00610A40">
        <w:rPr>
          <w:sz w:val="24"/>
          <w:szCs w:val="24"/>
        </w:rPr>
        <w:t>folds</w:t>
      </w:r>
      <w:r w:rsidRPr="00610A40">
        <w:rPr>
          <w:sz w:val="24"/>
          <w:szCs w:val="24"/>
        </w:rPr>
        <w:fldChar w:fldCharType="begin" w:fldLock="1"/>
      </w:r>
      <w:r w:rsidR="00565E2A" w:rsidRPr="00610A40">
        <w:rPr>
          <w:sz w:val="24"/>
          <w:szCs w:val="24"/>
        </w:rPr>
        <w:instrText>ADDIN CSL_CITATION { "citationItems" : [ { "id" : "ITEM-1", "itemData" : { "DOI" : "10.1016/j.biomaterials.2007.10.007", "ISSN" : "01429612", "author" : [ { "dropping-particle" : "", "family" : "Neeley", "given" : "William L.", "non-dropping-particle" : "", "parse-names" : false, "suffix" : "" }, { "dropping-particle" : "", "family" : "Redenti", "given" : "Stephen", "non-dropping-particle" : "", "parse-names" : false, "suffix" : "" }, { "dropping-particle" : "", "family" : "Klassen", "given" : "Henry", "non-dropping-particle" : "", "parse-names" : false, "suffix" : "" }, { "dropping-particle" : "", "family" : "Tao", "given" : "Sarah", "non-dropping-particle" : "", "parse-names" : false, "suffix" : "" }, { "dropping-particle" : "", "family" : "Desai", "given" : "Tejal", "non-dropping-particle" : "", "parse-names" : false, "suffix" : "" }, { "dropping-particle" : "", "family" : "Young", "given" : "Michael J.", "non-dropping-particle" : "", "parse-names" : false, "suffix" : "" }, { "dropping-particle" : "", "family" : "Langer", "given" : "Robert", "non-dropping-particle" : "", "parse-names" : false, "suffix" : "" } ], "container-title" : "Biomaterials", "id" : "ITEM-1", "issue" : "4", "issued" : { "date-parts" : [ [ "2008" ] ] }, "page" : "418-426", "title" : "A microfabricated scaffold for retinal progenitor cell grafting", "type" : "article-journal", "volume" : "29" }, "uris" : [ "http://www.mendeley.com/documents/?uuid=561e180a-a2c0-4d6e-ae6d-5ecc08c817b9" ] } ], "mendeley" : { "formattedCitation" : "&lt;sup&gt;117&lt;/sup&gt;", "plainTextFormattedCitation" : "117", "previouslyFormattedCitation" : "&lt;sup&gt;116&lt;/sup&gt;" }, "properties" : { "noteIndex" : 0 }, "schema" : "https://github.com/citation-style-language/schema/raw/master/csl-citation.json" }</w:instrText>
      </w:r>
      <w:r w:rsidRPr="00610A40">
        <w:rPr>
          <w:sz w:val="24"/>
          <w:szCs w:val="24"/>
        </w:rPr>
        <w:fldChar w:fldCharType="separate"/>
      </w:r>
      <w:r w:rsidR="00565E2A" w:rsidRPr="00610A40">
        <w:rPr>
          <w:b w:val="0"/>
          <w:noProof/>
          <w:sz w:val="24"/>
          <w:szCs w:val="24"/>
          <w:vertAlign w:val="superscript"/>
        </w:rPr>
        <w:t>117</w:t>
      </w:r>
      <w:r w:rsidRPr="00610A40">
        <w:rPr>
          <w:sz w:val="24"/>
          <w:szCs w:val="24"/>
        </w:rPr>
        <w:fldChar w:fldCharType="end"/>
      </w:r>
      <w:r w:rsidRPr="00610A40">
        <w:rPr>
          <w:sz w:val="24"/>
          <w:szCs w:val="24"/>
        </w:rPr>
        <w:t>.</w:t>
      </w:r>
      <w:r w:rsidR="00213E35" w:rsidRPr="00610A40">
        <w:rPr>
          <w:sz w:val="24"/>
          <w:szCs w:val="24"/>
        </w:rPr>
        <w:t xml:space="preserve"> (A) PDMS negative molds with micron size pillars were created from a </w:t>
      </w:r>
      <w:proofErr w:type="spellStart"/>
      <w:r w:rsidR="00213E35" w:rsidRPr="00610A40">
        <w:rPr>
          <w:sz w:val="24"/>
          <w:szCs w:val="24"/>
        </w:rPr>
        <w:t>photopatterned</w:t>
      </w:r>
      <w:proofErr w:type="spellEnd"/>
      <w:r w:rsidR="00213E35" w:rsidRPr="00610A40">
        <w:rPr>
          <w:sz w:val="24"/>
          <w:szCs w:val="24"/>
        </w:rPr>
        <w:t xml:space="preserve"> silicon master. (B) After plasma oxidation, sucrose was spin-coated onto the masters as a sacrificial mold release layer. (C) Molten PGS was spin-coated and cured in a vacuum oven. (D) Finally, the PGS scaffold was delaminated in water.</w:t>
      </w:r>
      <w:r w:rsidR="00610A40">
        <w:rPr>
          <w:sz w:val="24"/>
          <w:szCs w:val="24"/>
        </w:rPr>
        <w:t xml:space="preserve"> </w:t>
      </w:r>
      <w:r w:rsidR="00610A40" w:rsidRPr="00610A40">
        <w:rPr>
          <w:sz w:val="24"/>
          <w:szCs w:val="24"/>
        </w:rPr>
        <w:t xml:space="preserve">Reproduced from ref. </w:t>
      </w:r>
      <w:r w:rsidR="00610A40">
        <w:rPr>
          <w:sz w:val="24"/>
          <w:szCs w:val="24"/>
        </w:rPr>
        <w:t>117</w:t>
      </w:r>
      <w:r w:rsidR="00610A40" w:rsidRPr="00610A40">
        <w:rPr>
          <w:sz w:val="24"/>
          <w:szCs w:val="24"/>
        </w:rPr>
        <w:t xml:space="preserve"> with permission from the </w:t>
      </w:r>
      <w:r w:rsidR="00610A40">
        <w:rPr>
          <w:sz w:val="24"/>
          <w:szCs w:val="24"/>
        </w:rPr>
        <w:t>Elsevier</w:t>
      </w:r>
      <w:r w:rsidR="00610A40" w:rsidRPr="00610A40">
        <w:rPr>
          <w:sz w:val="24"/>
          <w:szCs w:val="24"/>
        </w:rPr>
        <w:t xml:space="preserve">, copyright </w:t>
      </w:r>
      <w:r w:rsidR="00610A40">
        <w:rPr>
          <w:sz w:val="24"/>
          <w:szCs w:val="24"/>
        </w:rPr>
        <w:t>2008</w:t>
      </w:r>
    </w:p>
    <w:p w14:paraId="34185BD1" w14:textId="77777777" w:rsidR="00042995" w:rsidRPr="00610A40" w:rsidRDefault="00042995" w:rsidP="00CB7C43">
      <w:pPr>
        <w:rPr>
          <w:color w:val="auto"/>
          <w:szCs w:val="24"/>
        </w:rPr>
      </w:pPr>
    </w:p>
    <w:p w14:paraId="03B87B7D" w14:textId="29D568CF" w:rsidR="00CB7C43" w:rsidRPr="00610A40" w:rsidRDefault="00CA2966" w:rsidP="00CB7C43">
      <w:pPr>
        <w:keepNext/>
        <w:keepLines/>
        <w:spacing w:before="200"/>
        <w:outlineLvl w:val="1"/>
        <w:rPr>
          <w:rFonts w:eastAsia="SimSun" w:cs="Times New Roman"/>
          <w:b/>
          <w:bCs/>
          <w:color w:val="auto"/>
          <w:szCs w:val="24"/>
        </w:rPr>
      </w:pPr>
      <w:r w:rsidRPr="00610A40">
        <w:rPr>
          <w:rFonts w:eastAsia="SimSun" w:cs="Times New Roman"/>
          <w:b/>
          <w:bCs/>
          <w:color w:val="auto"/>
          <w:szCs w:val="24"/>
        </w:rPr>
        <w:t>3</w:t>
      </w:r>
      <w:r w:rsidR="00CB7C43" w:rsidRPr="00610A40">
        <w:rPr>
          <w:rFonts w:eastAsia="SimSun" w:cs="Times New Roman"/>
          <w:b/>
          <w:bCs/>
          <w:color w:val="auto"/>
          <w:szCs w:val="24"/>
        </w:rPr>
        <w:t>.4 Electrospinning </w:t>
      </w:r>
    </w:p>
    <w:p w14:paraId="4A014C92" w14:textId="0A517005" w:rsidR="00CB7C43" w:rsidRPr="00610A40" w:rsidRDefault="00CB7C43" w:rsidP="00CB7C43">
      <w:pPr>
        <w:rPr>
          <w:color w:val="auto"/>
          <w:szCs w:val="24"/>
        </w:rPr>
      </w:pPr>
      <w:r w:rsidRPr="00610A40">
        <w:rPr>
          <w:color w:val="auto"/>
          <w:szCs w:val="24"/>
        </w:rPr>
        <w:t xml:space="preserve">Electrospinning results in fibrous scaffold which closely represents the protein fiber meshwork in native extracellular matrix. </w:t>
      </w:r>
      <w:r w:rsidR="00004924" w:rsidRPr="00610A40">
        <w:rPr>
          <w:color w:val="auto"/>
          <w:szCs w:val="24"/>
        </w:rPr>
        <w:t>This</w:t>
      </w:r>
      <w:r w:rsidRPr="00610A40">
        <w:rPr>
          <w:color w:val="auto"/>
          <w:szCs w:val="24"/>
        </w:rPr>
        <w:t xml:space="preserve"> method </w:t>
      </w:r>
      <w:r w:rsidR="00004924" w:rsidRPr="00610A40">
        <w:rPr>
          <w:color w:val="auto"/>
          <w:szCs w:val="24"/>
        </w:rPr>
        <w:t xml:space="preserve">of making 3D scaffolds </w:t>
      </w:r>
      <w:r w:rsidRPr="00610A40">
        <w:rPr>
          <w:color w:val="auto"/>
          <w:szCs w:val="24"/>
        </w:rPr>
        <w:t xml:space="preserve">has been used for diverse tissue engineering applications using a </w:t>
      </w:r>
      <w:r w:rsidR="00004924" w:rsidRPr="00610A40">
        <w:rPr>
          <w:color w:val="auto"/>
          <w:szCs w:val="24"/>
        </w:rPr>
        <w:t>variety</w:t>
      </w:r>
      <w:r w:rsidRPr="00610A40">
        <w:rPr>
          <w:color w:val="auto"/>
          <w:szCs w:val="24"/>
        </w:rPr>
        <w:t xml:space="preserve"> of polyesters</w:t>
      </w:r>
      <w:r w:rsidRPr="00610A40">
        <w:rPr>
          <w:color w:val="auto"/>
          <w:szCs w:val="24"/>
        </w:rPr>
        <w:fldChar w:fldCharType="begin" w:fldLock="1"/>
      </w:r>
      <w:r w:rsidR="00565E2A" w:rsidRPr="00610A40">
        <w:rPr>
          <w:color w:val="auto"/>
          <w:szCs w:val="24"/>
        </w:rPr>
        <w:instrText>ADDIN CSL_CITATION { "citationItems" : [ { "id" : "ITEM-1", "itemData" : { "DOI" : "10.1089/ten.teb.2008.0619", "ISBN" : "19373368", "ISSN" : "1937-3368", "PMID" : "19459780", "abstract" : "Biodegradable materials are widely used in the biomedical field because there is no postoperative surgery after implantation. Widely used synthetic biodegradable materials are polyesters, especially those used in tissue engineering. Advances in the tissue engineering field have brought much attention in terms of scaffold fabrication, such as with biodegradable polyester nanofibers. The rationale for using nanofibers for tissue engineering is that the nonwoven polymeric meshwork is a close representation of the nanoscale protein fiber meshwork in native extracellular matrix (ECM). Electrospinning technique is a promising way to fabricate controllable continuous nanofiber scaffold mimicking the ECM structure. Electrospun nanofibers provide high surface-to-volume ratio and high porosity as a promising scaffold for tissue engineering. Because the degradation behaviors of scaffolds significantly affect new tissue regeneration, the degradation of the material becomes one of the crucial factors when considering using polyester nanofibers as scaffolds in tissue engineering. In this review paper, we focus on the degradation studies of several bioresorbable polyester nanofibrous scaffolds used in tissue engineering. The degradable properties of nanofibers were compared with the corresponding degradable materials in macroscale. The factors that might affect the degradation behaviors were analyzed.", "author" : [ { "dropping-particle" : "", "family" : "Dong", "given" : "Yixiang", "non-dropping-particle" : "", "parse-names" : false, "suffix" : "" }, { "dropping-particle" : "", "family" : "Liao", "given" : "Susan", "non-dropping-particle" : "", "parse-names" : false, "suffix" : "" }, { "dropping-particle" : "", "family" : "Ngiam", "given" : "Michelle", "non-dropping-particle" : "", "parse-names" : false, "suffix" : "" }, { "dropping-particle" : "", "family" : "Chan", "given" : "Casey K", "non-dropping-particle" : "", "parse-names" : false, "suffix" : "" }, { "dropping-particle" : "", "family" : "Ramakrishna", "given" : "Seeram", "non-dropping-particle" : "", "parse-names" : false, "suffix" : "" } ], "container-title" : "Tissue engineering. Part B, Reviews", "id" : "ITEM-1", "issue" : "3", "issued" : { "date-parts" : [ [ "2009" ] ] }, "page" : "333-351", "title" : "Degradation behaviors of electrospun resorbable polyester nanofibers.", "type" : "article-journal", "volume" : "15" }, "uris" : [ "http://www.mendeley.com/documents/?uuid=88b0342f-150e-4ac9-9eeb-fac8e353cd47" ] } ], "mendeley" : { "formattedCitation" : "&lt;sup&gt;40&lt;/sup&gt;", "plainTextFormattedCitation" : "40", "previouslyFormattedCitation" : "&lt;sup&gt;40&lt;/sup&gt;"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40</w:t>
      </w:r>
      <w:r w:rsidRPr="00610A40">
        <w:rPr>
          <w:color w:val="auto"/>
          <w:szCs w:val="24"/>
        </w:rPr>
        <w:fldChar w:fldCharType="end"/>
      </w:r>
      <w:r w:rsidRPr="00610A40">
        <w:rPr>
          <w:color w:val="auto"/>
          <w:szCs w:val="24"/>
        </w:rPr>
        <w:t>. The electrospinning setup consists of three components (1) spinneret (2) fiber collector (3) high-voltage power system</w:t>
      </w:r>
      <w:r w:rsidR="00AF5E54" w:rsidRPr="00610A40">
        <w:rPr>
          <w:color w:val="auto"/>
          <w:szCs w:val="24"/>
        </w:rPr>
        <w:t xml:space="preserve"> (</w:t>
      </w:r>
      <w:r w:rsidR="007E6A52" w:rsidRPr="00610A40">
        <w:rPr>
          <w:color w:val="auto"/>
          <w:szCs w:val="24"/>
        </w:rPr>
        <w:fldChar w:fldCharType="begin"/>
      </w:r>
      <w:r w:rsidR="007E6A52" w:rsidRPr="00610A40">
        <w:rPr>
          <w:color w:val="auto"/>
          <w:szCs w:val="24"/>
        </w:rPr>
        <w:instrText xml:space="preserve"> REF _Ref489036171 \h </w:instrText>
      </w:r>
      <w:r w:rsidR="00004924" w:rsidRPr="00610A40">
        <w:rPr>
          <w:color w:val="auto"/>
          <w:szCs w:val="24"/>
        </w:rPr>
        <w:instrText xml:space="preserve"> \* MERGEFORMAT </w:instrText>
      </w:r>
      <w:r w:rsidR="007E6A52" w:rsidRPr="00610A40">
        <w:rPr>
          <w:color w:val="auto"/>
          <w:szCs w:val="24"/>
        </w:rPr>
      </w:r>
      <w:r w:rsidR="007E6A52"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4</w:t>
      </w:r>
      <w:r w:rsidR="007E6A52" w:rsidRPr="00610A40">
        <w:rPr>
          <w:color w:val="auto"/>
          <w:szCs w:val="24"/>
        </w:rPr>
        <w:fldChar w:fldCharType="end"/>
      </w:r>
      <w:r w:rsidR="00AF5E54" w:rsidRPr="00610A40">
        <w:rPr>
          <w:color w:val="auto"/>
          <w:szCs w:val="24"/>
        </w:rPr>
        <w:t>)</w:t>
      </w:r>
      <w:r w:rsidRPr="00610A40">
        <w:rPr>
          <w:color w:val="auto"/>
          <w:szCs w:val="24"/>
        </w:rPr>
        <w:t xml:space="preserve">. A viscous polymer solution is fed through the spinneret tip with the help of a syringe pump. A high-voltage / low-current power system converts the polymer into a charged polymer jet which travels a few centimeters onto the fiber collecting device. The pendent polymer droplet becomes charged on the spinneret tip. Deformation into a jet stream happens due to droplet surface charge repulsion and external electric field force. </w:t>
      </w:r>
      <w:r w:rsidR="00004924" w:rsidRPr="00610A40">
        <w:rPr>
          <w:color w:val="auto"/>
          <w:szCs w:val="24"/>
        </w:rPr>
        <w:t>Usually, the fibers are produced in a randomly aligned manner, similar to the natural scaffold morphology. A</w:t>
      </w:r>
      <w:r w:rsidRPr="00610A40">
        <w:rPr>
          <w:color w:val="auto"/>
          <w:szCs w:val="24"/>
        </w:rPr>
        <w:t>ligned nanofibers</w:t>
      </w:r>
      <w:r w:rsidR="00004924" w:rsidRPr="00610A40">
        <w:rPr>
          <w:color w:val="auto"/>
          <w:szCs w:val="24"/>
        </w:rPr>
        <w:t xml:space="preserve"> can </w:t>
      </w:r>
      <w:r w:rsidR="00BE1A9F" w:rsidRPr="00610A40">
        <w:rPr>
          <w:color w:val="auto"/>
          <w:szCs w:val="24"/>
        </w:rPr>
        <w:t>are produced</w:t>
      </w:r>
      <w:r w:rsidR="00004924" w:rsidRPr="00610A40">
        <w:rPr>
          <w:color w:val="auto"/>
          <w:szCs w:val="24"/>
        </w:rPr>
        <w:t xml:space="preserve"> using a rotatable cylinder or disc as</w:t>
      </w:r>
      <w:r w:rsidRPr="00610A40">
        <w:rPr>
          <w:color w:val="auto"/>
          <w:szCs w:val="24"/>
        </w:rPr>
        <w:t xml:space="preserve"> the fiber collecting device. Fiber orientation is determined by a gamut of factors such as rotational speed, shape of collector, concentration of polymer solution and the electric field</w:t>
      </w:r>
      <w:r w:rsidRPr="00610A40">
        <w:rPr>
          <w:color w:val="auto"/>
          <w:szCs w:val="24"/>
        </w:rPr>
        <w:fldChar w:fldCharType="begin" w:fldLock="1"/>
      </w:r>
      <w:r w:rsidR="00565E2A" w:rsidRPr="00610A40">
        <w:rPr>
          <w:color w:val="auto"/>
          <w:szCs w:val="24"/>
        </w:rPr>
        <w:instrText>ADDIN CSL_CITATION { "citationItems" : [ { "id" : "ITEM-1", "itemData" : { "DOI" : "10.1089/ten.2006.0078", "ISSN" : "1076-3279", "author" : [ { "dropping-particle" : "", "family" : "Murugan", "given" : "Ramalingam", "non-dropping-particle" : "", "parse-names" : false, "suffix" : "" }, { "dropping-particle" : "", "family" : "Ramakrishna", "given" : "Seeram", "non-dropping-particle" : "", "parse-names" : false, "suffix" : "" } ], "container-title" : "Tissue Engineering", "id" : "ITEM-1", "issue" : "8", "issued" : { "date-parts" : [ [ "2007" ] ] }, "page" : "1845-1866", "title" : "Design Strategies of Tissue Engineering Scaffolds with Controlled Fiber Orientation", "type" : "article-journal", "volume" : "13" }, "uris" : [ "http://www.mendeley.com/documents/?uuid=0af7db9b-065c-4b33-b9ba-cbf7345ea374" ] } ], "mendeley" : { "formattedCitation" : "&lt;sup&gt;119&lt;/sup&gt;", "plainTextFormattedCitation" : "119", "previouslyFormattedCitation" : "&lt;sup&gt;118&lt;/sup&gt;"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119</w:t>
      </w:r>
      <w:r w:rsidRPr="00610A40">
        <w:rPr>
          <w:color w:val="auto"/>
          <w:szCs w:val="24"/>
        </w:rPr>
        <w:fldChar w:fldCharType="end"/>
      </w:r>
      <w:r w:rsidRPr="00610A40">
        <w:rPr>
          <w:color w:val="auto"/>
          <w:szCs w:val="24"/>
        </w:rPr>
        <w:t>. Fiber dimensions can be fine-tuned using solvent composition, solvent concentration, electrospinning voltage and spinneret-to-collector distance</w:t>
      </w:r>
      <w:r w:rsidRPr="00610A40">
        <w:rPr>
          <w:color w:val="auto"/>
          <w:szCs w:val="24"/>
        </w:rPr>
        <w:fldChar w:fldCharType="begin" w:fldLock="1"/>
      </w:r>
      <w:r w:rsidR="00565E2A" w:rsidRPr="00610A40">
        <w:rPr>
          <w:color w:val="auto"/>
          <w:szCs w:val="24"/>
        </w:rPr>
        <w:instrText>ADDIN CSL_CITATION { "citationItems" : [ { "id" : "ITEM-1", "itemData" : { "DOI" : "10.1007/BF03218414", "ISSN" : "2092-7673", "abstract" : "The biodegradable and biocompatible poly(3-hydroxybutyrate-co-3-hydroxyvalerate) (PHBV), a copolymer of microbial polyester, was fabricated as nanofibrous mats by electrospinning. Image analysis of the electrospun nanofibers fabricated from a 2 wt% 2,2,2-trifluoroethanol solution revealed a unimodal distribution pattern of fiber diameters with an observed average diameter of ca. 185 nm. The fiber diameter of electrospun fabrics could be controlled by adjusting the electrospinning parameters, including the solvent composition, concentration, applied voltage, and tip-to-collector distance. Chondrocytes derived from rabbit ear were cultured on a PHBV cast film and an electrospun PHBV nano-fibrous mat. After incubation for 2 h, the percentages of attached chondrocytes on the surfaces of the flat PHBV film and the PHBV nanofibrous mat were 19.0 and 30.1%, respectively. On the surface of the electrospun PHBV fabric, more chondrocytes were attached and appeared to have a much greater spreaded morphology than did that of the flat PHBV cast film in the early culture stage. The electrospun PHBV nanofabric provides an attractive structure for the attachment and growth of chondrocytes as cell culture surfaces for tissue engineering.", "author" : [ { "dropping-particle" : "", "family" : "Lee", "given" : "Ik Sang", "non-dropping-particle" : "", "parse-names" : false, "suffix" : "" }, { "dropping-particle" : "", "family" : "Kwon", "given" : "Oh Hyeong", "non-dropping-particle" : "", "parse-names" : false, "suffix" : "" }, { "dropping-particle" : "", "family" : "Meng", "given" : "Wan", "non-dropping-particle" : "", "parse-names" : false, "suffix" : "" }, { "dropping-particle" : "", "family" : "Kang", "given" : "Inn-Kyu", "non-dropping-particle" : "", "parse-names" : false, "suffix" : "" }, { "dropping-particle" : "", "family" : "Ito", "given" : "Yoshihiro", "non-dropping-particle" : "", "parse-names" : false, "suffix" : "" } ], "container-title" : "Macromolecular Research", "id" : "ITEM-1", "issue" : "4", "issued" : { "date-parts" : [ [ "0" ] ] }, "page" : "374-378", "title" : "Nanofabrication of microbial polyester by electrospinning promotes cell attachment", "type" : "article-journal", "volume" : "12" }, "uris" : [ "http://www.mendeley.com/documents/?uuid=dc4f9075-4f64-4058-b006-3fb8e3713c9d" ] } ], "mendeley" : { "formattedCitation" : "&lt;sup&gt;120&lt;/sup&gt;", "plainTextFormattedCitation" : "120", "previouslyFormattedCitation" : "&lt;sup&gt;119&lt;/sup&gt;"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120</w:t>
      </w:r>
      <w:r w:rsidRPr="00610A40">
        <w:rPr>
          <w:color w:val="auto"/>
          <w:szCs w:val="24"/>
        </w:rPr>
        <w:fldChar w:fldCharType="end"/>
      </w:r>
      <w:r w:rsidR="00BE1A9F" w:rsidRPr="00610A40">
        <w:rPr>
          <w:color w:val="auto"/>
          <w:szCs w:val="24"/>
        </w:rPr>
        <w:t xml:space="preserve">. </w:t>
      </w:r>
      <w:r w:rsidRPr="00610A40">
        <w:rPr>
          <w:color w:val="auto"/>
          <w:szCs w:val="24"/>
        </w:rPr>
        <w:t>Compared to other scaffold fabrication techniques, electrospinning presents unique advantages. The anisotropic nature of fiber-aligned tissues, such as the knee meniscus, can be mimicked closely</w:t>
      </w:r>
      <w:r w:rsidRPr="00610A40">
        <w:rPr>
          <w:color w:val="auto"/>
          <w:szCs w:val="24"/>
        </w:rPr>
        <w:fldChar w:fldCharType="begin" w:fldLock="1"/>
      </w:r>
      <w:r w:rsidR="00565E2A" w:rsidRPr="00610A40">
        <w:rPr>
          <w:color w:val="auto"/>
          <w:szCs w:val="24"/>
        </w:rPr>
        <w:instrText>ADDIN CSL_CITATION { "citationItems" : [ { "id" : "ITEM-1", "itemData" : { "DOI" : "10.1016/j.progpolymsci.2012.02.001", "ISBN" : "0079-6700", "ISSN" : "00796700", "abstract" : "Poly(glycerol sebacate) (PGS) is a biodegradable polymer increasingly used in a variety of biomedical applications. This polyester is prepared by polycondensation of glycerol and sebacic acid. PGS exhibits biocompatibility and biodegradability, both highly relevant properties in biomedical applications. PGS also involves cost effective production with the possibility of up scaling to industrial production. In addition, the mechanical properties and degradation kinetics of PGS can be tailored to match the requirements of intended applications by controlling curing time, curing temperature, reactants concentration and the degree of acrylation in acrylated PGS. Because of the flexible and elastomeric nature of PGS, its biomedical applications have mainly targeted soft tissue replacement and the engineering of soft tissues, such as cardiac muscle, blood, nerve, cartilage and retina. However, applications of PGS are being expanded to include drug delivery, tissue adhesive and hard tissue (i.e., bone) regeneration. The design and fabrication of PGS based devices for applications that mimic native physiological conditions are also being pursued. Novel designs range from accordion-like honeycomb structures for cardiac patches, gecko-like surfaces for tissue adhesives to PGS (nano) fibers for extra cellular matrix (ECM) like constructs; new design avenues are being investigated to meet the ever growing demand for replacement tissues and organs. In less than a decade PGS has become a material of great scrutiny and interest by the biomedical research community. In this review we consolidate the valuable existing knowledge in the fields of synthesis, properties and biomedical applications of PGS and PGS-related biomaterials and devices. \u00a9 2012 Elsevier Ltd.", "author" : [ { "dropping-particle" : "", "family" : "Rai", "given" : "Ranjana", "non-dropping-particle" : "", "parse-names" : false, "suffix" : "" }, { "dropping-particle" : "", "family" : "Tallawi", "given" : "Marwa", "non-dropping-particle" : "", "parse-names" : false, "suffix" : "" }, { "dropping-particle" : "", "family" : "Grigore", "given" : "Alexandra", "non-dropping-particle" : "", "parse-names" : false, "suffix" : "" }, { "dropping-particle" : "", "family" : "Boccaccini", "given" : "Aldo R.", "non-dropping-particle" : "", "parse-names" : false, "suffix" : "" } ], "container-title" : "Progress in Polymer Science", "id" : "ITEM-1", "issue" : "8", "issued" : { "date-parts" : [ [ "2012" ] ] }, "page" : "1051-1078", "publisher" : "Elsevier Ltd", "title" : "Synthesis, properties and biomedical applications of poly(glycerol sebacate) (PGS): A review", "type" : "article-journal", "volume" : "37" }, "uris" : [ "http://www.mendeley.com/documents/?uuid=0a8e702f-c378-4513-8906-ece6ca716a13" ] }, { "id" : "ITEM-2", "itemData" : { "DOI" : "10.1089/ten.teb.2008.0619", "ISBN" : "19373368", "ISSN" : "1937-3368", "PMID" : "19459780", "abstract" : "Biodegradable materials are widely used in the biomedical field because there is no postoperative surgery after implantation. Widely used synthetic biodegradable materials are polyesters, especially those used in tissue engineering. Advances in the tissue engineering field have brought much attention in terms of scaffold fabrication, such as with biodegradable polyester nanofibers. The rationale for using nanofibers for tissue engineering is that the nonwoven polymeric meshwork is a close representation of the nanoscale protein fiber meshwork in native extracellular matrix (ECM). Electrospinning technique is a promising way to fabricate controllable continuous nanofiber scaffold mimicking the ECM structure. Electrospun nanofibers provide high surface-to-volume ratio and high porosity as a promising scaffold for tissue engineering. Because the degradation behaviors of scaffolds significantly affect new tissue regeneration, the degradation of the material becomes one of the crucial factors when considering using polyester nanofibers as scaffolds in tissue engineering. In this review paper, we focus on the degradation studies of several bioresorbable polyester nanofibrous scaffolds used in tissue engineering. The degradable properties of nanofibers were compared with the corresponding degradable materials in macroscale. The factors that might affect the degradation behaviors were analyzed.", "author" : [ { "dropping-particle" : "", "family" : "Dong", "given" : "Yixiang", "non-dropping-particle" : "", "parse-names" : false, "suffix" : "" }, { "dropping-particle" : "", "family" : "Liao", "given" : "Susan", "non-dropping-particle" : "", "parse-names" : false, "suffix" : "" }, { "dropping-particle" : "", "family" : "Ngiam", "given" : "Michelle", "non-dropping-particle" : "", "parse-names" : false, "suffix" : "" }, { "dropping-particle" : "", "family" : "Chan", "given" : "Casey K", "non-dropping-particle" : "", "parse-names" : false, "suffix" : "" }, { "dropping-particle" : "", "family" : "Ramakrishna", "given" : "Seeram", "non-dropping-particle" : "", "parse-names" : false, "suffix" : "" } ], "container-title" : "Tissue engineering. Part B, Reviews", "id" : "ITEM-2", "issue" : "3", "issued" : { "date-parts" : [ [ "2009" ] ] }, "page" : "333-351", "title" : "Degradation behaviors of electrospun resorbable polyester nanofibers.", "type" : "article-journal", "volume" : "15" }, "uris" : [ "http://www.mendeley.com/documents/?uuid=88b0342f-150e-4ac9-9eeb-fac8e353cd47" ] } ], "mendeley" : { "formattedCitation" : "&lt;sup&gt;40,44&lt;/sup&gt;", "plainTextFormattedCitation" : "40,44", "previouslyFormattedCitation" : "&lt;sup&gt;40,44&lt;/sup&gt;"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40,44</w:t>
      </w:r>
      <w:r w:rsidRPr="00610A40">
        <w:rPr>
          <w:color w:val="auto"/>
          <w:szCs w:val="24"/>
        </w:rPr>
        <w:fldChar w:fldCharType="end"/>
      </w:r>
      <w:r w:rsidRPr="00610A40">
        <w:rPr>
          <w:color w:val="auto"/>
          <w:szCs w:val="24"/>
        </w:rPr>
        <w:t>. These scaffolds have high surface area-to-volume ratio and high porosity. This maximizes the area for cellular adhesion and proliferation, and facilitates the diffusion of nutrients and waste products. Depending on the specific setup for the collecting substrates, electrospinning carries limitations such as fiber thickness and area of aligned fibers</w:t>
      </w:r>
      <w:r w:rsidRPr="00610A40">
        <w:rPr>
          <w:color w:val="auto"/>
          <w:szCs w:val="24"/>
        </w:rPr>
        <w:fldChar w:fldCharType="begin" w:fldLock="1"/>
      </w:r>
      <w:r w:rsidR="00565E2A" w:rsidRPr="00610A40">
        <w:rPr>
          <w:color w:val="auto"/>
          <w:szCs w:val="24"/>
        </w:rPr>
        <w:instrText>ADDIN CSL_CITATION { "citationItems" : [ { "id" : "ITEM-1", "itemData" : { "DOI" : "10.1089/ten.2006.0078", "ISSN" : "1076-3279", "author" : [ { "dropping-particle" : "", "family" : "Murugan", "given" : "Ramalingam", "non-dropping-particle" : "", "parse-names" : false, "suffix" : "" }, { "dropping-particle" : "", "family" : "Ramakrishna", "given" : "Seeram", "non-dropping-particle" : "", "parse-names" : false, "suffix" : "" } ], "container-title" : "Tissue Engineering", "id" : "ITEM-1", "issue" : "8", "issued" : { "date-parts" : [ [ "2007" ] ] }, "page" : "1845-1866", "title" : "Design Strategies of Tissue Engineering Scaffolds with Controlled Fiber Orientation", "type" : "article-journal", "volume" : "13" }, "uris" : [ "http://www.mendeley.com/documents/?uuid=0af7db9b-065c-4b33-b9ba-cbf7345ea374" ] } ], "mendeley" : { "formattedCitation" : "&lt;sup&gt;119&lt;/sup&gt;", "plainTextFormattedCitation" : "119", "previouslyFormattedCitation" : "&lt;sup&gt;118&lt;/sup&gt;"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119</w:t>
      </w:r>
      <w:r w:rsidRPr="00610A40">
        <w:rPr>
          <w:color w:val="auto"/>
          <w:szCs w:val="24"/>
        </w:rPr>
        <w:fldChar w:fldCharType="end"/>
      </w:r>
      <w:r w:rsidRPr="00610A40">
        <w:rPr>
          <w:color w:val="auto"/>
          <w:szCs w:val="24"/>
        </w:rPr>
        <w:t xml:space="preserve">. Delicate control of the parameters is also necessary to prevent the formation of junctions and beads on the fibers. Fiber </w:t>
      </w:r>
      <w:r w:rsidRPr="00610A40">
        <w:rPr>
          <w:color w:val="auto"/>
          <w:szCs w:val="24"/>
        </w:rPr>
        <w:lastRenderedPageBreak/>
        <w:t>thickness may vary over a broad range and the mechanical properties of the fiber meshes may be unsatisfactory</w:t>
      </w:r>
      <w:r w:rsidRPr="00610A40">
        <w:rPr>
          <w:color w:val="auto"/>
          <w:szCs w:val="24"/>
        </w:rPr>
        <w:fldChar w:fldCharType="begin" w:fldLock="1"/>
      </w:r>
      <w:r w:rsidR="00565E2A" w:rsidRPr="00610A40">
        <w:rPr>
          <w:color w:val="auto"/>
          <w:szCs w:val="24"/>
        </w:rPr>
        <w:instrText>ADDIN CSL_CITATION { "citationItems" : [ { "id" : "ITEM-1", "itemData" : { "DOI" : "10.1016/j.nano.2010.07.004", "ISBN" : "1549-9642 (Electronic)\\r1549-9634 (Linking)", "ISSN" : "15499634", "PMID" : "20692373", "abstract" : "Effective nerve regeneration and functional recovery subsequent to peripheral nerve injury is still a clinical challenge. Autologous nerve graft transplantation is a feasible treatment in several clinical cases, but it is limited by donor site morbidity and insufficient donor tissue, impairing complete functional recovery. Tissue engineering has introduced innovative approaches to promote and guide peripheral nerve regeneration by using biomimetic conduits creating favorable microenvironments for nervous ingrowth, but despite the development of a plethora of nerve prostheses, few approaches have as yet entered the clinic. Promising strategies using nanotechnology have recently been proposed, such as the use of scaffolds with functionalized cell-binding domains, the use of guidance channels with cell-scale internally oriented fibers, and the possibility of sustained release of neurotrophic factors. This review addresses the fabrication, advantages, drawbacks, and results achieved by the most recent nanotechnology approaches in view of future solutions for peripheral nerve repair. From the Clinical Editor: Peripheral nerve repair strategies are very limited despite numerous advances on the field of neurosciences and regenerative medicine. This review discusses nanotechnology based strategies including scaffolds with functionalized cell binding domains, the use of guidance channels, and the potential use of sustained release neurotropic factors. ?? 2011 Elsevier Inc.", "author" : [ { "dropping-particle" : "", "family" : "Cunha", "given" : "Carla", "non-dropping-particle" : "", "parse-names" : false, "suffix" : "" }, { "dropping-particle" : "", "family" : "Panseri", "given" : "Silvia", "non-dropping-particle" : "", "parse-names" : false, "suffix" : "" }, { "dropping-particle" : "", "family" : "Antonini", "given" : "Stefania", "non-dropping-particle" : "", "parse-names" : false, "suffix" : "" } ], "container-title" : "Nanomedicine: Nanotechnology, Biology, and Medicine", "id" : "ITEM-1", "issue" : "1", "issued" : { "date-parts" : [ [ "2011" ] ] }, "page" : "50-59", "publisher" : "Elsevier Inc.", "title" : "Emerging nanotechnology approaches in tissue engineering for peripheral nerve regeneration", "type" : "article-journal", "volume" : "7" }, "uris" : [ "http://www.mendeley.com/documents/?uuid=57bcde8f-5ec3-485d-85c3-59a44222267f" ] } ], "mendeley" : { "formattedCitation" : "&lt;sup&gt;121&lt;/sup&gt;", "plainTextFormattedCitation" : "121", "previouslyFormattedCitation" : "&lt;sup&gt;120&lt;/sup&gt;"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121</w:t>
      </w:r>
      <w:r w:rsidRPr="00610A40">
        <w:rPr>
          <w:color w:val="auto"/>
          <w:szCs w:val="24"/>
        </w:rPr>
        <w:fldChar w:fldCharType="end"/>
      </w:r>
      <w:r w:rsidRPr="00610A40">
        <w:rPr>
          <w:color w:val="auto"/>
          <w:szCs w:val="24"/>
        </w:rPr>
        <w:t>.</w:t>
      </w:r>
    </w:p>
    <w:p w14:paraId="6C7ACBBB" w14:textId="38F1C589" w:rsidR="00AF5E54" w:rsidRPr="00610A40" w:rsidRDefault="006A550A" w:rsidP="00AF5E54">
      <w:pPr>
        <w:keepNext/>
        <w:rPr>
          <w:color w:val="auto"/>
          <w:szCs w:val="24"/>
        </w:rPr>
      </w:pPr>
      <w:r w:rsidRPr="00610A40">
        <w:rPr>
          <w:noProof/>
          <w:color w:val="auto"/>
          <w:szCs w:val="24"/>
        </w:rPr>
        <w:drawing>
          <wp:inline distT="0" distB="0" distL="0" distR="0" wp14:anchorId="6F92FFAA" wp14:editId="7403EC8F">
            <wp:extent cx="5943600" cy="4675505"/>
            <wp:effectExtent l="0" t="0" r="0" b="0"/>
            <wp:docPr id="24" name="Picture 24" descr="F:\IMRE\Review and Research paper Kangyi\Polyester Chem Soc Review\electrospinning kangyi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RE\Review and Research paper Kangyi\Polyester Chem Soc Review\electrospinning kangyi fina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675505"/>
                    </a:xfrm>
                    <a:prstGeom prst="rect">
                      <a:avLst/>
                    </a:prstGeom>
                    <a:noFill/>
                    <a:ln>
                      <a:noFill/>
                    </a:ln>
                  </pic:spPr>
                </pic:pic>
              </a:graphicData>
            </a:graphic>
          </wp:inline>
        </w:drawing>
      </w:r>
    </w:p>
    <w:p w14:paraId="3DF520BC" w14:textId="6EEDF8BD" w:rsidR="00AF5E54" w:rsidRPr="00610A40" w:rsidRDefault="00AF5E54" w:rsidP="00AF5E54">
      <w:pPr>
        <w:pStyle w:val="Caption"/>
        <w:rPr>
          <w:sz w:val="24"/>
          <w:szCs w:val="24"/>
        </w:rPr>
      </w:pPr>
      <w:bookmarkStart w:id="4" w:name="_Ref489036171"/>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4</w:t>
      </w:r>
      <w:r w:rsidR="00004924" w:rsidRPr="00610A40">
        <w:rPr>
          <w:noProof/>
          <w:sz w:val="24"/>
          <w:szCs w:val="24"/>
        </w:rPr>
        <w:fldChar w:fldCharType="end"/>
      </w:r>
      <w:bookmarkEnd w:id="4"/>
      <w:r w:rsidRPr="00610A40">
        <w:rPr>
          <w:sz w:val="24"/>
          <w:szCs w:val="24"/>
        </w:rPr>
        <w:t>: Schematic showing an electrospinning setu</w:t>
      </w:r>
      <w:r w:rsidR="00B0781E" w:rsidRPr="00610A40">
        <w:rPr>
          <w:sz w:val="24"/>
          <w:szCs w:val="24"/>
        </w:rPr>
        <w:t>p</w:t>
      </w:r>
      <w:r w:rsidRPr="00610A40">
        <w:rPr>
          <w:sz w:val="24"/>
          <w:szCs w:val="24"/>
        </w:rPr>
        <w:t>.</w:t>
      </w:r>
    </w:p>
    <w:p w14:paraId="6395CBE0" w14:textId="77777777" w:rsidR="00CB7C43" w:rsidRPr="00610A40" w:rsidRDefault="00CB7C43" w:rsidP="00CB7C43">
      <w:pPr>
        <w:rPr>
          <w:color w:val="auto"/>
          <w:szCs w:val="24"/>
        </w:rPr>
      </w:pPr>
    </w:p>
    <w:p w14:paraId="775D3908" w14:textId="01570C64" w:rsidR="009F3BF7" w:rsidRPr="00610A40" w:rsidRDefault="00CA2966" w:rsidP="004A0094">
      <w:pPr>
        <w:pStyle w:val="Heading2"/>
      </w:pPr>
      <w:r w:rsidRPr="00610A40">
        <w:rPr>
          <w:rFonts w:eastAsia="Times New Roman"/>
        </w:rPr>
        <w:t>3</w:t>
      </w:r>
      <w:r w:rsidR="009F3BF7" w:rsidRPr="00610A40">
        <w:rPr>
          <w:rFonts w:eastAsia="Times New Roman"/>
        </w:rPr>
        <w:t xml:space="preserve">.5 3D Printing, Photolithography and Laser </w:t>
      </w:r>
      <w:proofErr w:type="spellStart"/>
      <w:r w:rsidR="009F3BF7" w:rsidRPr="00610A40">
        <w:rPr>
          <w:rFonts w:eastAsia="Times New Roman"/>
        </w:rPr>
        <w:t>Microablation</w:t>
      </w:r>
      <w:proofErr w:type="spellEnd"/>
    </w:p>
    <w:p w14:paraId="4E61D706" w14:textId="52D0E6B6" w:rsidR="009F3BF7" w:rsidRPr="00610A40" w:rsidRDefault="009F3BF7" w:rsidP="009F3BF7">
      <w:pPr>
        <w:rPr>
          <w:color w:val="auto"/>
          <w:szCs w:val="24"/>
        </w:rPr>
      </w:pPr>
      <w:r w:rsidRPr="00610A40">
        <w:rPr>
          <w:color w:val="auto"/>
          <w:szCs w:val="24"/>
        </w:rPr>
        <w:t>Computer-aided fabrication processes, also known as rapid-prototyping or solid free-form techniques (SFF), are advantageous in producing scaffolds of complex geometries and accurately designed surface topography</w:t>
      </w:r>
      <w:r w:rsidRPr="00610A40">
        <w:rPr>
          <w:color w:val="auto"/>
          <w:szCs w:val="24"/>
        </w:rPr>
        <w:fldChar w:fldCharType="begin" w:fldLock="1"/>
      </w:r>
      <w:r w:rsidR="00565E2A" w:rsidRPr="00610A40">
        <w:rPr>
          <w:color w:val="auto"/>
          <w:szCs w:val="24"/>
        </w:rPr>
        <w:instrText>ADDIN CSL_CITATION { "citationItems" : [ { "id" : "ITEM-1", "itemData" : { "DOI" : "10.1039/c2ra20736b", "ISSN" : "20462069", "abstract" : "Recently there have been increasing research efforts in the development of elastomeric biomaterials with desirable biocompatibility, degradation profiles and mechanical properties for use in soft tissue engineering. This review provides an update on the progresses of developing biodegradable, soft elastomeric biomaterials and their tissue engineering scaffolding techniques. Following a brief review on traditional thermoplastic elastomers, including polyurethane (PU), polyhydroxyalkanoates (PHA) and aliphatic copolyesters, detailed review is devoted to the synthesis, properties and scaffold fabrication of recently developed soft, biodegradable elastomers, including poly(polyol sebacate) (PPS), PPS-based elastomers, and citric-acid based elastomers. Although biodegradable, soft elastomeric biomaterials have advantages (compliant and biodegradable), this review also identified a number of issues associated with these elastomers, including cytotoxicity, rapid in vivo degradation rates, and poor reproducibility. Future research directions are discussed to address these issues.", "author" : [ { "dropping-particle" : "", "family" : "Li", "given" : "Yuan", "non-dropping-particle" : "", "parse-names" : false, "suffix" : "" }, { "dropping-particle" : "", "family" : "Thouas", "given" : "George a", "non-dropping-particle" : "", "parse-names" : false, "suffix" : "" }, { "dropping-particle" : "", "family" : "Chen", "given" : "Qi-Zhi", "non-dropping-particle" : "", "parse-names" : false, "suffix" : "" } ], "container-title" : "RSC Advances", "id" : "ITEM-1", "issue" : "22", "issued" : { "date-parts" : [ [ "2012" ] ] }, "page" : "8229", "title" : "Biodegradable soft elastomers: synthesis/properties of materials and fabrication of scaffolds", "type" : "article-journal", "volume" : "2" }, "uris" : [ "http://www.mendeley.com/documents/?uuid=4bf4cac5-240a-4e16-9b74-98f653e8af60" ] } ], "mendeley" : { "formattedCitation" : "&lt;sup&gt;56&lt;/sup&gt;", "plainTextFormattedCitation" : "56", "previouslyFormattedCitation" : "&lt;sup&gt;56&lt;/sup&gt;"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56</w:t>
      </w:r>
      <w:r w:rsidRPr="00610A40">
        <w:rPr>
          <w:color w:val="auto"/>
          <w:szCs w:val="24"/>
        </w:rPr>
        <w:fldChar w:fldCharType="end"/>
      </w:r>
      <w:r w:rsidRPr="00610A40">
        <w:rPr>
          <w:color w:val="auto"/>
          <w:szCs w:val="24"/>
        </w:rPr>
        <w:t xml:space="preserve">. Computer-aided design (CAD) is used to precisely fine-tune the pore structures, scaffold porosity and scaffold permeability. There can be direct 3-dimensional </w:t>
      </w:r>
      <w:r w:rsidRPr="00610A40">
        <w:rPr>
          <w:color w:val="auto"/>
          <w:szCs w:val="24"/>
        </w:rPr>
        <w:lastRenderedPageBreak/>
        <w:t>(3D) printing and indirect 3D printing</w:t>
      </w:r>
      <w:r w:rsidRPr="00610A40">
        <w:rPr>
          <w:color w:val="auto"/>
          <w:szCs w:val="24"/>
        </w:rPr>
        <w:fldChar w:fldCharType="begin" w:fldLock="1"/>
      </w:r>
      <w:r w:rsidR="00565E2A" w:rsidRPr="00610A40">
        <w:rPr>
          <w:color w:val="auto"/>
          <w:szCs w:val="24"/>
        </w:rPr>
        <w:instrText>ADDIN CSL_CITATION { "citationItems" : [ { "id" : "ITEM-1", "itemData" : { "DOI" : "10.1002/adhm.201500168.3D", "author" : [ { "dropping-particle" : "", "family" : "Do", "given" : "Anh-vu", "non-dropping-particle" : "", "parse-names" : false, "suffix" : "" }, { "dropping-particle" : "", "family" : "Khorsand", "given" : "Behnoush", "non-dropping-particle" : "", "parse-names" : false, "suffix" : "" }, { "dropping-particle" : "", "family" : "Geary", "given" : "Sean M", "non-dropping-particle" : "", "parse-names" : false, "suffix" : "" }, { "dropping-particle" : "", "family" : "Salem", "given" : "Aliasger K", "non-dropping-particle" : "", "parse-names" : false, "suffix" : "" } ], "container-title" : "Adv Healthc Mater", "id" : "ITEM-1", "issue" : "12", "issued" : { "date-parts" : [ [ "2015" ] ] }, "page" : "1742-1762", "title" : "3D Printing of Scaffolds for Tissue Regeneration Applications", "type" : "article-journal", "volume" : "4" }, "uris" : [ "http://www.mendeley.com/documents/?uuid=63e9e26c-9385-4dbb-b530-e24f80e81000", "http://www.mendeley.com/documents/?uuid=8dd204d3-ce65-4209-b0c7-9a6259e788d9" ] } ], "mendeley" : { "formattedCitation" : "&lt;sup&gt;122&lt;/sup&gt;", "plainTextFormattedCitation" : "122", "previouslyFormattedCitation" : "&lt;sup&gt;121&lt;/sup&gt;"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122</w:t>
      </w:r>
      <w:r w:rsidRPr="00610A40">
        <w:rPr>
          <w:color w:val="auto"/>
          <w:szCs w:val="24"/>
        </w:rPr>
        <w:fldChar w:fldCharType="end"/>
      </w:r>
      <w:r w:rsidRPr="00610A40">
        <w:rPr>
          <w:color w:val="auto"/>
          <w:szCs w:val="24"/>
        </w:rPr>
        <w:t xml:space="preserve">. Direct 3D printing refers to the printing of an object with the polymer-of-interest directly, and indirect 3D printing refers to the 3D printing of molds for the casting of the polymer-of-interest.  For instance, </w:t>
      </w:r>
      <w:proofErr w:type="spellStart"/>
      <w:r w:rsidRPr="00610A40">
        <w:rPr>
          <w:color w:val="auto"/>
          <w:szCs w:val="24"/>
        </w:rPr>
        <w:t>stereolithography</w:t>
      </w:r>
      <w:proofErr w:type="spellEnd"/>
      <w:r w:rsidRPr="00610A40">
        <w:rPr>
          <w:color w:val="auto"/>
          <w:szCs w:val="24"/>
        </w:rPr>
        <w:t xml:space="preserve"> can be used to create inverse or negative wax mold, which  will then be used to shape the liquid </w:t>
      </w:r>
      <w:proofErr w:type="spellStart"/>
      <w:r w:rsidRPr="00610A40">
        <w:rPr>
          <w:color w:val="auto"/>
          <w:szCs w:val="24"/>
        </w:rPr>
        <w:t>prepolymer</w:t>
      </w:r>
      <w:proofErr w:type="spellEnd"/>
      <w:r w:rsidRPr="00610A40">
        <w:rPr>
          <w:color w:val="auto"/>
          <w:szCs w:val="24"/>
        </w:rPr>
        <w:t xml:space="preserve"> mixture such as poly(propylene </w:t>
      </w:r>
      <w:proofErr w:type="spellStart"/>
      <w:r w:rsidRPr="00610A40">
        <w:rPr>
          <w:color w:val="auto"/>
          <w:szCs w:val="24"/>
        </w:rPr>
        <w:t>fumarate</w:t>
      </w:r>
      <w:proofErr w:type="spellEnd"/>
      <w:r w:rsidRPr="00610A40">
        <w:rPr>
          <w:color w:val="auto"/>
          <w:szCs w:val="24"/>
        </w:rPr>
        <w:t xml:space="preserve">) and poly(glycerol </w:t>
      </w:r>
      <w:proofErr w:type="spellStart"/>
      <w:r w:rsidRPr="00610A40">
        <w:rPr>
          <w:color w:val="auto"/>
          <w:szCs w:val="24"/>
        </w:rPr>
        <w:t>sebacate</w:t>
      </w:r>
      <w:proofErr w:type="spellEnd"/>
      <w:r w:rsidRPr="00610A40">
        <w:rPr>
          <w:color w:val="auto"/>
          <w:szCs w:val="24"/>
        </w:rPr>
        <w:t>)</w:t>
      </w:r>
      <w:r w:rsidRPr="00610A40">
        <w:rPr>
          <w:color w:val="auto"/>
          <w:szCs w:val="24"/>
        </w:rPr>
        <w:fldChar w:fldCharType="begin" w:fldLock="1"/>
      </w:r>
      <w:r w:rsidR="00565E2A" w:rsidRPr="00610A40">
        <w:rPr>
          <w:color w:val="auto"/>
          <w:szCs w:val="24"/>
        </w:rPr>
        <w:instrText>ADDIN CSL_CITATION { "citationItems" : [ { "id" : "ITEM-1", "itemData" : { "DOI" : "10.1002/jbm.a.32653", "ISBN" : "1549-3296", "ISSN" : "15493296", "PMID" : "20091702", "abstract" : "Matching tissue engineering scaffold modulus to that of native tissue is highly desirable. Effective scaffold modulus can be altered through changes in base material modulus and/or scaffold pore architecture. Because the latter may be restricted by tissue in-growth requirements, it is advantageous to be able to alter the base material modulus of a chosen scaffold material. Here, we show that the bulk modulus of poly(glycerol sebacate) (PGS) can be changed by varying molar ratios during prepolymer synthesis and by varying curing time. We go on to show that PGS can be used to create 3D designed scaffolds via solid freeform fabrication methods with modulus values that fall within the ranges of native articular cartilage equilibrium modulus. Furthermore, using base material modulus inputs, homogenization finite element analysis can effectively predict the tangent modulus of PGS scaffold designs, which provides a significant advantage for designing new cartilage regeneration scaffolds. Lastly, we demonstrate that this relatively new biomedical material supports cartilaginous matrix production by chondrocytes in vitro. (c) 2010 Wiley Periodicals, Inc. J Biomed Mater Res, 2010.", "author" : [ { "dropping-particle" : "", "family" : "Kemppainen", "given" : "Jessica M.", "non-dropping-particle" : "", "parse-names" : false, "suffix" : "" }, { "dropping-particle" : "", "family" : "Hollister", "given" : "Scott J.", "non-dropping-particle" : "", "parse-names" : false, "suffix" : "" } ], "container-title" : "Journal of Biomedical Materials Research - Part A", "id" : "ITEM-1", "issue" : "1", "issued" : { "date-parts" : [ [ "2010" ] ] }, "page" : "9-18", "title" : "Tailoring the mechanical properties of 3D-designed poly(glycerol sebacate) scaffolds for cartilage applications", "type" : "article-journal", "volume" : "94" }, "uris" : [ "http://www.mendeley.com/documents/?uuid=345e433d-8cf6-4d1f-bf76-6e70d1aa4191" ] }, { "id" : "ITEM-2", "itemData" : { "author" : [ { "dropping-particle" : "", "family" : "Lee", "given" : "Kee-won", "non-dropping-particle" : "", "parse-names" : false, "suffix" : "" }, { "dropping-particle" : "", "family" : "Wang", "given" : "Shanfeng", "non-dropping-particle" : "", "parse-names" : false, "suffix" : "" }, { "dropping-particle" : "", "family" : "Lu", "given" : "Lichun", "non-dropping-particle" : "", "parse-names" : false, "suffix" : "" }, { "dropping-particle" : "", "family" : "Jabbari", "given" : "Esmaiel", "non-dropping-particle" : "", "parse-names" : false, "suffix" : "" }, { "dropping-particle" : "", "family" : "Currier", "given" : "Bradford L", "non-dropping-particle" : "", "parse-names" : false, "suffix" : "" }, { "dropping-particle" : "", "family" : "Yaszemski", "given" : "Michael J", "non-dropping-particle" : "", "parse-names" : false, "suffix" : "" } ], "container-title" : "Tissue Eng.", "id" : "ITEM-2", "issue" : "10", "issued" : { "date-parts" : [ [ "2006" ] ] }, "page" : "2801-2811", "title" : "Fabrication and Characterization of Poly(Propylene Fumarate) Scaffolds with Controlled Pore Structures Using 3-Dimensional Printing and Injection Molding", "type" : "article-journal", "volume" : "12" }, "uris" : [ "http://www.mendeley.com/documents/?uuid=39c4d012-b435-44a1-87ef-bbb0ed4e0657" ] } ], "mendeley" : { "formattedCitation" : "&lt;sup&gt;114,123&lt;/sup&gt;", "plainTextFormattedCitation" : "114,123", "previouslyFormattedCitation" : "&lt;sup&gt;113,122&lt;/sup&gt;"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114,123</w:t>
      </w:r>
      <w:r w:rsidRPr="00610A40">
        <w:rPr>
          <w:color w:val="auto"/>
          <w:szCs w:val="24"/>
        </w:rPr>
        <w:fldChar w:fldCharType="end"/>
      </w:r>
      <w:r w:rsidRPr="00610A40">
        <w:rPr>
          <w:color w:val="auto"/>
          <w:szCs w:val="24"/>
        </w:rPr>
        <w:t xml:space="preserve">. Crosslinking then occurs, yielding the completed scaffold. </w:t>
      </w:r>
    </w:p>
    <w:p w14:paraId="1A82E968" w14:textId="35EFCB88" w:rsidR="009F3BF7" w:rsidRPr="00610A40" w:rsidRDefault="009F3BF7" w:rsidP="009F3BF7">
      <w:pPr>
        <w:rPr>
          <w:color w:val="auto"/>
          <w:szCs w:val="24"/>
        </w:rPr>
      </w:pPr>
    </w:p>
    <w:p w14:paraId="2B4107A9" w14:textId="3A6C4B2B" w:rsidR="009F3BF7" w:rsidRPr="00610A40" w:rsidRDefault="009F3BF7" w:rsidP="009F3BF7">
      <w:pPr>
        <w:rPr>
          <w:color w:val="auto"/>
          <w:szCs w:val="24"/>
        </w:rPr>
      </w:pPr>
      <w:r w:rsidRPr="00610A40">
        <w:rPr>
          <w:color w:val="auto"/>
          <w:szCs w:val="24"/>
        </w:rPr>
        <w:t xml:space="preserve">For direct 3D printing, some of the common techniques used to fabricate polyester elastomers include </w:t>
      </w:r>
      <w:proofErr w:type="spellStart"/>
      <w:r w:rsidRPr="00610A40">
        <w:rPr>
          <w:color w:val="auto"/>
          <w:szCs w:val="24"/>
        </w:rPr>
        <w:t>stereolithography</w:t>
      </w:r>
      <w:proofErr w:type="spellEnd"/>
      <w:r w:rsidRPr="00610A40">
        <w:rPr>
          <w:color w:val="auto"/>
          <w:szCs w:val="24"/>
        </w:rPr>
        <w:t xml:space="preserve"> apparatus (SLA), direct light processing (DLP), selective laser sintering (SLS) and fused deposition modeling (FDM)</w:t>
      </w:r>
      <w:r w:rsidRPr="00610A40">
        <w:rPr>
          <w:color w:val="auto"/>
          <w:szCs w:val="24"/>
        </w:rPr>
        <w:fldChar w:fldCharType="begin" w:fldLock="1"/>
      </w:r>
      <w:r w:rsidR="00565E2A" w:rsidRPr="00610A40">
        <w:rPr>
          <w:color w:val="auto"/>
          <w:szCs w:val="24"/>
        </w:rPr>
        <w:instrText>ADDIN CSL_CITATION { "citationItems" : [ { "id" : "ITEM-1", "itemData" : { "DOI" : "10.1039/c2ra20736b", "ISSN" : "20462069", "abstract" : "Recently there have been increasing research efforts in the development of elastomeric biomaterials with desirable biocompatibility, degradation profiles and mechanical properties for use in soft tissue engineering. This review provides an update on the progresses of developing biodegradable, soft elastomeric biomaterials and their tissue engineering scaffolding techniques. Following a brief review on traditional thermoplastic elastomers, including polyurethane (PU), polyhydroxyalkanoates (PHA) and aliphatic copolyesters, detailed review is devoted to the synthesis, properties and scaffold fabrication of recently developed soft, biodegradable elastomers, including poly(polyol sebacate) (PPS), PPS-based elastomers, and citric-acid based elastomers. Although biodegradable, soft elastomeric biomaterials have advantages (compliant and biodegradable), this review also identified a number of issues associated with these elastomers, including cytotoxicity, rapid in vivo degradation rates, and poor reproducibility. Future research directions are discussed to address these issues.", "author" : [ { "dropping-particle" : "", "family" : "Li", "given" : "Yuan", "non-dropping-particle" : "", "parse-names" : false, "suffix" : "" }, { "dropping-particle" : "", "family" : "Thouas", "given" : "George a", "non-dropping-particle" : "", "parse-names" : false, "suffix" : "" }, { "dropping-particle" : "", "family" : "Chen", "given" : "Qi-Zhi", "non-dropping-particle" : "", "parse-names" : false, "suffix" : "" } ], "container-title" : "RSC Advances", "id" : "ITEM-1", "issue" : "22", "issued" : { "date-parts" : [ [ "2012" ] ] }, "page" : "8229", "title" : "Biodegradable soft elastomers: synthesis/properties of materials and fabrication of scaffolds", "type" : "article-journal", "volume" : "2" }, "uris" : [ "http://www.mendeley.com/documents/?uuid=4bf4cac5-240a-4e16-9b74-98f653e8af60" ] } ], "mendeley" : { "formattedCitation" : "&lt;sup&gt;56&lt;/sup&gt;", "plainTextFormattedCitation" : "56", "previouslyFormattedCitation" : "&lt;sup&gt;56&lt;/sup&gt;"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56</w:t>
      </w:r>
      <w:r w:rsidRPr="00610A40">
        <w:rPr>
          <w:color w:val="auto"/>
          <w:szCs w:val="24"/>
        </w:rPr>
        <w:fldChar w:fldCharType="end"/>
      </w:r>
      <w:r w:rsidRPr="00610A40">
        <w:rPr>
          <w:color w:val="auto"/>
          <w:szCs w:val="24"/>
        </w:rPr>
        <w:t xml:space="preserve">. These techniques construct 3D objects in a layer-by-layer manner.   </w:t>
      </w:r>
      <w:proofErr w:type="spellStart"/>
      <w:r w:rsidRPr="00610A40">
        <w:rPr>
          <w:color w:val="auto"/>
          <w:szCs w:val="24"/>
        </w:rPr>
        <w:t>Photopolymerization</w:t>
      </w:r>
      <w:proofErr w:type="spellEnd"/>
      <w:r w:rsidRPr="00610A40">
        <w:rPr>
          <w:color w:val="auto"/>
          <w:szCs w:val="24"/>
        </w:rPr>
        <w:t xml:space="preserve"> is usually used in SLA to produce a solid from a thin layer of liquid polymers. A laser beam traces the shape of each plane of the desired object according to the CAD drawing and cures the layer of liquid polymer to form a layer of the solid object. A new layer of liquid polymer is then introduced and the laser curing continues in a layer-by-layer fashion to form the final solid shape. Once printing is completed, the object needs to be rinsed with a solvent and then placed in an ultraviolet oven to finish processing</w:t>
      </w:r>
      <w:r w:rsidRPr="00610A40">
        <w:rPr>
          <w:color w:val="auto"/>
          <w:szCs w:val="24"/>
        </w:rPr>
        <w:fldChar w:fldCharType="begin" w:fldLock="1"/>
      </w:r>
      <w:r w:rsidR="00565E2A" w:rsidRPr="00610A40">
        <w:rPr>
          <w:color w:val="auto"/>
          <w:szCs w:val="24"/>
        </w:rPr>
        <w:instrText>ADDIN CSL_CITATION { "citationItems" : [ { "id" : "ITEM-1", "itemData" : { "id" : "ITEM-1", "issued" : { "date-parts" : [ [ "0" ] ] }, "title" : "Types of 3D printers or 3D printing technologies overview | 3D Printing from scratch", "type" : "webpage" }, "uris" : [ "http://www.mendeley.com/documents/?uuid=0517ccd0-a74b-3bbc-9e08-894d124410b3", "http://www.mendeley.com/documents/?uuid=698c87ab-6c47-49cc-9506-0520bf7802df" ] } ], "mendeley" : { "formattedCitation" : "&lt;sup&gt;124&lt;/sup&gt;", "plainTextFormattedCitation" : "124", "previouslyFormattedCitation" : "&lt;sup&gt;123&lt;/sup&gt;"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124</w:t>
      </w:r>
      <w:r w:rsidRPr="00610A40">
        <w:rPr>
          <w:color w:val="auto"/>
          <w:szCs w:val="24"/>
        </w:rPr>
        <w:fldChar w:fldCharType="end"/>
      </w:r>
      <w:r w:rsidRPr="00610A40">
        <w:rPr>
          <w:color w:val="auto"/>
          <w:szCs w:val="24"/>
        </w:rPr>
        <w:t>. DLP is a type of 3D printing that is very similar to SLA, except the light source. In DLP, light is shone on the entire plane of the liquid resin, solidifying the entire layer in a short period of time. DLP is fast, robust and has a high resolution, with less wastage of the liquid resin compared to SLA</w:t>
      </w:r>
      <w:r w:rsidRPr="00610A40">
        <w:rPr>
          <w:color w:val="auto"/>
          <w:szCs w:val="24"/>
        </w:rPr>
        <w:fldChar w:fldCharType="begin" w:fldLock="1"/>
      </w:r>
      <w:r w:rsidR="00565E2A" w:rsidRPr="00610A40">
        <w:rPr>
          <w:color w:val="auto"/>
          <w:szCs w:val="24"/>
        </w:rPr>
        <w:instrText>ADDIN CSL_CITATION { "citationItems" : [ { "id" : "ITEM-1", "itemData" : { "id" : "ITEM-1", "issued" : { "date-parts" : [ [ "0" ] ] }, "title" : "Types of 3D printers or 3D printing technologies overview | 3D Printing from scratch", "type" : "webpage" }, "uris" : [ "http://www.mendeley.com/documents/?uuid=698c87ab-6c47-49cc-9506-0520bf7802df", "http://www.mendeley.com/documents/?uuid=0517ccd0-a74b-3bbc-9e08-894d124410b3" ] } ], "mendeley" : { "formattedCitation" : "&lt;sup&gt;124&lt;/sup&gt;", "plainTextFormattedCitation" : "124", "previouslyFormattedCitation" : "&lt;sup&gt;123&lt;/sup&gt;"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124</w:t>
      </w:r>
      <w:r w:rsidRPr="00610A40">
        <w:rPr>
          <w:color w:val="auto"/>
          <w:szCs w:val="24"/>
        </w:rPr>
        <w:fldChar w:fldCharType="end"/>
      </w:r>
      <w:r w:rsidRPr="00610A40">
        <w:rPr>
          <w:color w:val="auto"/>
          <w:szCs w:val="24"/>
        </w:rPr>
        <w:t xml:space="preserve">. Polypropylene </w:t>
      </w:r>
      <w:proofErr w:type="spellStart"/>
      <w:r w:rsidRPr="00610A40">
        <w:rPr>
          <w:color w:val="auto"/>
          <w:szCs w:val="24"/>
        </w:rPr>
        <w:t>fumarate</w:t>
      </w:r>
      <w:proofErr w:type="spellEnd"/>
      <w:r w:rsidRPr="00610A40">
        <w:rPr>
          <w:color w:val="auto"/>
          <w:szCs w:val="24"/>
        </w:rPr>
        <w:t xml:space="preserve"> (PPF), due to its</w:t>
      </w:r>
      <w:r w:rsidR="00D5605F" w:rsidRPr="00610A40">
        <w:rPr>
          <w:color w:val="auto"/>
          <w:szCs w:val="24"/>
        </w:rPr>
        <w:t xml:space="preserve"> ability to</w:t>
      </w:r>
      <w:r w:rsidRPr="00610A40">
        <w:rPr>
          <w:color w:val="auto"/>
          <w:szCs w:val="24"/>
        </w:rPr>
        <w:t xml:space="preserve"> </w:t>
      </w:r>
      <w:proofErr w:type="spellStart"/>
      <w:r w:rsidRPr="00610A40">
        <w:rPr>
          <w:color w:val="auto"/>
          <w:szCs w:val="24"/>
        </w:rPr>
        <w:t>photocrosslink</w:t>
      </w:r>
      <w:proofErr w:type="spellEnd"/>
      <w:r w:rsidRPr="00610A40">
        <w:rPr>
          <w:color w:val="auto"/>
          <w:szCs w:val="24"/>
        </w:rPr>
        <w:t>, has been used in both SLA</w:t>
      </w:r>
      <w:r w:rsidRPr="00610A40">
        <w:rPr>
          <w:color w:val="auto"/>
          <w:szCs w:val="24"/>
        </w:rPr>
        <w:fldChar w:fldCharType="begin" w:fldLock="1"/>
      </w:r>
      <w:r w:rsidR="00565E2A" w:rsidRPr="00610A40">
        <w:rPr>
          <w:color w:val="auto"/>
          <w:szCs w:val="24"/>
        </w:rPr>
        <w:instrText>ADDIN CSL_CITATION { "citationItems" : [ { "id" : "ITEM-1", "itemData" : { "DOI" : "10.1002/jbm.b.10485", "ISSN" : "0021-9304", "PMID" : "12516080", "abstract" : "A novel approach to the manufacture of biodegradable polymeric scaffolds for tissue-engineering utilizing stereolithography (SLA) is presented. SLA is a three-dimensional (3D) printing method that uses an ultraviolet laser to photo-crosslink a liquid polymer substrate. The current generation of SLA devices provide a 3D printing resolution of 0.1 mm. The experiments utilized a biodegradable resin mixture of diethyl fumarate (DEF), poly(propylene fumarate) (PPF), and a photoinitiator, bisacylphosphine oxide (BAPO). The PPF is crosslinked with the use of the SLA's UV laser (325-nm wavelength). An SLA device was retrofitted with a custom fixture build tank enclosing an elevator-driven build table. A 3D prototype model testing the manufacturing control this device provides was created in a computer-aided-design package. The resulting geometric data were used to drive the SLA process, and a DEF/PPF prototype part was successfully manufactured. These scaffolds have application in the tissue engineering of bony substrates.", "author" : [ { "dropping-particle" : "", "family" : "Cooke", "given" : "Malcolm N.", "non-dropping-particle" : "", "parse-names" : false, "suffix" : "" }, { "dropping-particle" : "", "family" : "Fisher", "given" : "John P.", "non-dropping-particle" : "", "parse-names" : false, "suffix" : "" }, { "dropping-particle" : "", "family" : "Dean", "given" : "David", "non-dropping-particle" : "", "parse-names" : false, "suffix" : "" }, { "dropping-particle" : "", "family" : "Rimnac", "given" : "Clare", "non-dropping-particle" : "", "parse-names" : false, "suffix" : "" }, { "dropping-particle" : "", "family" : "Mikos", "given" : "Antonios G.", "non-dropping-particle" : "", "parse-names" : false, "suffix" : "" } ], "container-title" : "Journal of Biomedical Materials Research", "id" : "ITEM-1", "issue" : "2", "issued" : { "date-parts" : [ [ "2003", "2" ] ] }, "page" : "65-69", "title" : "Use of stereolithography to manufacture critical-sized 3D biodegradable scaffolds for bone ingrowth", "type" : "article-journal", "volume" : "64B" }, "uris" : [ "http://www.mendeley.com/documents/?uuid=df5a9b24-3c42-33fc-b561-4df2d57775d5", "http://www.mendeley.com/documents/?uuid=fa8c5e3e-8a6c-44f6-ae4d-bc2152659eed" ] } ], "mendeley" : { "formattedCitation" : "&lt;sup&gt;125&lt;/sup&gt;", "plainTextFormattedCitation" : "125", "previouslyFormattedCitation" : "&lt;sup&gt;124&lt;/sup&gt;"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125</w:t>
      </w:r>
      <w:r w:rsidRPr="00610A40">
        <w:rPr>
          <w:color w:val="auto"/>
          <w:szCs w:val="24"/>
        </w:rPr>
        <w:fldChar w:fldCharType="end"/>
      </w:r>
      <w:r w:rsidRPr="00610A40">
        <w:rPr>
          <w:color w:val="auto"/>
          <w:szCs w:val="24"/>
        </w:rPr>
        <w:t xml:space="preserve"> and DLP</w:t>
      </w:r>
      <w:r w:rsidRPr="00610A40">
        <w:rPr>
          <w:color w:val="auto"/>
          <w:szCs w:val="24"/>
        </w:rPr>
        <w:fldChar w:fldCharType="begin" w:fldLock="1"/>
      </w:r>
      <w:r w:rsidR="00565E2A" w:rsidRPr="00610A40">
        <w:rPr>
          <w:color w:val="auto"/>
          <w:szCs w:val="24"/>
        </w:rPr>
        <w:instrText>ADDIN CSL_CITATION { "citationItems" : [ { "id" : "ITEM-1", "itemData" : { "DOI" : "10.1002/adhm.201500725", "ISBN" : "2192-2659 (Electronic)\\r2192-2640 (Linking)", "ISSN" : "21922659", "PMID" : "26627057", "abstract" : "Congenital heart defect interventions may benefit from the fabrication of patient-specific vascular grafts because of the wide array of anatomies present in children with cardiovascular defects. 3D printing is used to establish a platform for the production of custom vascular grafts, which are biodegradable, mechanically compatible with vascular tissues, and support neotissue formation and growth.", "author" : [ { "dropping-particle" : "", "family" : "Melchiorri", "given" : "Anthony J.", "non-dropping-particle" : "", "parse-names" : false, "suffix" : "" }, { "dropping-particle" : "", "family" : "Hibino", "given" : "Narutoshi", "non-dropping-particle" : "", "parse-names" : false, "suffix" : "" }, { "dropping-particle" : "", "family" : "Best", "given" : "C. A.", "non-dropping-particle" : "", "parse-names" : false, "suffix" : "" }, { "dropping-particle" : "", "family" : "Yi", "given" : "T.", "non-dropping-particle" : "", "parse-names" : false, "suffix" : "" }, { "dropping-particle" : "", "family" : "Lee", "given" : "Y. U.", "non-dropping-particle" : "", "parse-names" : false, "suffix" : "" }, { "dropping-particle" : "", "family" : "Kraynak", "given" : "C. A.", "non-dropping-particle" : "", "parse-names" : false, "suffix" : "" }, { "dropping-particle" : "", "family" : "Kimerer", "given" : "Lucas K.", "non-dropping-particle" : "", "parse-names" : false, "suffix" : "" }, { "dropping-particle" : "", "family" : "Krieger", "given" : "A.", "non-dropping-particle" : "", "parse-names" : false, "suffix" : "" }, { "dropping-particle" : "", "family" : "Kim", "given" : "P.", "non-dropping-particle" : "", "parse-names" : false, "suffix" : "" }, { "dropping-particle" : "", "family" : "Breuer", "given" : "Christopher K.", "non-dropping-particle" : "", "parse-names" : false, "suffix" : "" }, { "dropping-particle" : "", "family" : "Fisher", "given" : "John P.", "non-dropping-particle" : "", "parse-names" : false, "suffix" : "" } ], "container-title" : "Advanced Healthcare Materials", "id" : "ITEM-1", "issue" : "3", "issued" : { "date-parts" : [ [ "2016" ] ] }, "page" : "319-325", "title" : "3D-Printed Biodegradable Polymeric Vascular Grafts", "type" : "article-journal", "volume" : "5" }, "uris" : [ "http://www.mendeley.com/documents/?uuid=d013fd49-7a1b-410d-802c-9d1a231d7199", "http://www.mendeley.com/documents/?uuid=ac2897e5-442f-4e03-9229-fa128d19ac91" ] } ], "mendeley" : { "formattedCitation" : "&lt;sup&gt;126&lt;/sup&gt;", "plainTextFormattedCitation" : "126", "previouslyFormattedCitation" : "&lt;sup&gt;125&lt;/sup&gt;"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126</w:t>
      </w:r>
      <w:r w:rsidRPr="00610A40">
        <w:rPr>
          <w:color w:val="auto"/>
          <w:szCs w:val="24"/>
        </w:rPr>
        <w:fldChar w:fldCharType="end"/>
      </w:r>
      <w:r w:rsidRPr="00610A40">
        <w:rPr>
          <w:color w:val="auto"/>
          <w:szCs w:val="24"/>
        </w:rPr>
        <w:t xml:space="preserve"> for the fabrication of tissue engineering scaffold, using </w:t>
      </w:r>
      <w:proofErr w:type="spellStart"/>
      <w:r w:rsidRPr="00610A40">
        <w:rPr>
          <w:color w:val="auto"/>
          <w:szCs w:val="24"/>
        </w:rPr>
        <w:t>bisacylphosphine</w:t>
      </w:r>
      <w:proofErr w:type="spellEnd"/>
      <w:r w:rsidRPr="00610A40">
        <w:rPr>
          <w:color w:val="auto"/>
          <w:szCs w:val="24"/>
        </w:rPr>
        <w:t xml:space="preserve"> oxide (BAPO) as the </w:t>
      </w:r>
      <w:proofErr w:type="spellStart"/>
      <w:r w:rsidRPr="00610A40">
        <w:rPr>
          <w:color w:val="auto"/>
          <w:szCs w:val="24"/>
        </w:rPr>
        <w:t>photoinitiator</w:t>
      </w:r>
      <w:proofErr w:type="spellEnd"/>
      <w:r w:rsidRPr="00610A40">
        <w:rPr>
          <w:color w:val="auto"/>
          <w:szCs w:val="24"/>
        </w:rPr>
        <w:t xml:space="preserve">. However, for biomedical application the inclusion of </w:t>
      </w:r>
      <w:proofErr w:type="spellStart"/>
      <w:r w:rsidRPr="00610A40">
        <w:rPr>
          <w:color w:val="auto"/>
          <w:szCs w:val="24"/>
        </w:rPr>
        <w:lastRenderedPageBreak/>
        <w:t>photoinitiators</w:t>
      </w:r>
      <w:proofErr w:type="spellEnd"/>
      <w:r w:rsidRPr="00610A40">
        <w:rPr>
          <w:color w:val="auto"/>
          <w:szCs w:val="24"/>
        </w:rPr>
        <w:t xml:space="preserve"> may increase the toxicity of the material towards biological tissues. A thorough washout of all unreacted </w:t>
      </w:r>
      <w:proofErr w:type="spellStart"/>
      <w:r w:rsidRPr="00610A40">
        <w:rPr>
          <w:color w:val="auto"/>
          <w:szCs w:val="24"/>
        </w:rPr>
        <w:t>photoinitiators</w:t>
      </w:r>
      <w:proofErr w:type="spellEnd"/>
      <w:r w:rsidRPr="00610A40">
        <w:rPr>
          <w:color w:val="auto"/>
          <w:szCs w:val="24"/>
        </w:rPr>
        <w:t xml:space="preserve"> and </w:t>
      </w:r>
      <w:proofErr w:type="spellStart"/>
      <w:r w:rsidRPr="00610A40">
        <w:rPr>
          <w:color w:val="auto"/>
          <w:szCs w:val="24"/>
        </w:rPr>
        <w:t>photocrosslinkers</w:t>
      </w:r>
      <w:proofErr w:type="spellEnd"/>
      <w:r w:rsidRPr="00610A40">
        <w:rPr>
          <w:color w:val="auto"/>
          <w:szCs w:val="24"/>
        </w:rPr>
        <w:t xml:space="preserve"> are necessary. </w:t>
      </w:r>
    </w:p>
    <w:p w14:paraId="78CF9FCE" w14:textId="77777777" w:rsidR="009F3BF7" w:rsidRPr="00610A40" w:rsidRDefault="009F3BF7" w:rsidP="009F3BF7">
      <w:pPr>
        <w:rPr>
          <w:color w:val="auto"/>
          <w:szCs w:val="24"/>
        </w:rPr>
      </w:pPr>
    </w:p>
    <w:p w14:paraId="503291A1" w14:textId="3072A22E" w:rsidR="009F3BF7" w:rsidRPr="00610A40" w:rsidRDefault="009F3BF7" w:rsidP="009F3BF7">
      <w:pPr>
        <w:rPr>
          <w:color w:val="auto"/>
          <w:szCs w:val="24"/>
        </w:rPr>
      </w:pPr>
      <w:r w:rsidRPr="00610A40">
        <w:rPr>
          <w:color w:val="auto"/>
          <w:szCs w:val="24"/>
        </w:rPr>
        <w:t>Selective laser sintering (SLS) is another technique used in the 3D printing of tissue scaffolds. It works by the sintering of powdered resins/polymers using a laser beam to form solid objects. The printing is also done layer-by-layer, with a new layer of powder applied on top of the last-printed layer. The SLS technique is more suitable for applications with high mechanical strength and low porosity. Appropriate pre- and post-heat treatment of the polymer resin is also required to reduce the shrinkage of the final object</w:t>
      </w:r>
      <w:r w:rsidRPr="00610A40">
        <w:rPr>
          <w:color w:val="auto"/>
          <w:szCs w:val="24"/>
        </w:rPr>
        <w:fldChar w:fldCharType="begin" w:fldLock="1"/>
      </w:r>
      <w:r w:rsidR="00565E2A" w:rsidRPr="00610A40">
        <w:rPr>
          <w:color w:val="auto"/>
          <w:szCs w:val="24"/>
        </w:rPr>
        <w:instrText>ADDIN CSL_CITATION { "citationItems" : [ { "id" : "ITEM-1", "itemData" : { "DOI" : "10.1002/adhm.201500168.3D", "author" : [ { "dropping-particle" : "", "family" : "Do", "given" : "Anh-vu", "non-dropping-particle" : "", "parse-names" : false, "suffix" : "" }, { "dropping-particle" : "", "family" : "Khorsand", "given" : "Behnoush", "non-dropping-particle" : "", "parse-names" : false, "suffix" : "" }, { "dropping-particle" : "", "family" : "Geary", "given" : "Sean M", "non-dropping-particle" : "", "parse-names" : false, "suffix" : "" }, { "dropping-particle" : "", "family" : "Salem", "given" : "Aliasger K", "non-dropping-particle" : "", "parse-names" : false, "suffix" : "" } ], "container-title" : "Adv Healthc Mater", "id" : "ITEM-1", "issue" : "12", "issued" : { "date-parts" : [ [ "2015" ] ] }, "page" : "1742-1762", "title" : "3D Printing of Scaffolds for Tissue Regeneration Applications", "type" : "article-journal", "volume" : "4" }, "uris" : [ "http://www.mendeley.com/documents/?uuid=8dd204d3-ce65-4209-b0c7-9a6259e788d9", "http://www.mendeley.com/documents/?uuid=63e9e26c-9385-4dbb-b530-e24f80e81000" ] } ], "mendeley" : { "formattedCitation" : "&lt;sup&gt;122&lt;/sup&gt;", "plainTextFormattedCitation" : "122", "previouslyFormattedCitation" : "&lt;sup&gt;121&lt;/sup&gt;"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122</w:t>
      </w:r>
      <w:r w:rsidRPr="00610A40">
        <w:rPr>
          <w:color w:val="auto"/>
          <w:szCs w:val="24"/>
        </w:rPr>
        <w:fldChar w:fldCharType="end"/>
      </w:r>
      <w:r w:rsidRPr="00610A40">
        <w:rPr>
          <w:color w:val="auto"/>
          <w:szCs w:val="24"/>
        </w:rPr>
        <w:t>. Various other parameters such as the laser power, scan spacing and laser thickness have to be optimized as they may have a significant effect on the mechanical properties of the final printed object</w:t>
      </w:r>
      <w:r w:rsidRPr="00610A40">
        <w:rPr>
          <w:color w:val="auto"/>
          <w:szCs w:val="24"/>
        </w:rPr>
        <w:fldChar w:fldCharType="begin" w:fldLock="1"/>
      </w:r>
      <w:r w:rsidR="00565E2A" w:rsidRPr="00610A40">
        <w:rPr>
          <w:color w:val="auto"/>
          <w:szCs w:val="24"/>
        </w:rPr>
        <w:instrText>ADDIN CSL_CITATION { "citationItems" : [ { "id" : "ITEM-1", "itemData" : { "DOI" : "10.1088/1758-5082/3/1/015001", "ISSN" : "1758-5082", "PMID" : "21245522", "abstract" : "Biomaterials for scaffolds and scaffold fabrication techniques are two key elements in scaffold-based tissue engineering. Nanocomposites that consist of biodegradable polymers and osteoconductive bioceramic nanoparticles and advanced scaffold manufacturing techniques, such as rapid prototyping (RP) technologies, have attracted much attention for developing new bone tissue engineering strategies. In the current study, poly(hydroxybutyrate-co-hydroxyvalerate) (PHBV) microspheres and calcium phosphate (Ca-P)/PHBV nanocomposite microspheres were fabricated using the oil-in-water (O/W) and solid-in-oil-in-water (S/O/W) emulsion solvent evaporation methods. The microspheres with suitable sizes were then used as raw materials for scaffold fabrication via selective laser sintering (SLS), which is a mature RP technique. A three-factor three-level complete factorial design was applied to investigate the effects of the three factors (laser power, scan spacing, and layer thickness) in SLS and to optimize SLS parameters for producing good-quality PHBV polymer scaffolds and Ca-P/PHBV nanocomposite scaffolds. The plots of the main effects of these three factors and the three-dimensional response surface were constructed and discussed. Based on the regression equation, optimized PHBV scaffolds and Ca-P/PHBV scaffolds were fabricated using the optimized values of SLS parameters. Characterization of optimized PHBV scaffolds and Ca-P/PHBV scaffolds verified the optimization process. It has also been demonstrated that SLS has the capability of constructing good-quality, sophisticated porous structures of complex shape, which some tissue engineering applications may require.", "author" : [ { "dropping-particle" : "", "family" : "Duan", "given" : "Bin", "non-dropping-particle" : "", "parse-names" : false, "suffix" : "" }, { "dropping-particle" : "", "family" : "Cheung", "given" : "Wai Lam", "non-dropping-particle" : "", "parse-names" : false, "suffix" : "" }, { "dropping-particle" : "", "family" : "Wang", "given" : "Min", "non-dropping-particle" : "", "parse-names" : false, "suffix" : "" } ], "container-title" : "Biofabrication", "id" : "ITEM-1", "issue" : "1", "issued" : { "date-parts" : [ [ "2011", "3" ] ] }, "page" : "015001", "title" : "Optimized fabrication of Ca\u2013P/PHBV nanocomposite scaffolds via selective laser sintering for bone tissue engineering", "type" : "article-journal", "volume" : "3" }, "uris" : [ "http://www.mendeley.com/documents/?uuid=db795133-31bb-37e0-9270-19accf6484cf", "http://www.mendeley.com/documents/?uuid=98f481c9-d1c0-44f7-8d72-e7cbec870999" ] }, { "id" : "ITEM-2", "itemData" : { "DOI" : "10.1002/adhm.201500168.3D", "author" : [ { "dropping-particle" : "", "family" : "Do", "given" : "Anh-vu", "non-dropping-particle" : "", "parse-names" : false, "suffix" : "" }, { "dropping-particle" : "", "family" : "Khorsand", "given" : "Behnoush", "non-dropping-particle" : "", "parse-names" : false, "suffix" : "" }, { "dropping-particle" : "", "family" : "Geary", "given" : "Sean M", "non-dropping-particle" : "", "parse-names" : false, "suffix" : "" }, { "dropping-particle" : "", "family" : "Salem", "given" : "Aliasger K", "non-dropping-particle" : "", "parse-names" : false, "suffix" : "" } ], "container-title" : "Adv Healthc Mater", "id" : "ITEM-2", "issue" : "12", "issued" : { "date-parts" : [ [ "2015" ] ] }, "page" : "1742-1762", "title" : "3D Printing of Scaffolds for Tissue Regeneration Applications", "type" : "article-journal", "volume" : "4" }, "uris" : [ "http://www.mendeley.com/documents/?uuid=8dd204d3-ce65-4209-b0c7-9a6259e788d9", "http://www.mendeley.com/documents/?uuid=63e9e26c-9385-4dbb-b530-e24f80e81000" ] } ], "mendeley" : { "formattedCitation" : "&lt;sup&gt;122,127&lt;/sup&gt;", "plainTextFormattedCitation" : "122,127", "previouslyFormattedCitation" : "&lt;sup&gt;121,126&lt;/sup&gt;"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122,127</w:t>
      </w:r>
      <w:r w:rsidRPr="00610A40">
        <w:rPr>
          <w:color w:val="auto"/>
          <w:szCs w:val="24"/>
        </w:rPr>
        <w:fldChar w:fldCharType="end"/>
      </w:r>
      <w:r w:rsidRPr="00610A40">
        <w:rPr>
          <w:color w:val="auto"/>
          <w:szCs w:val="24"/>
        </w:rPr>
        <w:t>.</w:t>
      </w:r>
    </w:p>
    <w:p w14:paraId="3F09A7A1" w14:textId="77777777" w:rsidR="009F3BF7" w:rsidRPr="00610A40" w:rsidRDefault="009F3BF7" w:rsidP="009F3BF7">
      <w:pPr>
        <w:rPr>
          <w:color w:val="auto"/>
          <w:szCs w:val="24"/>
        </w:rPr>
      </w:pPr>
    </w:p>
    <w:p w14:paraId="707092AB" w14:textId="5E26FBD0" w:rsidR="009F3BF7" w:rsidRPr="00610A40" w:rsidRDefault="009F3BF7" w:rsidP="009F3BF7">
      <w:pPr>
        <w:rPr>
          <w:color w:val="auto"/>
          <w:szCs w:val="24"/>
        </w:rPr>
      </w:pPr>
      <w:r w:rsidRPr="00610A40">
        <w:rPr>
          <w:color w:val="auto"/>
          <w:szCs w:val="24"/>
        </w:rPr>
        <w:t xml:space="preserve">The FDM technique works with thermoplastics as it melts and extrudes its resin via a nozzle onto a base according to its path as planned out in CAD. The FDM machine extrudes or prints melted thermoplastics layer-by-layer, forming a solidified object after the extruded thermoplastic layers fuses with the previous layers as they cool down. The objects printed are ready to be used once the support materials (introduced in order to print certain geometries) are washed off. Thermoplastic biocompatible, biodegradable elastomeric materials have been used for printing of tissue scaffold via FDM. </w:t>
      </w:r>
      <w:proofErr w:type="gramStart"/>
      <w:r w:rsidRPr="00610A40">
        <w:rPr>
          <w:color w:val="auto"/>
          <w:szCs w:val="24"/>
        </w:rPr>
        <w:t xml:space="preserve">The advantage of FDM that it eliminates the use of organic solvents which may be used to dissolve polymer resins in SLA or DLP to form liquid polymer solutions before </w:t>
      </w:r>
      <w:proofErr w:type="spellStart"/>
      <w:r w:rsidRPr="00610A40">
        <w:rPr>
          <w:color w:val="auto"/>
          <w:szCs w:val="24"/>
        </w:rPr>
        <w:t>photocrosslinking</w:t>
      </w:r>
      <w:proofErr w:type="spellEnd"/>
      <w:r w:rsidRPr="00610A40">
        <w:rPr>
          <w:color w:val="auto"/>
          <w:szCs w:val="24"/>
        </w:rPr>
        <w:t>.</w:t>
      </w:r>
      <w:proofErr w:type="gramEnd"/>
      <w:r w:rsidRPr="00610A40">
        <w:rPr>
          <w:color w:val="auto"/>
          <w:szCs w:val="24"/>
        </w:rPr>
        <w:t xml:space="preserve"> </w:t>
      </w:r>
    </w:p>
    <w:p w14:paraId="29B79964" w14:textId="77777777" w:rsidR="009F3BF7" w:rsidRPr="00610A40" w:rsidRDefault="009F3BF7" w:rsidP="009F3BF7">
      <w:pPr>
        <w:rPr>
          <w:color w:val="auto"/>
          <w:szCs w:val="24"/>
        </w:rPr>
      </w:pPr>
    </w:p>
    <w:p w14:paraId="03846121" w14:textId="7E688691" w:rsidR="009F3BF7" w:rsidRPr="00610A40" w:rsidRDefault="009F3BF7" w:rsidP="009F3BF7">
      <w:pPr>
        <w:rPr>
          <w:color w:val="auto"/>
          <w:szCs w:val="24"/>
        </w:rPr>
      </w:pPr>
      <w:r w:rsidRPr="00610A40">
        <w:rPr>
          <w:color w:val="auto"/>
          <w:szCs w:val="24"/>
        </w:rPr>
        <w:lastRenderedPageBreak/>
        <w:t xml:space="preserve">Photolithography enables the micro-patterning of a substrate via light / laser treatment.  Computerized data can be used to manufacture the </w:t>
      </w:r>
      <w:proofErr w:type="spellStart"/>
      <w:r w:rsidRPr="00610A40">
        <w:rPr>
          <w:color w:val="auto"/>
          <w:szCs w:val="24"/>
        </w:rPr>
        <w:t>photomask</w:t>
      </w:r>
      <w:proofErr w:type="spellEnd"/>
      <w:r w:rsidRPr="00610A40">
        <w:rPr>
          <w:color w:val="auto"/>
          <w:szCs w:val="24"/>
        </w:rPr>
        <w:t xml:space="preserve"> to contain complex micro- or </w:t>
      </w:r>
      <w:proofErr w:type="spellStart"/>
      <w:r w:rsidRPr="00610A40">
        <w:rPr>
          <w:color w:val="auto"/>
          <w:szCs w:val="24"/>
        </w:rPr>
        <w:t>nano</w:t>
      </w:r>
      <w:proofErr w:type="spellEnd"/>
      <w:r w:rsidRPr="00610A40">
        <w:rPr>
          <w:color w:val="auto"/>
          <w:szCs w:val="24"/>
        </w:rPr>
        <w:t xml:space="preserve">- features. This </w:t>
      </w:r>
      <w:proofErr w:type="spellStart"/>
      <w:r w:rsidRPr="00610A40">
        <w:rPr>
          <w:color w:val="auto"/>
          <w:szCs w:val="24"/>
        </w:rPr>
        <w:t>photomask</w:t>
      </w:r>
      <w:proofErr w:type="spellEnd"/>
      <w:r w:rsidRPr="00610A40">
        <w:rPr>
          <w:color w:val="auto"/>
          <w:szCs w:val="24"/>
        </w:rPr>
        <w:t xml:space="preserve"> is placed above the photoresist. This photoresist is light-sensitive and can either be a positive or negative (inverse) photoresist. The desired geometric patterns will be transferred onto the substrate, which is placed below the photoresist. Photolithography and plasma etching can produce silicon masters with features less than 10μm </w:t>
      </w:r>
      <w:r w:rsidRPr="00610A40">
        <w:rPr>
          <w:bCs/>
          <w:color w:val="auto"/>
          <w:szCs w:val="24"/>
        </w:rPr>
        <w:t>-</w:t>
      </w:r>
      <w:r w:rsidRPr="00610A40">
        <w:rPr>
          <w:color w:val="auto"/>
          <w:szCs w:val="24"/>
        </w:rPr>
        <w:t xml:space="preserve"> a very relevant length scale for cell-material interaction</w:t>
      </w:r>
      <w:r w:rsidRPr="00610A40">
        <w:rPr>
          <w:b/>
          <w:bCs/>
          <w:color w:val="auto"/>
          <w:szCs w:val="24"/>
        </w:rPr>
        <w:fldChar w:fldCharType="begin" w:fldLock="1"/>
      </w:r>
      <w:r w:rsidR="00565E2A" w:rsidRPr="00610A40">
        <w:rPr>
          <w:b/>
          <w:bCs/>
          <w:color w:val="auto"/>
          <w:szCs w:val="24"/>
        </w:rPr>
        <w:instrText>ADDIN CSL_CITATION { "citationItems" : [ { "id" : "ITEM-1", "itemData" : { "DOI" : "10.1002/adma.200500438", "ISSN" : "0935-9648", "author" : [ { "dropping-particle" : "", "family" : "Bettinger", "given" : "Christopher J", "non-dropping-particle" : "", "parse-names" : false, "suffix" : "" }, { "dropping-particle" : "", "family" : "Weinberg", "given" : "Eli J", "non-dropping-particle" : "", "parse-names" : false, "suffix" : "" }, { "dropping-particle" : "", "family" : "Kulig", "given" : "Katherine M", "non-dropping-particle" : "", "parse-names" : false, "suffix" : "" }, { "dropping-particle" : "", "family" : "Vacanti", "given" : "Joseph P", "non-dropping-particle" : "", "parse-names" : false, "suffix" : "" }, { "dropping-particle" : "", "family" : "Wang", "given" : "Yadong", "non-dropping-particle" : "", "parse-names" : false, "suffix" : "" }, { "dropping-particle" : "", "family" : "Borenstein", "given" : "Jeffrey T", "non-dropping-particle" : "", "parse-names" : false, "suffix" : "" }, { "dropping-particle" : "", "family" : "Langer", "given" : "Robert", "non-dropping-particle" : "", "parse-names" : false, "suffix" : "" } ], "container-title" : "Advanced Materials", "id" : "ITEM-1", "issue" : "2", "issued" : { "date-parts" : [ [ "2005", "12", "8" ] ] }, "page" : "165-169", "title" : "Three-Dimensional Microfluidic Tissue-Engineering Scaffolds Using a Flexible Biodegradable Polymer", "type" : "article-journal", "volume" : "18" }, "uris" : [ "http://www.mendeley.com/documents/?uuid=17065054-4d4b-4766-afb2-b4a7efd7914c" ] } ], "mendeley" : { "formattedCitation" : "&lt;sup&gt;118&lt;/sup&gt;", "plainTextFormattedCitation" : "118", "previouslyFormattedCitation" : "&lt;sup&gt;117&lt;/sup&gt;" }, "properties" : { "noteIndex" : 0 }, "schema" : "https://github.com/citation-style-language/schema/raw/master/csl-citation.json" }</w:instrText>
      </w:r>
      <w:r w:rsidRPr="00610A40">
        <w:rPr>
          <w:b/>
          <w:bCs/>
          <w:color w:val="auto"/>
          <w:szCs w:val="24"/>
        </w:rPr>
        <w:fldChar w:fldCharType="separate"/>
      </w:r>
      <w:r w:rsidR="00565E2A" w:rsidRPr="00610A40">
        <w:rPr>
          <w:bCs/>
          <w:noProof/>
          <w:color w:val="auto"/>
          <w:szCs w:val="24"/>
          <w:vertAlign w:val="superscript"/>
        </w:rPr>
        <w:t>118</w:t>
      </w:r>
      <w:r w:rsidRPr="00610A40">
        <w:rPr>
          <w:color w:val="auto"/>
          <w:szCs w:val="24"/>
        </w:rPr>
        <w:fldChar w:fldCharType="end"/>
      </w:r>
      <w:r w:rsidRPr="00610A40">
        <w:rPr>
          <w:bCs/>
          <w:color w:val="auto"/>
          <w:szCs w:val="24"/>
        </w:rPr>
        <w:t>.</w:t>
      </w:r>
      <w:r w:rsidRPr="00610A40">
        <w:rPr>
          <w:b/>
          <w:bCs/>
          <w:color w:val="auto"/>
          <w:szCs w:val="24"/>
        </w:rPr>
        <w:t> </w:t>
      </w:r>
      <w:r w:rsidRPr="00610A40">
        <w:rPr>
          <w:color w:val="auto"/>
          <w:szCs w:val="24"/>
        </w:rPr>
        <w:t xml:space="preserve">In the example of </w:t>
      </w:r>
      <w:r w:rsidR="00C94135" w:rsidRPr="00610A40">
        <w:rPr>
          <w:color w:val="auto"/>
          <w:szCs w:val="24"/>
        </w:rPr>
        <w:t>PGS</w:t>
      </w:r>
      <w:r w:rsidRPr="00610A40">
        <w:rPr>
          <w:color w:val="auto"/>
          <w:szCs w:val="24"/>
        </w:rPr>
        <w:t xml:space="preserve">, the polymer layers would be applied over the negative mold silicon masters in replica-molding as discussed earlier. Microfluidic networks for optimal cellular function, determined from computer flow-modeling simulations, are designed and fabricated using AutoCAD. These network patterns are transferred onto chrome-on-glass masks for photolithography. Networks are created on silicon wafers after photolithography and etch-passivation cycles. For adhesive applications </w:t>
      </w:r>
      <w:proofErr w:type="spellStart"/>
      <w:r w:rsidRPr="00610A40">
        <w:rPr>
          <w:color w:val="auto"/>
          <w:szCs w:val="24"/>
        </w:rPr>
        <w:t>nano</w:t>
      </w:r>
      <w:proofErr w:type="spellEnd"/>
      <w:r w:rsidRPr="00610A40">
        <w:rPr>
          <w:color w:val="auto"/>
          <w:szCs w:val="24"/>
        </w:rPr>
        <w:t xml:space="preserve">-pillars can be created on </w:t>
      </w:r>
      <w:r w:rsidR="00D5605F" w:rsidRPr="00610A40">
        <w:rPr>
          <w:color w:val="auto"/>
          <w:szCs w:val="24"/>
        </w:rPr>
        <w:t>poly (</w:t>
      </w:r>
      <w:r w:rsidRPr="00610A40">
        <w:rPr>
          <w:color w:val="auto"/>
          <w:szCs w:val="24"/>
        </w:rPr>
        <w:t>glycerol-co-</w:t>
      </w:r>
      <w:proofErr w:type="spellStart"/>
      <w:r w:rsidRPr="00610A40">
        <w:rPr>
          <w:color w:val="auto"/>
          <w:szCs w:val="24"/>
        </w:rPr>
        <w:t>sebacate</w:t>
      </w:r>
      <w:proofErr w:type="spellEnd"/>
      <w:r w:rsidRPr="00610A40">
        <w:rPr>
          <w:color w:val="auto"/>
          <w:szCs w:val="24"/>
        </w:rPr>
        <w:t xml:space="preserve"> acrylate) to mimic the </w:t>
      </w:r>
      <w:proofErr w:type="spellStart"/>
      <w:r w:rsidRPr="00610A40">
        <w:rPr>
          <w:color w:val="auto"/>
          <w:szCs w:val="24"/>
        </w:rPr>
        <w:t>nanotopography</w:t>
      </w:r>
      <w:proofErr w:type="spellEnd"/>
      <w:r w:rsidRPr="00610A40">
        <w:rPr>
          <w:color w:val="auto"/>
          <w:szCs w:val="24"/>
        </w:rPr>
        <w:t xml:space="preserve"> of a gecko's foot. The distance between each </w:t>
      </w:r>
      <w:proofErr w:type="spellStart"/>
      <w:r w:rsidRPr="00610A40">
        <w:rPr>
          <w:color w:val="auto"/>
          <w:szCs w:val="24"/>
        </w:rPr>
        <w:t>nano</w:t>
      </w:r>
      <w:proofErr w:type="spellEnd"/>
      <w:r w:rsidRPr="00610A40">
        <w:rPr>
          <w:color w:val="auto"/>
          <w:szCs w:val="24"/>
        </w:rPr>
        <w:t>-pillar and the dimensions of the pillar can be fine-tuned to control tissue adhesion</w:t>
      </w:r>
      <w:r w:rsidRPr="00610A40">
        <w:rPr>
          <w:color w:val="auto"/>
          <w:szCs w:val="24"/>
        </w:rPr>
        <w:fldChar w:fldCharType="begin" w:fldLock="1"/>
      </w:r>
      <w:r w:rsidR="00565E2A" w:rsidRPr="00610A40">
        <w:rPr>
          <w:color w:val="auto"/>
          <w:szCs w:val="24"/>
        </w:rPr>
        <w:instrText>ADDIN CSL_CITATION { "citationItems" : [ { "id" : "ITEM-1", "itemData" : { "DOI" : "10.1073/pnas.0712117105", "ISBN" : "0712117105", "ISSN" : "0027-8424", "PMID" : "18287082", "abstract" : "There is a significant medical need for tough biodegradable polymer adhesives that can adapt to or recover from various mechanical deformations while remaining strongly attached to the underlying tissue. We approached this problem by using a polymer poly(glycerol-co-sebacate acrylate) and modifying the surface to mimic the nanotopography of gecko feet, which allows attachment to vertical surfaces. Translation of existing gecko-inspired adhesives for medical applications is complex, as multiple parameters must be optimized, including: biocompatibility, biodegradation, strong adhesive tissue bonding, as well as compliance and conformability to tissue surfaces. Ideally these adhesives would also have the ability to deliver drugs or growth factors to promote healing. As a first demonstration, we have created a gecko-inspired tissue adhesive from a biocompatible and biodegradable elastomer combined with a thin tissue-reactive biocompatible surface coating. Tissue adhesion was optimized by varying dimensions of the nanoscale pillars, including the ratio of tip diameter to pitch and the ratio of tip diameter to base diameter. Coating these nanomolded pillars of biodegradable elastomers with a thin layer of oxidized dextran significantly increased the interfacial adhesion strength on porcine intestine tissue in vitro and in the rat abdominal subfascial in vivo environment. This gecko-inspired medical adhesive may have potential applications for sealing wounds and for replacement or augmentation of sutures or staples.", "author" : [ { "dropping-particle" : "", "family" : "Mahdavi", "given" : "Alborz", "non-dropping-particle" : "", "parse-names" : false, "suffix" : "" }, { "dropping-particle" : "", "family" : "Ferreira", "given" : "Lino", "non-dropping-particle" : "", "parse-names" : false, "suffix" : "" }, { "dropping-particle" : "", "family" : "Sundback", "given" : "Cathryn", "non-dropping-particle" : "", "parse-names" : false, "suffix" : "" }, { "dropping-particle" : "", "family" : "Nichol", "given" : "Jason W", "non-dropping-particle" : "", "parse-names" : false, "suffix" : "" }, { "dropping-particle" : "", "family" : "Chan", "given" : "Edwin P", "non-dropping-particle" : "", "parse-names" : false, "suffix" : "" }, { "dropping-particle" : "", "family" : "Carter", "given" : "David J D", "non-dropping-particle" : "", "parse-names" : false, "suffix" : "" }, { "dropping-particle" : "", "family" : "Bettinger", "given" : "Chris J", "non-dropping-particle" : "", "parse-names" : false, "suffix" : "" }, { "dropping-particle" : "", "family" : "Patanavanich", "given" : "Siamrut", "non-dropping-particle" : "", "parse-names" : false, "suffix" : "" }, { "dropping-particle" : "", "family" : "Chignozha", "given" : "Loice", "non-dropping-particle" : "", "parse-names" : false, "suffix" : "" }, { "dropping-particle" : "", "family" : "Ben-Joseph", "given" : "Eli", "non-dropping-particle" : "", "parse-names" : false, "suffix" : "" }, { "dropping-particle" : "", "family" : "Galakatos", "given" : "Alex", "non-dropping-particle" : "", "parse-names" : false, "suffix" : "" }, { "dropping-particle" : "", "family" : "Pryor", "given" : "Howard", "non-dropping-particle" : "", "parse-names" : false, "suffix" : "" }, { "dropping-particle" : "", "family" : "Pomerantseva", "given" : "Irina", "non-dropping-particle" : "", "parse-names" : false, "suffix" : "" }, { "dropping-particle" : "", "family" : "Masiakos", "given" : "Peter T", "non-dropping-particle" : "", "parse-names" : false, "suffix" : "" }, { "dropping-particle" : "", "family" : "Faquin", "given" : "William", "non-dropping-particle" : "", "parse-names" : false, "suffix" : "" }, { "dropping-particle" : "", "family" : "Zumbuehl", "given" : "Andreas", "non-dropping-particle" : "", "parse-names" : false, "suffix" : "" }, { "dropping-particle" : "", "family" : "Hong", "given" : "Seungpyo", "non-dropping-particle" : "", "parse-names" : false, "suffix" : "" }, { "dropping-particle" : "", "family" : "Borenstein", "given" : "Jeffrey", "non-dropping-particle" : "", "parse-names" : false, "suffix" : "" }, { "dropping-particle" : "", "family" : "Vacanti", "given" : "Joseph", "non-dropping-particle" : "", "parse-names" : false, "suffix" : "" }, { "dropping-particle" : "", "family" : "Langer", "given" : "Robert", "non-dropping-particle" : "", "parse-names" : false, "suffix" : "" }, { "dropping-particle" : "", "family" : "Karp", "given" : "Jeffrey M", "non-dropping-particle" : "", "parse-names" : false, "suffix" : "" } ], "container-title" : "Proceedings of the National Academy of Sciences of the United States of America", "id" : "ITEM-1", "issue" : "7", "issued" : { "date-parts" : [ [ "2008" ] ] }, "page" : "2307-2312", "title" : "A biodegradable and biocompatible gecko-inspired tissue adhesive.", "type" : "article-journal", "volume" : "105" }, "uris" : [ "http://www.mendeley.com/documents/?uuid=46a21e4e-7b99-4eea-93a8-7fa9f7ec79f1" ] } ], "mendeley" : { "formattedCitation" : "&lt;sup&gt;128&lt;/sup&gt;", "plainTextFormattedCitation" : "128", "previouslyFormattedCitation" : "&lt;sup&gt;127&lt;/sup&gt;"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128</w:t>
      </w:r>
      <w:r w:rsidRPr="00610A40">
        <w:rPr>
          <w:color w:val="auto"/>
          <w:szCs w:val="24"/>
        </w:rPr>
        <w:fldChar w:fldCharType="end"/>
      </w:r>
      <w:r w:rsidRPr="00610A40">
        <w:rPr>
          <w:color w:val="auto"/>
          <w:szCs w:val="24"/>
        </w:rPr>
        <w:t xml:space="preserve">. Standard photolithography can be combined with laser </w:t>
      </w:r>
      <w:proofErr w:type="spellStart"/>
      <w:r w:rsidRPr="00610A40">
        <w:rPr>
          <w:color w:val="auto"/>
          <w:szCs w:val="24"/>
        </w:rPr>
        <w:t>microablation</w:t>
      </w:r>
      <w:proofErr w:type="spellEnd"/>
      <w:r w:rsidRPr="00610A40">
        <w:rPr>
          <w:color w:val="auto"/>
          <w:szCs w:val="24"/>
        </w:rPr>
        <w:t xml:space="preserve"> to fabricate well defined patterns and pores for muscle tissue engineering</w:t>
      </w:r>
      <w:r w:rsidRPr="00610A40">
        <w:rPr>
          <w:color w:val="auto"/>
          <w:szCs w:val="24"/>
        </w:rPr>
        <w:fldChar w:fldCharType="begin" w:fldLock="1"/>
      </w:r>
      <w:r w:rsidR="00565E2A" w:rsidRPr="00610A40">
        <w:rPr>
          <w:color w:val="auto"/>
          <w:szCs w:val="24"/>
        </w:rPr>
        <w:instrText>ADDIN CSL_CITATION { "citationItems" : [ { "id" : "ITEM-1", "itemData" : { "DOI" : "10.1002/mabi.201000165", "ISBN" : "1616-5195", "ISSN" : "16165187", "PMID" : "20718054", "abstract" : "Polymer scaffolds that direct elongation and orientation of cultured cells can enable tissue engineered muscle to act as a mechanically functional unit. We combined micromolding and microablation technologies to create muscle tissue engineering scaffolds from the biodegradable elastomer poly(glycerol sebacate). These scaffolds exhibited well defined surface patterns and pores and robust elastomeric tensile mechanical properties. Cultured C2C12 muscle cells penetrated the pores to form spatially controlled engineered tissues. Scanning electron and confocal microscopy revealed muscle cell orientation in a preferential direction, parallel to micromolded gratings and long axes of microablated anisotropic pores, with significant individual and interactive effects of gratings and pore design.", "author" : [ { "dropping-particle" : "", "family" : "Guillemette", "given" : "Maxime D.", "non-dropping-particle" : "", "parse-names" : false, "suffix" : "" }, { "dropping-particle" : "", "family" : "Park", "given" : "Hyoungshin", "non-dropping-particle" : "", "parse-names" : false, "suffix" : "" }, { "dropping-particle" : "", "family" : "Hsiao", "given" : "James C.", "non-dropping-particle" : "", "parse-names" : false, "suffix" : "" }, { "dropping-particle" : "", "family" : "Jain", "given" : "Saloni R.", "non-dropping-particle" : "", "parse-names" : false, "suffix" : "" }, { "dropping-particle" : "", "family" : "Larson", "given" : "Benjamin L.", "non-dropping-particle" : "", "parse-names" : false, "suffix" : "" }, { "dropping-particle" : "", "family" : "Langer", "given" : "Robert", "non-dropping-particle" : "", "parse-names" : false, "suffix" : "" }, { "dropping-particle" : "", "family" : "Freed", "given" : "Lisa E.", "non-dropping-particle" : "", "parse-names" : false, "suffix" : "" } ], "container-title" : "Macromolecular Bioscience", "id" : "ITEM-1", "issue" : "11", "issued" : { "date-parts" : [ [ "2010" ] ] }, "page" : "1330-1337", "title" : "Combined Technologies for Microfabricating Elastomeric Cardiac Tissue Engineering Scaffolds", "type" : "article-journal", "volume" : "10" }, "uris" : [ "http://www.mendeley.com/documents/?uuid=9b264d6e-26c6-4db0-8a50-41c7197c9526" ] } ], "mendeley" : { "formattedCitation" : "&lt;sup&gt;129&lt;/sup&gt;", "plainTextFormattedCitation" : "129", "previouslyFormattedCitation" : "&lt;sup&gt;128&lt;/sup&gt;"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129</w:t>
      </w:r>
      <w:r w:rsidRPr="00610A40">
        <w:rPr>
          <w:color w:val="auto"/>
          <w:szCs w:val="24"/>
        </w:rPr>
        <w:fldChar w:fldCharType="end"/>
      </w:r>
      <w:r w:rsidRPr="00610A40">
        <w:rPr>
          <w:color w:val="auto"/>
          <w:szCs w:val="24"/>
        </w:rPr>
        <w:t xml:space="preserve">. After creating patterns of double ridged gratings on PGS, the gratings are placed facing downwards on sucrose-coated glass slides to avoid alterations by the subsequent </w:t>
      </w:r>
      <w:proofErr w:type="spellStart"/>
      <w:r w:rsidRPr="00610A40">
        <w:rPr>
          <w:color w:val="auto"/>
          <w:szCs w:val="24"/>
        </w:rPr>
        <w:t>microablation</w:t>
      </w:r>
      <w:proofErr w:type="spellEnd"/>
      <w:r w:rsidRPr="00610A40">
        <w:rPr>
          <w:color w:val="auto"/>
          <w:szCs w:val="24"/>
        </w:rPr>
        <w:t xml:space="preserve">. Pulsed laser drilling is used to generate top-to-bottom pores which can be square or anisotropic rectangles in shape. The combination of </w:t>
      </w:r>
      <w:proofErr w:type="spellStart"/>
      <w:r w:rsidRPr="00610A40">
        <w:rPr>
          <w:color w:val="auto"/>
          <w:szCs w:val="24"/>
        </w:rPr>
        <w:t>micropatterning</w:t>
      </w:r>
      <w:proofErr w:type="spellEnd"/>
      <w:r w:rsidRPr="00610A40">
        <w:rPr>
          <w:color w:val="auto"/>
          <w:szCs w:val="24"/>
        </w:rPr>
        <w:t xml:space="preserve"> for well controlled surface topographies and laser </w:t>
      </w:r>
      <w:proofErr w:type="spellStart"/>
      <w:r w:rsidRPr="00610A40">
        <w:rPr>
          <w:color w:val="auto"/>
          <w:szCs w:val="24"/>
        </w:rPr>
        <w:t>microablation</w:t>
      </w:r>
      <w:proofErr w:type="spellEnd"/>
      <w:r w:rsidRPr="00610A40">
        <w:rPr>
          <w:color w:val="auto"/>
          <w:szCs w:val="24"/>
        </w:rPr>
        <w:t xml:space="preserve"> for pore generation is better than each technique alone. The resulting scaffold demonstrates robust mechanical properties and desirable muscle cell penetration and orientation</w:t>
      </w:r>
      <w:r w:rsidRPr="00610A40">
        <w:rPr>
          <w:color w:val="auto"/>
          <w:szCs w:val="24"/>
        </w:rPr>
        <w:fldChar w:fldCharType="begin" w:fldLock="1"/>
      </w:r>
      <w:r w:rsidR="00565E2A" w:rsidRPr="00610A40">
        <w:rPr>
          <w:color w:val="auto"/>
          <w:szCs w:val="24"/>
        </w:rPr>
        <w:instrText>ADDIN CSL_CITATION { "citationItems" : [ { "id" : "ITEM-1", "itemData" : { "DOI" : "10.1002/mabi.201000165", "ISBN" : "1616-5195", "ISSN" : "16165187", "PMID" : "20718054", "abstract" : "Polymer scaffolds that direct elongation and orientation of cultured cells can enable tissue engineered muscle to act as a mechanically functional unit. We combined micromolding and microablation technologies to create muscle tissue engineering scaffolds from the biodegradable elastomer poly(glycerol sebacate). These scaffolds exhibited well defined surface patterns and pores and robust elastomeric tensile mechanical properties. Cultured C2C12 muscle cells penetrated the pores to form spatially controlled engineered tissues. Scanning electron and confocal microscopy revealed muscle cell orientation in a preferential direction, parallel to micromolded gratings and long axes of microablated anisotropic pores, with significant individual and interactive effects of gratings and pore design.", "author" : [ { "dropping-particle" : "", "family" : "Guillemette", "given" : "Maxime D.", "non-dropping-particle" : "", "parse-names" : false, "suffix" : "" }, { "dropping-particle" : "", "family" : "Park", "given" : "Hyoungshin", "non-dropping-particle" : "", "parse-names" : false, "suffix" : "" }, { "dropping-particle" : "", "family" : "Hsiao", "given" : "James C.", "non-dropping-particle" : "", "parse-names" : false, "suffix" : "" }, { "dropping-particle" : "", "family" : "Jain", "given" : "Saloni R.", "non-dropping-particle" : "", "parse-names" : false, "suffix" : "" }, { "dropping-particle" : "", "family" : "Larson", "given" : "Benjamin L.", "non-dropping-particle" : "", "parse-names" : false, "suffix" : "" }, { "dropping-particle" : "", "family" : "Langer", "given" : "Robert", "non-dropping-particle" : "", "parse-names" : false, "suffix" : "" }, { "dropping-particle" : "", "family" : "Freed", "given" : "Lisa E.", "non-dropping-particle" : "", "parse-names" : false, "suffix" : "" } ], "container-title" : "Macromolecular Bioscience", "id" : "ITEM-1", "issue" : "11", "issued" : { "date-parts" : [ [ "2010" ] ] }, "page" : "1330-1337", "title" : "Combined Technologies for Microfabricating Elastomeric Cardiac Tissue Engineering Scaffolds", "type" : "article-journal", "volume" : "10" }, "uris" : [ "http://www.mendeley.com/documents/?uuid=9b264d6e-26c6-4db0-8a50-41c7197c9526" ] } ], "mendeley" : { "formattedCitation" : "&lt;sup&gt;129&lt;/sup&gt;", "plainTextFormattedCitation" : "129", "previouslyFormattedCitation" : "&lt;sup&gt;128&lt;/sup&gt;"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129</w:t>
      </w:r>
      <w:r w:rsidRPr="00610A40">
        <w:rPr>
          <w:color w:val="auto"/>
          <w:szCs w:val="24"/>
        </w:rPr>
        <w:fldChar w:fldCharType="end"/>
      </w:r>
      <w:r w:rsidRPr="00610A40">
        <w:rPr>
          <w:color w:val="auto"/>
          <w:szCs w:val="24"/>
        </w:rPr>
        <w:t>. </w:t>
      </w:r>
      <w:proofErr w:type="spellStart"/>
      <w:r w:rsidRPr="00610A40">
        <w:rPr>
          <w:color w:val="auto"/>
          <w:szCs w:val="24"/>
        </w:rPr>
        <w:t>Excimer</w:t>
      </w:r>
      <w:proofErr w:type="spellEnd"/>
      <w:r w:rsidRPr="00610A40">
        <w:rPr>
          <w:color w:val="auto"/>
          <w:szCs w:val="24"/>
        </w:rPr>
        <w:t xml:space="preserve"> laser ablation has also been used to create accordion-like honeycomb design in PGS for </w:t>
      </w:r>
      <w:r w:rsidRPr="00610A40">
        <w:rPr>
          <w:color w:val="auto"/>
          <w:szCs w:val="24"/>
        </w:rPr>
        <w:lastRenderedPageBreak/>
        <w:t>myocardial regeneration</w:t>
      </w:r>
      <w:r w:rsidRPr="00610A40">
        <w:rPr>
          <w:color w:val="auto"/>
          <w:szCs w:val="24"/>
        </w:rPr>
        <w:fldChar w:fldCharType="begin" w:fldLock="1"/>
      </w:r>
      <w:r w:rsidR="00565E2A" w:rsidRPr="00610A40">
        <w:rPr>
          <w:color w:val="auto"/>
          <w:szCs w:val="24"/>
        </w:rPr>
        <w:instrText>ADDIN CSL_CITATION { "citationItems" : [ { "id" : "ITEM-1", "itemData" : { "DOI" : "10.1038/nmat2316", "ISBN" : "1476-1122", "ISSN" : "1476-1122", "PMID" : "18978786", "abstract" : "Tissue-engineered grafts may be useful in myocardial repair; however, previous scaffolds have been structurally incompatible with recapitulating cardiac anisotropy. Here, we use microfabrication techniques to create an accordion-like honeycomb microstructure in poly(glycerol sebacate), which yields porous, elastomeric three-dimensional (3D) scaffolds with controllable stiffness and anisotropy. Accordion-like honeycomb scaffolds with cultured neonatal rat heart cells demonstrated utility through: (1) closely matched mechanical properties compared to native adult rat right ventricular myocardium, with stiffnesses controlled by polymer curing time; (2) heart cell contractility inducible by electric field stimulation with directionally dependent electrical excitation thresholds (p&lt;0.05); and (3) greater heart cell alignment (p&lt;0.0001) than isotropic control scaffolds. Prototype bilaminar scaffolds with 3D interconnected pore networks yielded electrically excitable grafts with multi-layered neonatal rat heart cells. Accordion-like honeycombs can thus overcome principal structural-mechanical limitations of previous scaffolds, promoting the formation of grafts with aligned heart cells and mechanical properties more closely resembling native myocardium.", "author" : [ { "dropping-particle" : "", "family" : "Engelmayr", "given" : "George C", "non-dropping-particle" : "", "parse-names" : false, "suffix" : "" }, { "dropping-particle" : "", "family" : "Cheng", "given" : "Mingyu", "non-dropping-particle" : "", "parse-names" : false, "suffix" : "" }, { "dropping-particle" : "", "family" : "Bettinger", "given" : "Christopher J", "non-dropping-particle" : "", "parse-names" : false, "suffix" : "" }, { "dropping-particle" : "", "family" : "Borenstein", "given" : "Jeffrey T", "non-dropping-particle" : "", "parse-names" : false, "suffix" : "" }, { "dropping-particle" : "", "family" : "Langer", "given" : "Robert", "non-dropping-particle" : "", "parse-names" : false, "suffix" : "" }, { "dropping-particle" : "", "family" : "Freed", "given" : "Lisa E", "non-dropping-particle" : "", "parse-names" : false, "suffix" : "" } ], "container-title" : "Nature materials", "id" : "ITEM-1", "issue" : "12", "issued" : { "date-parts" : [ [ "2008" ] ] }, "page" : "1003-1010", "title" : "Accordion-like honeycombs for tissue engineering of cardiac anisotropy.", "type" : "article-journal", "volume" : "7" }, "uris" : [ "http://www.mendeley.com/documents/?uuid=fa020a1d-fa59-4a3c-beb8-a9d4b2504d26" ] } ], "mendeley" : { "formattedCitation" : "&lt;sup&gt;130&lt;/sup&gt;", "plainTextFormattedCitation" : "130", "previouslyFormattedCitation" : "&lt;sup&gt;129&lt;/sup&gt;"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130</w:t>
      </w:r>
      <w:r w:rsidRPr="00610A40">
        <w:rPr>
          <w:color w:val="auto"/>
          <w:szCs w:val="24"/>
        </w:rPr>
        <w:fldChar w:fldCharType="end"/>
      </w:r>
      <w:r w:rsidRPr="00610A40">
        <w:rPr>
          <w:color w:val="auto"/>
          <w:szCs w:val="24"/>
        </w:rPr>
        <w:t>. The anisotropic mechanical property successfully replicates the ventricular myocardium, and cultured neonatal rat heart cells can preferentially orientate without any external stimulus.</w:t>
      </w:r>
    </w:p>
    <w:p w14:paraId="54D170C5" w14:textId="4D4F1982" w:rsidR="002A065D" w:rsidRPr="00610A40" w:rsidRDefault="008C5439">
      <w:pPr>
        <w:spacing w:after="200" w:line="276" w:lineRule="auto"/>
        <w:jc w:val="left"/>
        <w:rPr>
          <w:color w:val="auto"/>
          <w:szCs w:val="24"/>
        </w:rPr>
        <w:sectPr w:rsidR="002A065D" w:rsidRPr="00610A40" w:rsidSect="004A0094">
          <w:pgSz w:w="12240" w:h="15840"/>
          <w:pgMar w:top="1440" w:right="1440" w:bottom="1440" w:left="1440" w:header="720" w:footer="720" w:gutter="0"/>
          <w:cols w:space="720"/>
          <w:docGrid w:linePitch="360"/>
        </w:sectPr>
      </w:pPr>
      <w:r w:rsidRPr="00610A40">
        <w:rPr>
          <w:color w:val="auto"/>
          <w:szCs w:val="24"/>
        </w:rPr>
        <w:br w:type="page"/>
      </w:r>
    </w:p>
    <w:p w14:paraId="0F4D4CE8" w14:textId="77777777" w:rsidR="001D2870" w:rsidRPr="00610A40" w:rsidRDefault="001D2870" w:rsidP="002A065D">
      <w:pPr>
        <w:pStyle w:val="Heading1"/>
        <w:rPr>
          <w:color w:val="auto"/>
          <w:sz w:val="24"/>
          <w:szCs w:val="24"/>
        </w:rPr>
      </w:pPr>
      <w:r w:rsidRPr="00610A40">
        <w:rPr>
          <w:color w:val="auto"/>
          <w:sz w:val="24"/>
          <w:szCs w:val="24"/>
        </w:rPr>
        <w:lastRenderedPageBreak/>
        <w:t>4. Polyesters in Ophthalmology Applications</w:t>
      </w:r>
    </w:p>
    <w:p w14:paraId="238C1AF4" w14:textId="0AFF5AF2" w:rsidR="001D2870" w:rsidRPr="00610A40" w:rsidRDefault="001D2870" w:rsidP="00EB7D51">
      <w:pPr>
        <w:pStyle w:val="Heading2"/>
        <w:rPr>
          <w:sz w:val="24"/>
          <w:szCs w:val="24"/>
        </w:rPr>
      </w:pPr>
      <w:r w:rsidRPr="00610A40">
        <w:rPr>
          <w:sz w:val="24"/>
          <w:szCs w:val="24"/>
        </w:rPr>
        <w:t xml:space="preserve">4.1 </w:t>
      </w:r>
      <w:r w:rsidR="00D5605F" w:rsidRPr="00610A40">
        <w:rPr>
          <w:sz w:val="24"/>
          <w:szCs w:val="24"/>
        </w:rPr>
        <w:t>Poly (</w:t>
      </w:r>
      <w:r w:rsidRPr="00610A40">
        <w:rPr>
          <w:sz w:val="24"/>
          <w:szCs w:val="24"/>
        </w:rPr>
        <w:t>glycerol-co-</w:t>
      </w:r>
      <w:proofErr w:type="spellStart"/>
      <w:r w:rsidRPr="00610A40">
        <w:rPr>
          <w:sz w:val="24"/>
          <w:szCs w:val="24"/>
        </w:rPr>
        <w:t>sebacic</w:t>
      </w:r>
      <w:proofErr w:type="spellEnd"/>
      <w:r w:rsidRPr="00610A40">
        <w:rPr>
          <w:sz w:val="24"/>
          <w:szCs w:val="24"/>
        </w:rPr>
        <w:t xml:space="preserve"> acid) for Retinal Tissue Engineering</w:t>
      </w:r>
    </w:p>
    <w:p w14:paraId="14DD41DC" w14:textId="46957FB5" w:rsidR="001D2870" w:rsidRPr="00610A40" w:rsidRDefault="001D2870" w:rsidP="00EB7D51">
      <w:pPr>
        <w:rPr>
          <w:rFonts w:eastAsia="Arial"/>
          <w:color w:val="auto"/>
          <w:szCs w:val="24"/>
        </w:rPr>
      </w:pPr>
      <w:r w:rsidRPr="00610A40">
        <w:rPr>
          <w:rFonts w:eastAsia="Arial"/>
          <w:color w:val="auto"/>
          <w:szCs w:val="24"/>
        </w:rPr>
        <w:t xml:space="preserve">Degenerative retinal diseases, such as age-related macular degeneration and retinitis </w:t>
      </w:r>
      <w:proofErr w:type="spellStart"/>
      <w:r w:rsidRPr="00610A40">
        <w:rPr>
          <w:rFonts w:eastAsia="Arial"/>
          <w:color w:val="auto"/>
          <w:szCs w:val="24"/>
        </w:rPr>
        <w:t>pigmentosa</w:t>
      </w:r>
      <w:proofErr w:type="spellEnd"/>
      <w:r w:rsidRPr="00610A40">
        <w:rPr>
          <w:rFonts w:eastAsia="Arial"/>
          <w:color w:val="auto"/>
          <w:szCs w:val="24"/>
        </w:rPr>
        <w:t>, ultimately cause photoreceptor cell death and the disintegration of the retinal pigment epithelium (RPE). Transplanting entire cell sheet on a substrate is a more viable solution than injecting cellular suspension due to poor cell</w:t>
      </w:r>
      <w:r w:rsidR="00F62BB7" w:rsidRPr="00610A40">
        <w:rPr>
          <w:rFonts w:eastAsia="Arial"/>
          <w:color w:val="auto"/>
          <w:szCs w:val="24"/>
        </w:rPr>
        <w:t xml:space="preserve"> viability in the latter option</w:t>
      </w:r>
      <w:r w:rsidR="00F62BB7"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"10.1136/bjo.2010.184002", "ISBN" : "1468-2079 (Electronic)\\r0007-1161 (Linking)", "ISSN" : "0007-1161", "PMID" : "20807710", "abstract" : "Age-related macular degeneration is the most common cause of blindness in the UK. Cellular replacement of retinal pigment epithelium cells is a potential therapeutic option to treat the cellular loss and dysfunction which is characteristic of age-related macular degeneration and other progressive retinopathies. A supportive scaffold, natural or artificial, may be required to facilitate cell delivery to the eye. Research to improve the biomimetic properties of such scaffolds, in order to optimise cell attachment and functionality following implantation, is ongoing. This short review will focus on the potential of biomaterials for ocular tissue engineering and how surface modification and the physical properties of these scaffolds can be tailored to help realise the full clinical potential of retinal pigment epithelium cell transplantation.", "author" : [ { "dropping-particle" : "", "family" : "Treharne", "given" : "A. J.", "non-dropping-particle" : "", "parse-names" : false, "suffix" : "" }, { "dropping-particle" : "", "family" : "Grossel", "given" : "M. C.", "non-dropping-particle" : "", "parse-names" : false, "suffix" : "" }, { "dropping-particle" : "", "family" : "Lotery", "given" : "A. J.", "non-dropping-particle" : "", "parse-names" : false, "suffix" : "" }, { "dropping-particle" : "", "family" : "Thomson", "given" : "H. A.", "non-dropping-particle" : "", "parse-names" : false, "suffix" : "" } ], "container-title" : "British Journal of Ophthalmology", "id" : "ITEM-1", "issue" : "6", "issued" : { "date-parts" : [ [ "2011" ] ] }, "page" : "768-773", "title" : "The chemistry of retinal transplantation: the influence of polymer scaffold properties on retinal cell adhesion and control", "type" : "article-journal", "volume" : "95" }, "uris" : [ "http://www.mendeley.com/documents/?uuid=0c178a0e-643e-4f24-bb1d-8fa89d04ca17", "http://www.mendeley.com/documents/?uuid=ef828bff-4c23-4e2e-8a6b-4d2ac78ebc4b" ] } ], "mendeley" : { "formattedCitation" : "&lt;sup&gt;131&lt;/sup&gt;", "plainTextFormattedCitation" : "131", "previouslyFormattedCitation" : "&lt;sup&gt;130&lt;/sup&gt;" }, "properties" : { "noteIndex" : 0 }, "schema" : "https://github.com/citation-style-language/schema/raw/master/csl-citation.json" }</w:instrText>
      </w:r>
      <w:r w:rsidR="00F62BB7" w:rsidRPr="00610A40">
        <w:rPr>
          <w:rFonts w:eastAsia="Arial"/>
          <w:color w:val="auto"/>
          <w:szCs w:val="24"/>
        </w:rPr>
        <w:fldChar w:fldCharType="separate"/>
      </w:r>
      <w:r w:rsidR="00565E2A" w:rsidRPr="00610A40">
        <w:rPr>
          <w:rFonts w:eastAsia="Arial"/>
          <w:noProof/>
          <w:color w:val="auto"/>
          <w:szCs w:val="24"/>
          <w:vertAlign w:val="superscript"/>
        </w:rPr>
        <w:t>131</w:t>
      </w:r>
      <w:r w:rsidR="00F62BB7" w:rsidRPr="00610A40">
        <w:rPr>
          <w:rFonts w:eastAsia="Arial"/>
          <w:color w:val="auto"/>
          <w:szCs w:val="24"/>
        </w:rPr>
        <w:fldChar w:fldCharType="end"/>
      </w:r>
      <w:r w:rsidRPr="00610A40">
        <w:rPr>
          <w:rFonts w:eastAsia="Arial"/>
          <w:color w:val="auto"/>
          <w:szCs w:val="24"/>
          <w:shd w:val="clear" w:color="auto" w:fill="FFFFFF"/>
        </w:rPr>
        <w:t xml:space="preserve">. </w:t>
      </w:r>
      <w:r w:rsidRPr="00610A40">
        <w:rPr>
          <w:rFonts w:eastAsia="Arial"/>
          <w:color w:val="auto"/>
          <w:szCs w:val="24"/>
        </w:rPr>
        <w:t xml:space="preserve">The desired material should possess </w:t>
      </w:r>
      <w:proofErr w:type="gramStart"/>
      <w:r w:rsidRPr="00610A40">
        <w:rPr>
          <w:rFonts w:eastAsia="Arial"/>
          <w:color w:val="auto"/>
          <w:szCs w:val="24"/>
        </w:rPr>
        <w:t xml:space="preserve">properties </w:t>
      </w:r>
      <w:r w:rsidR="00EE1AFF" w:rsidRPr="00610A40">
        <w:rPr>
          <w:rFonts w:eastAsia="Arial"/>
          <w:color w:val="auto"/>
          <w:szCs w:val="24"/>
        </w:rPr>
        <w:t xml:space="preserve">that </w:t>
      </w:r>
      <w:r w:rsidRPr="00610A40">
        <w:rPr>
          <w:rFonts w:eastAsia="Arial"/>
          <w:color w:val="auto"/>
          <w:szCs w:val="24"/>
        </w:rPr>
        <w:t>mimic</w:t>
      </w:r>
      <w:r w:rsidR="00EE1AFF" w:rsidRPr="00610A40">
        <w:rPr>
          <w:rFonts w:eastAsia="Arial"/>
          <w:color w:val="auto"/>
          <w:szCs w:val="24"/>
        </w:rPr>
        <w:t>s</w:t>
      </w:r>
      <w:proofErr w:type="gramEnd"/>
      <w:r w:rsidRPr="00610A40">
        <w:rPr>
          <w:rFonts w:eastAsia="Arial"/>
          <w:color w:val="auto"/>
          <w:szCs w:val="24"/>
        </w:rPr>
        <w:t xml:space="preserve"> the sub-retina space - high flexibility and extensive elongation. PGS ha</w:t>
      </w:r>
      <w:r w:rsidR="00EE1AFF" w:rsidRPr="00610A40">
        <w:rPr>
          <w:rFonts w:eastAsia="Arial"/>
          <w:color w:val="auto"/>
          <w:szCs w:val="24"/>
        </w:rPr>
        <w:t>d</w:t>
      </w:r>
      <w:r w:rsidRPr="00610A40">
        <w:rPr>
          <w:rFonts w:eastAsia="Arial"/>
          <w:color w:val="auto"/>
          <w:szCs w:val="24"/>
        </w:rPr>
        <w:t xml:space="preserve"> </w:t>
      </w:r>
      <w:r w:rsidR="00EE1AFF" w:rsidRPr="00610A40">
        <w:rPr>
          <w:rFonts w:eastAsia="Arial"/>
          <w:color w:val="auto"/>
          <w:szCs w:val="24"/>
        </w:rPr>
        <w:t xml:space="preserve">showed </w:t>
      </w:r>
      <w:r w:rsidRPr="00610A40">
        <w:rPr>
          <w:rFonts w:eastAsia="Arial"/>
          <w:color w:val="auto"/>
          <w:szCs w:val="24"/>
        </w:rPr>
        <w:t>tremendous potential in terms of structural support and graft material f</w:t>
      </w:r>
      <w:r w:rsidR="00F62BB7" w:rsidRPr="00610A40">
        <w:rPr>
          <w:rFonts w:eastAsia="Arial"/>
          <w:color w:val="auto"/>
          <w:szCs w:val="24"/>
        </w:rPr>
        <w:t>or retinal cell transplantation</w:t>
      </w:r>
      <w:r w:rsidR="00F62BB7"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"10.1016/j.progpolymsci.2012.02.001", "ISBN" : "0079-6700", "ISSN" : "00796700", "abstract" : "Poly(glycerol sebacate) (PGS) is a biodegradable polymer increasingly used in a variety of biomedical applications. This polyester is prepared by polycondensation of glycerol and sebacic acid. PGS exhibits biocompatibility and biodegradability, both highly relevant properties in biomedical applications. PGS also involves cost effective production with the possibility of up scaling to industrial production. In addition, the mechanical properties and degradation kinetics of PGS can be tailored to match the requirements of intended applications by controlling curing time, curing temperature, reactants concentration and the degree of acrylation in acrylated PGS. Because of the flexible and elastomeric nature of PGS, its biomedical applications have mainly targeted soft tissue replacement and the engineering of soft tissues, such as cardiac muscle, blood, nerve, cartilage and retina. However, applications of PGS are being expanded to include drug delivery, tissue adhesive and hard tissue (i.e., bone) regeneration. The design and fabrication of PGS based devices for applications that mimic native physiological conditions are also being pursued. Novel designs range from accordion-like honeycomb structures for cardiac patches, gecko-like surfaces for tissue adhesives to PGS (nano) fibers for extra cellular matrix (ECM) like constructs; new design avenues are being investigated to meet the ever growing demand for replacement tissues and organs. In less than a decade PGS has become a material of great scrutiny and interest by the biomedical research community. In this review we consolidate the valuable existing knowledge in the fields of synthesis, properties and biomedical applications of PGS and PGS-related biomaterials and devices. \u00a9 2012 Elsevier Ltd.", "author" : [ { "dropping-particle" : "", "family" : "Rai", "given" : "Ranjana", "non-dropping-particle" : "", "parse-names" : false, "suffix" : "" }, { "dropping-particle" : "", "family" : "Tallawi", "given" : "Marwa", "non-dropping-particle" : "", "parse-names" : false, "suffix" : "" }, { "dropping-particle" : "", "family" : "Grigore", "given" : "Alexandra", "non-dropping-particle" : "", "parse-names" : false, "suffix" : "" }, { "dropping-particle" : "", "family" : "Boccaccini", "given" : "Aldo R.", "non-dropping-particle" : "", "parse-names" : false, "suffix" : "" } ], "container-title" : "Progress in Polymer Science", "id" : "ITEM-1", "issue" : "8", "issued" : { "date-parts" : [ [ "2012" ] ] }, "page" : "1051-1078", "publisher" : "Elsevier Ltd", "title" : "Synthesis, properties and biomedical applications of poly(glycerol sebacate) (PGS): A review", "type" : "article-journal", "volume" : "37" }, "uris" : [ "http://www.mendeley.com/documents/?uuid=0a8e702f-c378-4513-8906-ece6ca716a13" ] } ], "mendeley" : { "formattedCitation" : "&lt;sup&gt;44&lt;/sup&gt;", "plainTextFormattedCitation" : "44", "previouslyFormattedCitation" : "&lt;sup&gt;44&lt;/sup&gt;" }, "properties" : { "noteIndex" : 0 }, "schema" : "https://github.com/citation-style-language/schema/raw/master/csl-citation.json" }</w:instrText>
      </w:r>
      <w:r w:rsidR="00F62BB7" w:rsidRPr="00610A40">
        <w:rPr>
          <w:rFonts w:eastAsia="Arial"/>
          <w:color w:val="auto"/>
          <w:szCs w:val="24"/>
        </w:rPr>
        <w:fldChar w:fldCharType="separate"/>
      </w:r>
      <w:r w:rsidR="00E907D0" w:rsidRPr="00610A40">
        <w:rPr>
          <w:rFonts w:eastAsia="Arial"/>
          <w:noProof/>
          <w:color w:val="auto"/>
          <w:szCs w:val="24"/>
          <w:vertAlign w:val="superscript"/>
        </w:rPr>
        <w:t>44</w:t>
      </w:r>
      <w:r w:rsidR="00F62BB7" w:rsidRPr="00610A40">
        <w:rPr>
          <w:rFonts w:eastAsia="Arial"/>
          <w:color w:val="auto"/>
          <w:szCs w:val="24"/>
        </w:rPr>
        <w:fldChar w:fldCharType="end"/>
      </w:r>
      <w:r w:rsidRPr="00610A40">
        <w:rPr>
          <w:rFonts w:eastAsia="Arial"/>
          <w:color w:val="auto"/>
          <w:szCs w:val="24"/>
        </w:rPr>
        <w:t>. PGS scaffold demonstrate</w:t>
      </w:r>
      <w:r w:rsidR="00EE1AFF" w:rsidRPr="00610A40">
        <w:rPr>
          <w:rFonts w:eastAsia="Arial"/>
          <w:color w:val="auto"/>
          <w:szCs w:val="24"/>
        </w:rPr>
        <w:t>d</w:t>
      </w:r>
      <w:r w:rsidRPr="00610A40">
        <w:rPr>
          <w:rFonts w:eastAsia="Arial"/>
          <w:color w:val="auto"/>
          <w:szCs w:val="24"/>
        </w:rPr>
        <w:t xml:space="preserve"> a maximum strain at failure of ~113% and a Young's modulus of ~1.66MPa</w:t>
      </w:r>
      <w:r w:rsidR="00F62BB7"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"10.1016/j.biomaterials.2007.10.007", "ISSN" : "01429612", "author" : [ { "dropping-particle" : "", "family" : "Neeley", "given" : "William L.", "non-dropping-particle" : "", "parse-names" : false, "suffix" : "" }, { "dropping-particle" : "", "family" : "Redenti", "given" : "Stephen", "non-dropping-particle" : "", "parse-names" : false, "suffix" : "" }, { "dropping-particle" : "", "family" : "Klassen", "given" : "Henry", "non-dropping-particle" : "", "parse-names" : false, "suffix" : "" }, { "dropping-particle" : "", "family" : "Tao", "given" : "Sarah", "non-dropping-particle" : "", "parse-names" : false, "suffix" : "" }, { "dropping-particle" : "", "family" : "Desai", "given" : "Tejal", "non-dropping-particle" : "", "parse-names" : false, "suffix" : "" }, { "dropping-particle" : "", "family" : "Young", "given" : "Michael J.", "non-dropping-particle" : "", "parse-names" : false, "suffix" : "" }, { "dropping-particle" : "", "family" : "Langer", "given" : "Robert", "non-dropping-particle" : "", "parse-names" : false, "suffix" : "" } ], "container-title" : "Biomaterials", "id" : "ITEM-1", "issue" : "4", "issued" : { "date-parts" : [ [ "2008" ] ] }, "page" : "418-426", "title" : "A microfabricated scaffold for retinal progenitor cell grafting", "type" : "article-journal", "volume" : "29" }, "uris" : [ "http://www.mendeley.com/documents/?uuid=561e180a-a2c0-4d6e-ae6d-5ecc08c817b9" ] } ], "mendeley" : { "formattedCitation" : "&lt;sup&gt;117&lt;/sup&gt;", "plainTextFormattedCitation" : "117", "previouslyFormattedCitation" : "&lt;sup&gt;116&lt;/sup&gt;" }, "properties" : { "noteIndex" : 0 }, "schema" : "https://github.com/citation-style-language/schema/raw/master/csl-citation.json" }</w:instrText>
      </w:r>
      <w:r w:rsidR="00F62BB7" w:rsidRPr="00610A40">
        <w:rPr>
          <w:rFonts w:eastAsia="Arial"/>
          <w:color w:val="auto"/>
          <w:szCs w:val="24"/>
        </w:rPr>
        <w:fldChar w:fldCharType="separate"/>
      </w:r>
      <w:r w:rsidR="00565E2A" w:rsidRPr="00610A40">
        <w:rPr>
          <w:rFonts w:eastAsia="Arial"/>
          <w:noProof/>
          <w:color w:val="auto"/>
          <w:szCs w:val="24"/>
          <w:vertAlign w:val="superscript"/>
        </w:rPr>
        <w:t>117</w:t>
      </w:r>
      <w:r w:rsidR="00F62BB7" w:rsidRPr="00610A40">
        <w:rPr>
          <w:rFonts w:eastAsia="Arial"/>
          <w:color w:val="auto"/>
          <w:szCs w:val="24"/>
        </w:rPr>
        <w:fldChar w:fldCharType="end"/>
      </w:r>
      <w:r w:rsidRPr="00610A40">
        <w:rPr>
          <w:rFonts w:eastAsia="Arial"/>
          <w:color w:val="auto"/>
          <w:szCs w:val="24"/>
        </w:rPr>
        <w:t>. These properties surpass</w:t>
      </w:r>
      <w:r w:rsidR="00EE1AFF" w:rsidRPr="00610A40">
        <w:rPr>
          <w:rFonts w:eastAsia="Arial"/>
          <w:color w:val="auto"/>
          <w:szCs w:val="24"/>
        </w:rPr>
        <w:t>ed</w:t>
      </w:r>
      <w:r w:rsidRPr="00610A40">
        <w:rPr>
          <w:rFonts w:eastAsia="Arial"/>
          <w:color w:val="auto"/>
          <w:szCs w:val="24"/>
        </w:rPr>
        <w:t xml:space="preserve"> the properties of native retinal tissue - elastic modulus of 0.1 </w:t>
      </w:r>
      <w:proofErr w:type="spellStart"/>
      <w:r w:rsidRPr="00610A40">
        <w:rPr>
          <w:rFonts w:eastAsia="Arial"/>
          <w:color w:val="auto"/>
          <w:szCs w:val="24"/>
        </w:rPr>
        <w:t>MPa</w:t>
      </w:r>
      <w:proofErr w:type="spellEnd"/>
      <w:r w:rsidRPr="00610A40">
        <w:rPr>
          <w:rFonts w:eastAsia="Arial"/>
          <w:color w:val="auto"/>
          <w:szCs w:val="24"/>
        </w:rPr>
        <w:t xml:space="preserve"> and 83% strain at failure.  PGS grafts </w:t>
      </w:r>
      <w:r w:rsidR="00EE1AFF" w:rsidRPr="00610A40">
        <w:rPr>
          <w:rFonts w:eastAsia="Arial"/>
          <w:color w:val="auto"/>
          <w:szCs w:val="24"/>
        </w:rPr>
        <w:t xml:space="preserve">also </w:t>
      </w:r>
      <w:r w:rsidRPr="00610A40">
        <w:rPr>
          <w:rFonts w:eastAsia="Arial"/>
          <w:color w:val="auto"/>
          <w:szCs w:val="24"/>
        </w:rPr>
        <w:t>present</w:t>
      </w:r>
      <w:r w:rsidR="00EE1AFF" w:rsidRPr="00610A40">
        <w:rPr>
          <w:rFonts w:eastAsia="Arial"/>
          <w:color w:val="auto"/>
          <w:szCs w:val="24"/>
        </w:rPr>
        <w:t>ed</w:t>
      </w:r>
      <w:r w:rsidRPr="00610A40">
        <w:rPr>
          <w:rFonts w:eastAsia="Arial"/>
          <w:color w:val="auto"/>
          <w:szCs w:val="24"/>
        </w:rPr>
        <w:t xml:space="preserve"> suitable porosity and micro-topology which promote</w:t>
      </w:r>
      <w:r w:rsidR="00EE1AFF" w:rsidRPr="00610A40">
        <w:rPr>
          <w:rFonts w:eastAsia="Arial"/>
          <w:color w:val="auto"/>
          <w:szCs w:val="24"/>
        </w:rPr>
        <w:t>d</w:t>
      </w:r>
      <w:r w:rsidRPr="00610A40">
        <w:rPr>
          <w:rFonts w:eastAsia="Arial"/>
          <w:color w:val="auto"/>
          <w:szCs w:val="24"/>
        </w:rPr>
        <w:t xml:space="preserve"> proliferation and differentiation of retinal progenitor cells (RPCs)</w:t>
      </w:r>
      <w:r w:rsidR="00F62BB7"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"10.1016/j.biomaterials.2009.02.046", "ISBN" : "0142-9612", "ISSN" : "01429612", "PMID" : "19361860", "abstract" : "Retinal degenerations cause permanent visual loss and affect millions world-wide. Presently, a novel treatment highlights the potential of using biodegradable polymer scaffolds to induce differentiation and deliver retinal progenitor cells for cell replacement therapy. In this study, we engineered and analyzed a micro-fabricated polymer, poly(glycerol sebacate) (PGS) scaffold, whose useful properties include biocompatibility, elasticity, porosity, and a microtopology conducive to mouse retinal progenitor cell (mRPC) differentiation. In vitro proliferation assays revealed that PGS held up to 86,610 (\u00b19993) mRPCs per square millimeter, which were retained through simulated transplantations. mRPCs adherent to PGS differentiated toward mature phenotypes as evidenced by changes in mRNA, protein levels, and enhanced sensitivity to glutamate. Transplanted composites demonstrated long-term mRPC survival and migrated cells exhibited mature marker expression in host retina. These results suggest that combining mRPCs with PGS scaffolds for subretinal transplantation is a practical strategy for advancing retinal tissue engineering as a restorative therapy. \u00a9 2009 Elsevier Ltd. All rights reserved.", "author" : [ { "dropping-particle" : "", "family" : "Redenti", "given" : "Stephen", "non-dropping-particle" : "", "parse-names" : false, "suffix" : "" }, { "dropping-particle" : "", "family" : "Neeley", "given" : "William L.", "non-dropping-particle" : "", "parse-names" : false, "suffix" : "" }, { "dropping-particle" : "", "family" : "Rompani", "given" : "Santiago", "non-dropping-particle" : "", "parse-names" : false, "suffix" : "" }, { "dropping-particle" : "", "family" : "Saigal", "given" : "Sunita", "non-dropping-particle" : "", "parse-names" : false, "suffix" : "" }, { "dropping-particle" : "", "family" : "Yang", "given" : "Jing", "non-dropping-particle" : "", "parse-names" : false, "suffix" : "" }, { "dropping-particle" : "", "family" : "Klassen", "given" : "Henry", "non-dropping-particle" : "", "parse-names" : false, "suffix" : "" }, { "dropping-particle" : "", "family" : "Langer", "given" : "Robert", "non-dropping-particle" : "", "parse-names" : false, "suffix" : "" }, { "dropping-particle" : "", "family" : "Young", "given" : "Michael J.", "non-dropping-particle" : "", "parse-names" : false, "suffix" : "" } ], "container-title" : "Biomaterials", "id" : "ITEM-1", "issue" : "20", "issued" : { "date-parts" : [ [ "2009" ] ] }, "page" : "3405-3414", "publisher" : "Elsevier Ltd", "title" : "Engineering retinal progenitor cell and scrollable poly(glycerol-sebacate) composites for expansion and subretinal transplantation", "type" : "article-journal", "volume" : "30" }, "uris" : [ "http://www.mendeley.com/documents/?uuid=85e12351-0b52-476d-bf3b-6c68a37eb36e", "http://www.mendeley.com/documents/?uuid=79cb5dcf-f428-4283-a3a2-fd8fef59b310" ] }, { "id" : "ITEM-2", "itemData" : { "DOI" : "10.1016/j.biomaterials.2007.10.007", "ISSN" : "01429612", "author" : [ { "dropping-particle" : "", "family" : "Neeley", "given" : "William L.", "non-dropping-particle" : "", "parse-names" : false, "suffix" : "" }, { "dropping-particle" : "", "family" : "Redenti", "given" : "Stephen", "non-dropping-particle" : "", "parse-names" : false, "suffix" : "" }, { "dropping-particle" : "", "family" : "Klassen", "given" : "Henry", "non-dropping-particle" : "", "parse-names" : false, "suffix" : "" }, { "dropping-particle" : "", "family" : "Tao", "given" : "Sarah", "non-dropping-particle" : "", "parse-names" : false, "suffix" : "" }, { "dropping-particle" : "", "family" : "Desai", "given" : "Tejal", "non-dropping-particle" : "", "parse-names" : false, "suffix" : "" }, { "dropping-particle" : "", "family" : "Young", "given" : "Michael J.", "non-dropping-particle" : "", "parse-names" : false, "suffix" : "" }, { "dropping-particle" : "", "family" : "Langer", "given" : "Robert", "non-dropping-particle" : "", "parse-names" : false, "suffix" : "" } ], "container-title" : "Biomaterials", "id" : "ITEM-2", "issue" : "4", "issued" : { "date-parts" : [ [ "2008" ] ] }, "page" : "418-426", "title" : "A microfabricated scaffold for retinal progenitor cell grafting", "type" : "article-journal", "volume" : "29" }, "uris" : [ "http://www.mendeley.com/documents/?uuid=561e180a-a2c0-4d6e-ae6d-5ecc08c817b9" ] } ], "mendeley" : { "formattedCitation" : "&lt;sup&gt;117,132&lt;/sup&gt;", "plainTextFormattedCitation" : "117,132", "previouslyFormattedCitation" : "&lt;sup&gt;116,131&lt;/sup&gt;" }, "properties" : { "noteIndex" : 0 }, "schema" : "https://github.com/citation-style-language/schema/raw/master/csl-citation.json" }</w:instrText>
      </w:r>
      <w:r w:rsidR="00F62BB7" w:rsidRPr="00610A40">
        <w:rPr>
          <w:rFonts w:eastAsia="Arial"/>
          <w:color w:val="auto"/>
          <w:szCs w:val="24"/>
        </w:rPr>
        <w:fldChar w:fldCharType="separate"/>
      </w:r>
      <w:r w:rsidR="00565E2A" w:rsidRPr="00610A40">
        <w:rPr>
          <w:rFonts w:eastAsia="Arial"/>
          <w:noProof/>
          <w:color w:val="auto"/>
          <w:szCs w:val="24"/>
          <w:vertAlign w:val="superscript"/>
        </w:rPr>
        <w:t>117,132</w:t>
      </w:r>
      <w:r w:rsidR="00F62BB7" w:rsidRPr="00610A40">
        <w:rPr>
          <w:rFonts w:eastAsia="Arial"/>
          <w:color w:val="auto"/>
          <w:szCs w:val="24"/>
        </w:rPr>
        <w:fldChar w:fldCharType="end"/>
      </w:r>
      <w:r w:rsidRPr="00610A40">
        <w:rPr>
          <w:rFonts w:eastAsia="Arial"/>
          <w:color w:val="auto"/>
          <w:szCs w:val="24"/>
        </w:rPr>
        <w:t xml:space="preserve">. </w:t>
      </w:r>
      <w:r w:rsidR="006E2D72" w:rsidRPr="00610A40">
        <w:rPr>
          <w:rFonts w:eastAsia="Arial"/>
          <w:color w:val="auto"/>
          <w:szCs w:val="24"/>
        </w:rPr>
        <w:t xml:space="preserve"> </w:t>
      </w:r>
      <w:r w:rsidRPr="00610A40">
        <w:rPr>
          <w:rFonts w:eastAsia="Arial"/>
          <w:color w:val="auto"/>
          <w:szCs w:val="24"/>
        </w:rPr>
        <w:t xml:space="preserve">To enhance cellular attachment, PGS can be coated with nanofibers comprised of </w:t>
      </w:r>
      <w:proofErr w:type="spellStart"/>
      <w:r w:rsidRPr="00610A40">
        <w:rPr>
          <w:rFonts w:eastAsia="Arial"/>
          <w:color w:val="auto"/>
          <w:szCs w:val="24"/>
        </w:rPr>
        <w:t>laminin</w:t>
      </w:r>
      <w:proofErr w:type="spellEnd"/>
      <w:r w:rsidRPr="00610A40">
        <w:rPr>
          <w:rFonts w:eastAsia="Arial"/>
          <w:color w:val="auto"/>
          <w:szCs w:val="24"/>
        </w:rPr>
        <w:t xml:space="preserve"> and PCL</w:t>
      </w:r>
      <w:r w:rsidR="00F62BB7" w:rsidRPr="00610A40">
        <w:rPr>
          <w:rFonts w:eastAsia="Arial"/>
          <w:b/>
          <w:color w:val="auto"/>
          <w:szCs w:val="24"/>
        </w:rPr>
        <w:fldChar w:fldCharType="begin" w:fldLock="1"/>
      </w:r>
      <w:r w:rsidR="00565E2A" w:rsidRPr="00610A40">
        <w:rPr>
          <w:rFonts w:eastAsia="Arial"/>
          <w:b/>
          <w:color w:val="auto"/>
          <w:szCs w:val="24"/>
        </w:rPr>
        <w:instrText>ADDIN CSL_CITATION { "citationItems" : [ { "id" : "ITEM-1", "itemData" : { "DOI" : "10.1016/j.biomaterials.2009.11.074", "ISBN" : "01429612", "ISSN" : "01429612", "PMID" : "19962754", "abstract" : "Retinal transplantation experiments have advanced considerably during recent years, but remaining diseased photoreceptor cells in the host retina and inner retinal cells in the transplant physically obstruct the development of graft-host neuronal contacts which are required for vision. Recently, we developed methods for the isolation of donor photoreceptor layers in vitro, and the selective removal of host photoreceptors in vivo using biodegradable elastomeric membranes composed of poly(glycerol-co-sebacic acid) (PGS). Here, we report the surface modification of PGS membranes to promote the attachment of photoreceptor layers, allowing the resulting composite to be handled surgically as a single entity. PGS membranes were chemically modified with peptides containing an arginine-glycine-aspartic acid (RGD) extracellular matrix ligand sequence. PGS membranes were also coated with electrospun nanofiber meshes, containing laminin and poly(epsilon-caprolactone) (PCL). Following in vitro co-culture of biomaterial membranes with isolated embryonic retinal tissue, composites were tested for surgical handling and examined with hematoxylin and eosin staining and immunohistochemical markers. Electrospun nanofibers composed of laminin and PCL promoted sufficient cell adhesion for simultaneous transplantation of isolated photoreceptor layers and PGS membranes. Composites developed large populations of recoverin and rhodopsin labeled photoreceptors. Furthermore, ganglion cells, rod bipolar cells and AII amacrine cells were absent in co-cultured retinas as observed by neurofilament, PKC and parvalbumin labeling respectively. These results facilitate retinal transplantation experiments in which a composite graft composed of a biodegradable membrane adhered to an immature retina dominated by photoreceptor cells may be delivered in a single surgery, with the possibility of improving graft-host neuronal connections. ?? 2009 Elsevier Ltd. All rights reserved.", "author" : [ { "dropping-particle" : "", "family" : "Pritchard", "given" : "Christopher D.", "non-dropping-particle" : "", "parse-names" : false, "suffix" : "" }, { "dropping-particle" : "", "family" : "Arn??r", "given" : "Karin M.", "non-dropping-particle" : "", "parse-names" : false, "suffix" : "" }, { "dropping-particle" : "", "family" : "Neal", "given" : "Rebekah a.", "non-dropping-particle" : "", "parse-names" : false, "suffix" : "" }, { "dropping-particle" : "", "family" : "Neeley", "given" : "William L.", "non-dropping-particle" : "", "parse-names" : false, "suffix" : "" }, { "dropping-particle" : "", "family" : "Bojo", "given" : "Peter", "non-dropping-particle" : "", "parse-names" : false, "suffix" : "" }, { "dropping-particle" : "", "family" : "Bachelder", "given" : "Erika", "non-dropping-particle" : "", "parse-names" : false, "suffix" : "" }, { "dropping-particle" : "", "family" : "Holz", "given" : "Jessica", "non-dropping-particle" : "", "parse-names" : false, "suffix" : "" }, { "dropping-particle" : "", "family" : "Watson", "given" : "Nicki", "non-dropping-particle" : "", "parse-names" : false, "suffix" : "" }, { "dropping-particle" : "", "family" : "Botchwey", "given" : "Edward a.", "non-dropping-particle" : "", "parse-names" : false, "suffix" : "" }, { "dropping-particle" : "", "family" : "Langer", "given" : "Robert S.", "non-dropping-particle" : "", "parse-names" : false, "suffix" : "" }, { "dropping-particle" : "", "family" : "Ghosh", "given" : "Fredrik K.", "non-dropping-particle" : "", "parse-names" : false, "suffix" : "" } ], "container-title" : "Biomaterials", "id" : "ITEM-1", "issue" : "8", "issued" : { "date-parts" : [ [ "2010" ] ] }, "page" : "2153-2162", "title" : "The use of surface modified poly(glycerol-co-sebacic acid) in retinal transplantation", "type" : "article-journal", "volume" : "31" }, "uris" : [ "http://www.mendeley.com/documents/?uuid=ae6ba92a-3a38-44be-b1a7-2e3c21e58264", "http://www.mendeley.com/documents/?uuid=04120866-8f8b-46a6-99d2-f725402ad3c7" ] }, { "id" : "ITEM-2", "itemData" : { "DOI" : "10.1016/j.biomaterials.2010.07.026", "ISSN" : "01429612", "author" : [ { "dropping-particle" : "", "family" : "Pritchard", "given" : "Christopher D.", "non-dropping-particle" : "", "parse-names" : false, "suffix" : "" }, { "dropping-particle" : "", "family" : "Arn\u00e9r", "given" : "Karin M.", "non-dropping-particle" : "", "parse-names" : false, "suffix" : "" }, { "dropping-particle" : "", "family" : "Langer", "given" : "Robert S.", "non-dropping-particle" : "", "parse-names" : false, "suffix" : "" }, { "dropping-particle" : "", "family" : "Ghosh", "given" : "Fredrik K.", "non-dropping-particle" : "", "parse-names" : false, "suffix" : "" } ], "container-title" : "Biomaterials", "id" : "ITEM-2", "issue" : "31", "issued" : { "date-parts" : [ [ "2010" ] ] }, "page" : "7978-7984", "publisher" : "Elsevier Ltd", "title" : "Retinal transplantation using surface modified poly(glycerol-co-sebacic acid) membranes", "type" : "article-journal", "volume" : "31" }, "uris" : [ "http://www.mendeley.com/documents/?uuid=17709cc1-0ef0-483f-be23-b0638847face" ] } ], "mendeley" : { "formattedCitation" : "&lt;sup&gt;133,134&lt;/sup&gt;", "plainTextFormattedCitation" : "133,134", "previouslyFormattedCitation" : "&lt;sup&gt;132,133&lt;/sup&gt;" }, "properties" : { "noteIndex" : 0 }, "schema" : "https://github.com/citation-style-language/schema/raw/master/csl-citation.json" }</w:instrText>
      </w:r>
      <w:r w:rsidR="00F62BB7" w:rsidRPr="00610A40">
        <w:rPr>
          <w:rFonts w:eastAsia="Arial"/>
          <w:b/>
          <w:color w:val="auto"/>
          <w:szCs w:val="24"/>
        </w:rPr>
        <w:fldChar w:fldCharType="separate"/>
      </w:r>
      <w:r w:rsidR="00565E2A" w:rsidRPr="00610A40">
        <w:rPr>
          <w:rFonts w:eastAsia="Arial"/>
          <w:noProof/>
          <w:color w:val="auto"/>
          <w:szCs w:val="24"/>
          <w:vertAlign w:val="superscript"/>
        </w:rPr>
        <w:t>133,134</w:t>
      </w:r>
      <w:r w:rsidR="00F62BB7" w:rsidRPr="00610A40">
        <w:rPr>
          <w:rFonts w:eastAsia="Arial"/>
          <w:b/>
          <w:color w:val="auto"/>
          <w:szCs w:val="24"/>
        </w:rPr>
        <w:fldChar w:fldCharType="end"/>
      </w:r>
      <w:r w:rsidRPr="00610A40">
        <w:rPr>
          <w:rFonts w:eastAsia="Arial"/>
          <w:color w:val="auto"/>
          <w:szCs w:val="24"/>
        </w:rPr>
        <w:t>.</w:t>
      </w:r>
      <w:r w:rsidRPr="00610A40">
        <w:rPr>
          <w:rFonts w:eastAsia="Arial"/>
          <w:b/>
          <w:color w:val="auto"/>
          <w:szCs w:val="24"/>
        </w:rPr>
        <w:t xml:space="preserve"> </w:t>
      </w:r>
      <w:proofErr w:type="spellStart"/>
      <w:r w:rsidRPr="00610A40">
        <w:rPr>
          <w:rFonts w:eastAsia="Arial"/>
          <w:color w:val="auto"/>
          <w:szCs w:val="24"/>
        </w:rPr>
        <w:t>Laminin</w:t>
      </w:r>
      <w:proofErr w:type="spellEnd"/>
      <w:r w:rsidRPr="00610A40">
        <w:rPr>
          <w:rFonts w:eastAsia="Arial"/>
          <w:color w:val="auto"/>
          <w:szCs w:val="24"/>
        </w:rPr>
        <w:t>, an extracellular matrix protein, ha</w:t>
      </w:r>
      <w:r w:rsidR="00EE1AFF" w:rsidRPr="00610A40">
        <w:rPr>
          <w:rFonts w:eastAsia="Arial"/>
          <w:color w:val="auto"/>
          <w:szCs w:val="24"/>
        </w:rPr>
        <w:t>d</w:t>
      </w:r>
      <w:r w:rsidRPr="00610A40">
        <w:rPr>
          <w:rFonts w:eastAsia="Arial"/>
          <w:color w:val="auto"/>
          <w:szCs w:val="24"/>
        </w:rPr>
        <w:t xml:space="preserve"> been proposed for surface modification of polymeric substrates to achieve RPC survival and differentiation</w:t>
      </w:r>
      <w:r w:rsidR="001C57B3" w:rsidRPr="00610A40">
        <w:rPr>
          <w:rFonts w:eastAsia="Arial"/>
          <w:b/>
          <w:color w:val="auto"/>
          <w:szCs w:val="24"/>
        </w:rPr>
        <w:fldChar w:fldCharType="begin" w:fldLock="1"/>
      </w:r>
      <w:r w:rsidR="00565E2A" w:rsidRPr="00610A40">
        <w:rPr>
          <w:rFonts w:eastAsia="Arial"/>
          <w:b/>
          <w:color w:val="auto"/>
          <w:szCs w:val="24"/>
        </w:rPr>
        <w:instrText>ADDIN CSL_CITATION { "citationItems" : [ { "id" : "ITEM-1", "itemData" : { "DOI" : "10.1136/bjo.2010.184002", "ISBN" : "1468-2079 (Electronic)\\r0007-1161 (Linking)", "ISSN" : "0007-1161", "PMID" : "20807710", "abstract" : "Age-related macular degeneration is the most common cause of blindness in the UK. Cellular replacement of retinal pigment epithelium cells is a potential therapeutic option to treat the cellular loss and dysfunction which is characteristic of age-related macular degeneration and other progressive retinopathies. A supportive scaffold, natural or artificial, may be required to facilitate cell delivery to the eye. Research to improve the biomimetic properties of such scaffolds, in order to optimise cell attachment and functionality following implantation, is ongoing. This short review will focus on the potential of biomaterials for ocular tissue engineering and how surface modification and the physical properties of these scaffolds can be tailored to help realise the full clinical potential of retinal pigment epithelium cell transplantation.", "author" : [ { "dropping-particle" : "", "family" : "Treharne", "given" : "A. J.", "non-dropping-particle" : "", "parse-names" : false, "suffix" : "" }, { "dropping-particle" : "", "family" : "Grossel", "given" : "M. C.", "non-dropping-particle" : "", "parse-names" : false, "suffix" : "" }, { "dropping-particle" : "", "family" : "Lotery", "given" : "A. J.", "non-dropping-particle" : "", "parse-names" : false, "suffix" : "" }, { "dropping-particle" : "", "family" : "Thomson", "given" : "H. A.", "non-dropping-particle" : "", "parse-names" : false, "suffix" : "" } ], "container-title" : "British Journal of Ophthalmology", "id" : "ITEM-1", "issue" : "6", "issued" : { "date-parts" : [ [ "2011" ] ] }, "page" : "768-773", "title" : "The chemistry of retinal transplantation: the influence of polymer scaffold properties on retinal cell adhesion and control", "type" : "article-journal", "volume" : "95" }, "uris" : [ "http://www.mendeley.com/documents/?uuid=ef828bff-4c23-4e2e-8a6b-4d2ac78ebc4b", "http://www.mendeley.com/documents/?uuid=0c178a0e-643e-4f24-bb1d-8fa89d04ca17" ] } ], "mendeley" : { "formattedCitation" : "&lt;sup&gt;131&lt;/sup&gt;", "plainTextFormattedCitation" : "131", "previouslyFormattedCitation" : "&lt;sup&gt;130&lt;/sup&gt;" }, "properties" : { "noteIndex" : 0 }, "schema" : "https://github.com/citation-style-language/schema/raw/master/csl-citation.json" }</w:instrText>
      </w:r>
      <w:r w:rsidR="001C57B3" w:rsidRPr="00610A40">
        <w:rPr>
          <w:rFonts w:eastAsia="Arial"/>
          <w:b/>
          <w:color w:val="auto"/>
          <w:szCs w:val="24"/>
        </w:rPr>
        <w:fldChar w:fldCharType="separate"/>
      </w:r>
      <w:r w:rsidR="00565E2A" w:rsidRPr="00610A40">
        <w:rPr>
          <w:rFonts w:eastAsia="Arial"/>
          <w:noProof/>
          <w:color w:val="auto"/>
          <w:szCs w:val="24"/>
          <w:vertAlign w:val="superscript"/>
        </w:rPr>
        <w:t>131</w:t>
      </w:r>
      <w:r w:rsidR="001C57B3" w:rsidRPr="00610A40">
        <w:rPr>
          <w:rFonts w:eastAsia="Arial"/>
          <w:b/>
          <w:color w:val="auto"/>
          <w:szCs w:val="24"/>
        </w:rPr>
        <w:fldChar w:fldCharType="end"/>
      </w:r>
      <w:r w:rsidRPr="00610A40">
        <w:rPr>
          <w:rFonts w:eastAsia="Arial"/>
          <w:b/>
          <w:color w:val="auto"/>
          <w:szCs w:val="24"/>
        </w:rPr>
        <w:t xml:space="preserve">. </w:t>
      </w:r>
      <w:r w:rsidRPr="00610A40">
        <w:rPr>
          <w:rFonts w:eastAsia="Arial"/>
          <w:color w:val="auto"/>
          <w:szCs w:val="24"/>
        </w:rPr>
        <w:t xml:space="preserve">Using replica molding involving </w:t>
      </w:r>
      <w:proofErr w:type="spellStart"/>
      <w:r w:rsidRPr="00610A40">
        <w:rPr>
          <w:rFonts w:eastAsia="Arial"/>
          <w:color w:val="auto"/>
          <w:szCs w:val="24"/>
        </w:rPr>
        <w:t>micropatterned</w:t>
      </w:r>
      <w:proofErr w:type="spellEnd"/>
      <w:r w:rsidRPr="00610A40">
        <w:rPr>
          <w:rFonts w:eastAsia="Arial"/>
          <w:color w:val="auto"/>
          <w:szCs w:val="24"/>
        </w:rPr>
        <w:t xml:space="preserve"> PDMS, PGS scaffolds with tunable and defined pores can be easily created. Mouse RPCs </w:t>
      </w:r>
      <w:r w:rsidR="00C41E54" w:rsidRPr="00610A40">
        <w:rPr>
          <w:rFonts w:eastAsia="Arial"/>
          <w:color w:val="auto"/>
          <w:szCs w:val="24"/>
        </w:rPr>
        <w:t>favorably</w:t>
      </w:r>
      <w:r w:rsidRPr="00610A40">
        <w:rPr>
          <w:rFonts w:eastAsia="Arial"/>
          <w:color w:val="auto"/>
          <w:szCs w:val="24"/>
        </w:rPr>
        <w:t xml:space="preserve"> adhered to the scaffold, proliferated for 7 days and differentiated towards mature phenotypes. Furthermore, PGS membranes containing mouse RPCs can be scrolled and inserted into a syringe (1 mm inner diameter) for sub-retinal injection. </w:t>
      </w:r>
      <w:r w:rsidR="006E2D72" w:rsidRPr="00610A40">
        <w:rPr>
          <w:rFonts w:eastAsia="Arial"/>
          <w:color w:val="auto"/>
          <w:szCs w:val="24"/>
        </w:rPr>
        <w:t>The membrane</w:t>
      </w:r>
      <w:r w:rsidRPr="00610A40">
        <w:rPr>
          <w:rFonts w:eastAsia="Arial"/>
          <w:color w:val="auto"/>
          <w:szCs w:val="24"/>
        </w:rPr>
        <w:t xml:space="preserve"> preserve</w:t>
      </w:r>
      <w:r w:rsidR="00EE1AFF" w:rsidRPr="00610A40">
        <w:rPr>
          <w:rFonts w:eastAsia="Arial"/>
          <w:color w:val="auto"/>
          <w:szCs w:val="24"/>
        </w:rPr>
        <w:t>d</w:t>
      </w:r>
      <w:r w:rsidRPr="00610A40">
        <w:rPr>
          <w:rFonts w:eastAsia="Arial"/>
          <w:color w:val="auto"/>
          <w:szCs w:val="24"/>
        </w:rPr>
        <w:t xml:space="preserve"> and protect</w:t>
      </w:r>
      <w:r w:rsidR="00EE1AFF" w:rsidRPr="00610A40">
        <w:rPr>
          <w:rFonts w:eastAsia="Arial"/>
          <w:color w:val="auto"/>
          <w:szCs w:val="24"/>
        </w:rPr>
        <w:t>ed</w:t>
      </w:r>
      <w:r w:rsidRPr="00610A40">
        <w:rPr>
          <w:rFonts w:eastAsia="Arial"/>
          <w:color w:val="auto"/>
          <w:szCs w:val="24"/>
        </w:rPr>
        <w:t xml:space="preserve"> the cell sheet from shear forces, while minimizing damage</w:t>
      </w:r>
      <w:r w:rsidR="00EE1AFF" w:rsidRPr="00610A40">
        <w:rPr>
          <w:rFonts w:eastAsia="Arial"/>
          <w:color w:val="auto"/>
          <w:szCs w:val="24"/>
        </w:rPr>
        <w:t>s</w:t>
      </w:r>
      <w:r w:rsidRPr="00610A40">
        <w:rPr>
          <w:rFonts w:eastAsia="Arial"/>
          <w:color w:val="auto"/>
          <w:szCs w:val="24"/>
        </w:rPr>
        <w:t xml:space="preserve"> to host tissues. One month after transplantation, there was new cell migration to the host retin</w:t>
      </w:r>
      <w:r w:rsidR="001C57B3" w:rsidRPr="00610A40">
        <w:rPr>
          <w:rFonts w:eastAsia="Arial"/>
          <w:color w:val="auto"/>
          <w:szCs w:val="24"/>
        </w:rPr>
        <w:t>a and cellular differentiation</w:t>
      </w:r>
      <w:r w:rsidR="001C57B3" w:rsidRPr="00610A40">
        <w:rPr>
          <w:rFonts w:eastAsia="Arial"/>
          <w:b/>
          <w:color w:val="auto"/>
          <w:szCs w:val="24"/>
        </w:rPr>
        <w:fldChar w:fldCharType="begin" w:fldLock="1"/>
      </w:r>
      <w:r w:rsidR="00565E2A" w:rsidRPr="00610A40">
        <w:rPr>
          <w:rFonts w:eastAsia="Arial"/>
          <w:b/>
          <w:color w:val="auto"/>
          <w:szCs w:val="24"/>
        </w:rPr>
        <w:instrText>ADDIN CSL_CITATION { "citationItems" : [ { "id" : "ITEM-1", "itemData" : { "DOI" : "10.1016/j.biomaterials.2009.02.046", "ISBN" : "0142-9612", "ISSN" : "01429612", "PMID" : "19361860", "abstract" : "Retinal degenerations cause permanent visual loss and affect millions world-wide. Presently, a novel treatment highlights the potential of using biodegradable polymer scaffolds to induce differentiation and deliver retinal progenitor cells for cell replacement therapy. In this study, we engineered and analyzed a micro-fabricated polymer, poly(glycerol sebacate) (PGS) scaffold, whose useful properties include biocompatibility, elasticity, porosity, and a microtopology conducive to mouse retinal progenitor cell (mRPC) differentiation. In vitro proliferation assays revealed that PGS held up to 86,610 (\u00b19993) mRPCs per square millimeter, which were retained through simulated transplantations. mRPCs adherent to PGS differentiated toward mature phenotypes as evidenced by changes in mRNA, protein levels, and enhanced sensitivity to glutamate. Transplanted composites demonstrated long-term mRPC survival and migrated cells exhibited mature marker expression in host retina. These results suggest that combining mRPCs with PGS scaffolds for subretinal transplantation is a practical strategy for advancing retinal tissue engineering as a restorative therapy. \u00a9 2009 Elsevier Ltd. All rights reserved.", "author" : [ { "dropping-particle" : "", "family" : "Redenti", "given" : "Stephen", "non-dropping-particle" : "", "parse-names" : false, "suffix" : "" }, { "dropping-particle" : "", "family" : "Neeley", "given" : "William L.", "non-dropping-particle" : "", "parse-names" : false, "suffix" : "" }, { "dropping-particle" : "", "family" : "Rompani", "given" : "Santiago", "non-dropping-particle" : "", "parse-names" : false, "suffix" : "" }, { "dropping-particle" : "", "family" : "Saigal", "given" : "Sunita", "non-dropping-particle" : "", "parse-names" : false, "suffix" : "" }, { "dropping-particle" : "", "family" : "Yang", "given" : "Jing", "non-dropping-particle" : "", "parse-names" : false, "suffix" : "" }, { "dropping-particle" : "", "family" : "Klassen", "given" : "Henry", "non-dropping-particle" : "", "parse-names" : false, "suffix" : "" }, { "dropping-particle" : "", "family" : "Langer", "given" : "Robert", "non-dropping-particle" : "", "parse-names" : false, "suffix" : "" }, { "dropping-particle" : "", "family" : "Young", "given" : "Michael J.", "non-dropping-particle" : "", "parse-names" : false, "suffix" : "" } ], "container-title" : "Biomaterials", "id" : "ITEM-1", "issue" : "20", "issued" : { "date-parts" : [ [ "2009" ] ] }, "page" : "3405-3414", "publisher" : "Elsevier Ltd", "title" : "Engineering retinal progenitor cell and scrollable poly(glycerol-sebacate) composites for expansion and subretinal transplantation", "type" : "article-journal", "volume" : "30" }, "uris" : [ "http://www.mendeley.com/documents/?uuid=79cb5dcf-f428-4283-a3a2-fd8fef59b310", "http://www.mendeley.com/documents/?uuid=85e12351-0b52-476d-bf3b-6c68a37eb36e" ] } ], "mendeley" : { "formattedCitation" : "&lt;sup&gt;132&lt;/sup&gt;", "plainTextFormattedCitation" : "132", "previouslyFormattedCitation" : "&lt;sup&gt;131&lt;/sup&gt;" }, "properties" : { "noteIndex" : 0 }, "schema" : "https://github.com/citation-style-language/schema/raw/master/csl-citation.json" }</w:instrText>
      </w:r>
      <w:r w:rsidR="001C57B3" w:rsidRPr="00610A40">
        <w:rPr>
          <w:rFonts w:eastAsia="Arial"/>
          <w:b/>
          <w:color w:val="auto"/>
          <w:szCs w:val="24"/>
        </w:rPr>
        <w:fldChar w:fldCharType="separate"/>
      </w:r>
      <w:r w:rsidR="00565E2A" w:rsidRPr="00610A40">
        <w:rPr>
          <w:rFonts w:eastAsia="Arial"/>
          <w:noProof/>
          <w:color w:val="auto"/>
          <w:szCs w:val="24"/>
          <w:vertAlign w:val="superscript"/>
        </w:rPr>
        <w:t>132</w:t>
      </w:r>
      <w:r w:rsidR="001C57B3" w:rsidRPr="00610A40">
        <w:rPr>
          <w:rFonts w:eastAsia="Arial"/>
          <w:b/>
          <w:color w:val="auto"/>
          <w:szCs w:val="24"/>
        </w:rPr>
        <w:fldChar w:fldCharType="end"/>
      </w:r>
      <w:r w:rsidR="00BD66ED" w:rsidRPr="00610A40">
        <w:rPr>
          <w:rFonts w:eastAsia="Arial"/>
          <w:color w:val="auto"/>
          <w:szCs w:val="24"/>
        </w:rPr>
        <w:t>.</w:t>
      </w:r>
      <w:r w:rsidR="00DD7974" w:rsidRPr="00610A40">
        <w:rPr>
          <w:rFonts w:eastAsia="Arial"/>
          <w:color w:val="auto"/>
          <w:szCs w:val="24"/>
        </w:rPr>
        <w:t xml:space="preserve"> </w:t>
      </w:r>
      <w:r w:rsidRPr="00610A40">
        <w:rPr>
          <w:rFonts w:eastAsia="Arial"/>
          <w:color w:val="auto"/>
          <w:szCs w:val="24"/>
        </w:rPr>
        <w:t>Ultimately, retinal organization and structure should be well preserved to enable proper signal</w:t>
      </w:r>
      <w:r w:rsidR="006E2D72" w:rsidRPr="00610A40">
        <w:rPr>
          <w:rFonts w:eastAsia="Arial"/>
          <w:color w:val="auto"/>
          <w:szCs w:val="24"/>
        </w:rPr>
        <w:t xml:space="preserve"> transduction to host </w:t>
      </w:r>
      <w:r w:rsidR="006E2D72" w:rsidRPr="00610A40">
        <w:rPr>
          <w:rFonts w:eastAsia="Arial"/>
          <w:color w:val="auto"/>
          <w:szCs w:val="24"/>
        </w:rPr>
        <w:lastRenderedPageBreak/>
        <w:t xml:space="preserve">neurons. </w:t>
      </w:r>
      <w:r w:rsidRPr="00610A40">
        <w:rPr>
          <w:rFonts w:eastAsia="Arial"/>
          <w:color w:val="auto"/>
          <w:szCs w:val="24"/>
        </w:rPr>
        <w:t xml:space="preserve">Alternatively, PGS can be used as a biodegradable physical barrier to disrupt </w:t>
      </w:r>
      <w:proofErr w:type="spellStart"/>
      <w:r w:rsidRPr="00610A40">
        <w:rPr>
          <w:rFonts w:eastAsia="Arial"/>
          <w:color w:val="auto"/>
          <w:szCs w:val="24"/>
        </w:rPr>
        <w:t>choroidal</w:t>
      </w:r>
      <w:proofErr w:type="spellEnd"/>
      <w:r w:rsidRPr="00610A40">
        <w:rPr>
          <w:rFonts w:eastAsia="Arial"/>
          <w:color w:val="auto"/>
          <w:szCs w:val="24"/>
        </w:rPr>
        <w:t xml:space="preserve"> blood flow to the host outer nuclear layer (ONL). When placed in the sub-retinal space, it will result in ischemic retinal detachment and removal of host diseased photoreceptors. These diseased cells obstruct successful healthy integration of transplants</w:t>
      </w:r>
      <w:r w:rsidR="001C57B3" w:rsidRPr="00610A40">
        <w:rPr>
          <w:rFonts w:eastAsia="Arial"/>
          <w:b/>
          <w:color w:val="auto"/>
          <w:szCs w:val="24"/>
        </w:rPr>
        <w:fldChar w:fldCharType="begin" w:fldLock="1"/>
      </w:r>
      <w:r w:rsidR="00565E2A" w:rsidRPr="00610A40">
        <w:rPr>
          <w:rFonts w:eastAsia="Arial"/>
          <w:b/>
          <w:color w:val="auto"/>
          <w:szCs w:val="24"/>
        </w:rPr>
        <w:instrText>ADDIN CSL_CITATION { "citationItems" : [ { "id" : "ITEM-1", "itemData" : { "DOI" : "10.1089/ten.TEA.2008.0450", "ISBN" : "1937-3341", "ISSN" : "1937-335X", "PMID" : "19191667", "abstract" : "Retinal transplantation experiments have advanced considerably during recent years, but remaining diseased photoreceptor cells in the host retina physically obstruct the development of graft-host neuronal contacts that are required for vision. We here report selective removal of photoreceptors using the biodegradable elastomer poly(glycerol sebacate) (PGS). A 1\u2009\u00d7\u20093\u2009mm PGS membrane was implanted in the subretinal space of normal rabbit eyes, and morphologic specimens were examined with hematoxylin and eosin staining and a panel of immunohistochemical markers. Seven days postoperatively, a patent separation of the neuroretina and retinal pigment epithelium was found as well as loss of several rows of photoreceptors in combination with massive terminal transferase-mediated dUTP nick-end labeling (TUNEL) staining for apoptosis in the outer nuclear layer. After 28 days, the neuroretina was reattached, the PGS membrane had degraded, and photoreceptors were absent in the implantation area. Activated M\u00fcller cells were found in the entire retina in 7-day specimens, and in the implantation area after 28 days. AII amacrine and rod bipolar cell morphology was not affected, except for disrupted dendritic branching, which was present in rod bipolar cells in 28-day specimens. We conclude that retinal detachment induced by the biodegradable PGS membrane creates a permissive environment in which graft-host neuronal connections may be facilitated in future retinal transplantation experiments.", "author" : [ { "dropping-particle" : "", "family" : "Ghosh", "given" : "Fredrik", "non-dropping-particle" : "", "parse-names" : false, "suffix" : "" }, { "dropping-particle" : "", "family" : "Neeley", "given" : "William L", "non-dropping-particle" : "", "parse-names" : false, "suffix" : "" }, { "dropping-particle" : "", "family" : "Arn\u00e9r", "given" : "Karin", "non-dropping-particle" : "", "parse-names" : false, "suffix" : "" }, { "dropping-particle" : "", "family" : "Langer", "given" : "Robert", "non-dropping-particle" : "", "parse-names" : false, "suffix" : "" } ], "container-title" : "Tissue engineering. Part A", "id" : "ITEM-1", "issue" : "13-14", "issued" : { "date-parts" : [ [ "2011" ] ] }, "page" : "1675-82", "title" : "Selective removal of photoreceptor cells in vivo using the biodegradable elastomer poly(glycerol sebacate).", "type" : "article-journal", "volume" : "17" }, "uris" : [ "http://www.mendeley.com/documents/?uuid=3500e97e-08e7-4965-bcfd-00244b2faaf6", "http://www.mendeley.com/documents/?uuid=0f7424c9-60a7-4eef-96bb-41ae488683e8" ] }, { "id" : "ITEM-2", "itemData" : { "DOI" : "10.1016/j.biomaterials.2009.11.074", "ISBN" : "01429612", "ISSN" : "01429612", "PMID" : "19962754", "abstract" : "Retinal transplantation experiments have advanced considerably during recent years, but remaining diseased photoreceptor cells in the host retina and inner retinal cells in the transplant physically obstruct the development of graft-host neuronal contacts which are required for vision. Recently, we developed methods for the isolation of donor photoreceptor layers in vitro, and the selective removal of host photoreceptors in vivo using biodegradable elastomeric membranes composed of poly(glycerol-co-sebacic acid) (PGS). Here, we report the surface modification of PGS membranes to promote the attachment of photoreceptor layers, allowing the resulting composite to be handled surgically as a single entity. PGS membranes were chemically modified with peptides containing an arginine-glycine-aspartic acid (RGD) extracellular matrix ligand sequence. PGS membranes were also coated with electrospun nanofiber meshes, containing laminin and poly(epsilon-caprolactone) (PCL). Following in vitro co-culture of biomaterial membranes with isolated embryonic retinal tissue, composites were tested for surgical handling and examined with hematoxylin and eosin staining and immunohistochemical markers. Electrospun nanofibers composed of laminin and PCL promoted sufficient cell adhesion for simultaneous transplantation of isolated photoreceptor layers and PGS membranes. Composites developed large populations of recoverin and rhodopsin labeled photoreceptors. Furthermore, ganglion cells, rod bipolar cells and AII amacrine cells were absent in co-cultured retinas as observed by neurofilament, PKC and parvalbumin labeling respectively. These results facilitate retinal transplantation experiments in which a composite graft composed of a biodegradable membrane adhered to an immature retina dominated by photoreceptor cells may be delivered in a single surgery, with the possibility of improving graft-host neuronal connections. ?? 2009 Elsevier Ltd. All rights reserved.", "author" : [ { "dropping-particle" : "", "family" : "Pritchard", "given" : "Christopher D.", "non-dropping-particle" : "", "parse-names" : false, "suffix" : "" }, { "dropping-particle" : "", "family" : "Arn??r", "given" : "Karin M.", "non-dropping-particle" : "", "parse-names" : false, "suffix" : "" }, { "dropping-particle" : "", "family" : "Neal", "given" : "Rebekah a.", "non-dropping-particle" : "", "parse-names" : false, "suffix" : "" }, { "dropping-particle" : "", "family" : "Neeley", "given" : "William L.", "non-dropping-particle" : "", "parse-names" : false, "suffix" : "" }, { "dropping-particle" : "", "family" : "Bojo", "given" : "Peter", "non-dropping-particle" : "", "parse-names" : false, "suffix" : "" }, { "dropping-particle" : "", "family" : "Bachelder", "given" : "Erika", "non-dropping-particle" : "", "parse-names" : false, "suffix" : "" }, { "dropping-particle" : "", "family" : "Holz", "given" : "Jessica", "non-dropping-particle" : "", "parse-names" : false, "suffix" : "" }, { "dropping-particle" : "", "family" : "Watson", "given" : "Nicki", "non-dropping-particle" : "", "parse-names" : false, "suffix" : "" }, { "dropping-particle" : "", "family" : "Botchwey", "given" : "Edward a.", "non-dropping-particle" : "", "parse-names" : false, "suffix" : "" }, { "dropping-particle" : "", "family" : "Langer", "given" : "Robert S.", "non-dropping-particle" : "", "parse-names" : false, "suffix" : "" }, { "dropping-particle" : "", "family" : "Ghosh", "given" : "Fredrik K.", "non-dropping-particle" : "", "parse-names" : false, "suffix" : "" } ], "container-title" : "Biomaterials", "id" : "ITEM-2", "issue" : "8", "issued" : { "date-parts" : [ [ "2010" ] ] }, "page" : "2153-2162", "title" : "The use of surface modified poly(glycerol-co-sebacic acid) in retinal transplantation", "type" : "article-journal", "volume" : "31" }, "uris" : [ "http://www.mendeley.com/documents/?uuid=04120866-8f8b-46a6-99d2-f725402ad3c7", "http://www.mendeley.com/documents/?uuid=ae6ba92a-3a38-44be-b1a7-2e3c21e58264" ] } ], "mendeley" : { "formattedCitation" : "&lt;sup&gt;133,135&lt;/sup&gt;", "plainTextFormattedCitation" : "133,135", "previouslyFormattedCitation" : "&lt;sup&gt;132,134&lt;/sup&gt;" }, "properties" : { "noteIndex" : 0 }, "schema" : "https://github.com/citation-style-language/schema/raw/master/csl-citation.json" }</w:instrText>
      </w:r>
      <w:r w:rsidR="001C57B3" w:rsidRPr="00610A40">
        <w:rPr>
          <w:rFonts w:eastAsia="Arial"/>
          <w:b/>
          <w:color w:val="auto"/>
          <w:szCs w:val="24"/>
        </w:rPr>
        <w:fldChar w:fldCharType="separate"/>
      </w:r>
      <w:r w:rsidR="00565E2A" w:rsidRPr="00610A40">
        <w:rPr>
          <w:rFonts w:eastAsia="Arial"/>
          <w:noProof/>
          <w:color w:val="auto"/>
          <w:szCs w:val="24"/>
          <w:vertAlign w:val="superscript"/>
        </w:rPr>
        <w:t>133,135</w:t>
      </w:r>
      <w:r w:rsidR="001C57B3" w:rsidRPr="00610A40">
        <w:rPr>
          <w:rFonts w:eastAsia="Arial"/>
          <w:b/>
          <w:color w:val="auto"/>
          <w:szCs w:val="24"/>
        </w:rPr>
        <w:fldChar w:fldCharType="end"/>
      </w:r>
      <w:r w:rsidRPr="00610A40">
        <w:rPr>
          <w:rFonts w:eastAsia="Arial"/>
          <w:color w:val="auto"/>
          <w:szCs w:val="24"/>
        </w:rPr>
        <w:t>. The donor composite graft consist</w:t>
      </w:r>
      <w:r w:rsidR="00AD5A86" w:rsidRPr="00610A40">
        <w:rPr>
          <w:rFonts w:eastAsia="Arial"/>
          <w:color w:val="auto"/>
          <w:szCs w:val="24"/>
        </w:rPr>
        <w:t>ed</w:t>
      </w:r>
      <w:r w:rsidRPr="00610A40">
        <w:rPr>
          <w:rFonts w:eastAsia="Arial"/>
          <w:color w:val="auto"/>
          <w:szCs w:val="24"/>
        </w:rPr>
        <w:t xml:space="preserve"> of a transplant outer nuclear layer (</w:t>
      </w:r>
      <w:proofErr w:type="spellStart"/>
      <w:r w:rsidRPr="00610A40">
        <w:rPr>
          <w:rFonts w:eastAsia="Arial"/>
          <w:color w:val="auto"/>
          <w:szCs w:val="24"/>
        </w:rPr>
        <w:t>tONL</w:t>
      </w:r>
      <w:proofErr w:type="spellEnd"/>
      <w:r w:rsidRPr="00610A40">
        <w:rPr>
          <w:rFonts w:eastAsia="Arial"/>
          <w:color w:val="auto"/>
          <w:szCs w:val="24"/>
        </w:rPr>
        <w:t>), containing healthy photorecept</w:t>
      </w:r>
      <w:r w:rsidR="001C57B3" w:rsidRPr="00610A40">
        <w:rPr>
          <w:rFonts w:eastAsia="Arial"/>
          <w:color w:val="auto"/>
          <w:szCs w:val="24"/>
        </w:rPr>
        <w:t>ors, fused with a PGS membrane</w:t>
      </w:r>
      <w:r w:rsidR="001C57B3" w:rsidRPr="00610A40">
        <w:rPr>
          <w:rFonts w:eastAsia="Arial"/>
          <w:b/>
          <w:color w:val="auto"/>
          <w:szCs w:val="24"/>
        </w:rPr>
        <w:fldChar w:fldCharType="begin" w:fldLock="1"/>
      </w:r>
      <w:r w:rsidR="00565E2A" w:rsidRPr="00610A40">
        <w:rPr>
          <w:rFonts w:eastAsia="Arial"/>
          <w:b/>
          <w:color w:val="auto"/>
          <w:szCs w:val="24"/>
        </w:rPr>
        <w:instrText>ADDIN CSL_CITATION { "citationItems" : [ { "id" : "ITEM-1", "itemData" : { "DOI" : "10.1016/j.biomaterials.2010.07.026", "ISSN" : "01429612", "author" : [ { "dropping-particle" : "", "family" : "Pritchard", "given" : "Christopher D.", "non-dropping-particle" : "", "parse-names" : false, "suffix" : "" }, { "dropping-particle" : "", "family" : "Arn\u00e9r", "given" : "Karin M.", "non-dropping-particle" : "", "parse-names" : false, "suffix" : "" }, { "dropping-particle" : "", "family" : "Langer", "given" : "Robert S.", "non-dropping-particle" : "", "parse-names" : false, "suffix" : "" }, { "dropping-particle" : "", "family" : "Ghosh", "given" : "Fredrik K.", "non-dropping-particle" : "", "parse-names" : false, "suffix" : "" } ], "container-title" : "Biomaterials", "id" : "ITEM-1", "issue" : "31", "issued" : { "date-parts" : [ [ "2010" ] ] }, "page" : "7978-7984", "publisher" : "Elsevier Ltd", "title" : "Retinal transplantation using surface modified poly(glycerol-co-sebacic acid) membranes", "type" : "article-journal", "volume" : "31" }, "uris" : [ "http://www.mendeley.com/documents/?uuid=17709cc1-0ef0-483f-be23-b0638847face" ] } ], "mendeley" : { "formattedCitation" : "&lt;sup&gt;134&lt;/sup&gt;", "plainTextFormattedCitation" : "134", "previouslyFormattedCitation" : "&lt;sup&gt;133&lt;/sup&gt;" }, "properties" : { "noteIndex" : 0 }, "schema" : "https://github.com/citation-style-language/schema/raw/master/csl-citation.json" }</w:instrText>
      </w:r>
      <w:r w:rsidR="001C57B3" w:rsidRPr="00610A40">
        <w:rPr>
          <w:rFonts w:eastAsia="Arial"/>
          <w:b/>
          <w:color w:val="auto"/>
          <w:szCs w:val="24"/>
        </w:rPr>
        <w:fldChar w:fldCharType="separate"/>
      </w:r>
      <w:r w:rsidR="00565E2A" w:rsidRPr="00610A40">
        <w:rPr>
          <w:rFonts w:eastAsia="Arial"/>
          <w:noProof/>
          <w:color w:val="auto"/>
          <w:szCs w:val="24"/>
          <w:vertAlign w:val="superscript"/>
        </w:rPr>
        <w:t>134</w:t>
      </w:r>
      <w:r w:rsidR="001C57B3" w:rsidRPr="00610A40">
        <w:rPr>
          <w:rFonts w:eastAsia="Arial"/>
          <w:b/>
          <w:color w:val="auto"/>
          <w:szCs w:val="24"/>
        </w:rPr>
        <w:fldChar w:fldCharType="end"/>
      </w:r>
      <w:r w:rsidR="001C57B3" w:rsidRPr="00610A40">
        <w:rPr>
          <w:rFonts w:eastAsia="Arial"/>
          <w:color w:val="auto"/>
          <w:szCs w:val="24"/>
        </w:rPr>
        <w:t>(</w:t>
      </w:r>
      <w:r w:rsidR="00944C77" w:rsidRPr="00610A40">
        <w:rPr>
          <w:rFonts w:eastAsia="Arial"/>
          <w:color w:val="auto"/>
          <w:szCs w:val="24"/>
        </w:rPr>
        <w:fldChar w:fldCharType="begin"/>
      </w:r>
      <w:r w:rsidR="00944C77" w:rsidRPr="00610A40">
        <w:rPr>
          <w:rFonts w:eastAsia="Arial"/>
          <w:color w:val="auto"/>
          <w:szCs w:val="24"/>
        </w:rPr>
        <w:instrText xml:space="preserve"> REF _Ref489036259 \h </w:instrText>
      </w:r>
      <w:r w:rsidR="00004924" w:rsidRPr="00610A40">
        <w:rPr>
          <w:rFonts w:eastAsia="Arial"/>
          <w:color w:val="auto"/>
          <w:szCs w:val="24"/>
        </w:rPr>
        <w:instrText xml:space="preserve"> \* MERGEFORMAT </w:instrText>
      </w:r>
      <w:r w:rsidR="00944C77" w:rsidRPr="00610A40">
        <w:rPr>
          <w:rFonts w:eastAsia="Arial"/>
          <w:color w:val="auto"/>
          <w:szCs w:val="24"/>
        </w:rPr>
      </w:r>
      <w:r w:rsidR="00944C77" w:rsidRPr="00610A40">
        <w:rPr>
          <w:rFonts w:eastAsia="Arial"/>
          <w:color w:val="auto"/>
          <w:szCs w:val="24"/>
        </w:rPr>
        <w:fldChar w:fldCharType="separate"/>
      </w:r>
      <w:r w:rsidR="002B2E41" w:rsidRPr="00610A40">
        <w:rPr>
          <w:color w:val="auto"/>
          <w:szCs w:val="24"/>
        </w:rPr>
        <w:t xml:space="preserve">Figure </w:t>
      </w:r>
      <w:r w:rsidR="002B2E41" w:rsidRPr="00610A40">
        <w:rPr>
          <w:noProof/>
          <w:color w:val="auto"/>
          <w:szCs w:val="24"/>
        </w:rPr>
        <w:t>5</w:t>
      </w:r>
      <w:r w:rsidR="00944C77" w:rsidRPr="00610A40">
        <w:rPr>
          <w:rFonts w:eastAsia="Arial"/>
          <w:color w:val="auto"/>
          <w:szCs w:val="24"/>
        </w:rPr>
        <w:fldChar w:fldCharType="end"/>
      </w:r>
      <w:r w:rsidR="001C57B3" w:rsidRPr="00610A40">
        <w:rPr>
          <w:rFonts w:eastAsia="Arial"/>
          <w:color w:val="auto"/>
          <w:szCs w:val="24"/>
        </w:rPr>
        <w:t>).</w:t>
      </w:r>
      <w:r w:rsidR="001C57B3" w:rsidRPr="00610A40">
        <w:rPr>
          <w:rFonts w:eastAsia="Arial"/>
          <w:b/>
          <w:color w:val="auto"/>
          <w:szCs w:val="24"/>
        </w:rPr>
        <w:t xml:space="preserve"> </w:t>
      </w:r>
      <w:r w:rsidRPr="00610A40">
        <w:rPr>
          <w:rFonts w:eastAsia="Arial"/>
          <w:color w:val="auto"/>
          <w:szCs w:val="24"/>
        </w:rPr>
        <w:t xml:space="preserve">In animal studies, porcine </w:t>
      </w:r>
      <w:proofErr w:type="spellStart"/>
      <w:r w:rsidRPr="00610A40">
        <w:rPr>
          <w:rFonts w:eastAsia="Arial"/>
          <w:color w:val="auto"/>
          <w:szCs w:val="24"/>
        </w:rPr>
        <w:t>neuro</w:t>
      </w:r>
      <w:proofErr w:type="spellEnd"/>
      <w:r w:rsidRPr="00610A40">
        <w:rPr>
          <w:rFonts w:eastAsia="Arial"/>
          <w:color w:val="auto"/>
          <w:szCs w:val="24"/>
        </w:rPr>
        <w:t xml:space="preserve">-retinal explants on PGS membranes were successfully transplanted into adult </w:t>
      </w:r>
      <w:r w:rsidR="00BD66ED" w:rsidRPr="00610A40">
        <w:rPr>
          <w:rFonts w:eastAsia="Arial"/>
          <w:color w:val="auto"/>
          <w:szCs w:val="24"/>
        </w:rPr>
        <w:t>porcine eyes. Three months post-</w:t>
      </w:r>
      <w:r w:rsidRPr="00610A40">
        <w:rPr>
          <w:rFonts w:eastAsia="Arial"/>
          <w:color w:val="auto"/>
          <w:szCs w:val="24"/>
        </w:rPr>
        <w:t>surgery, the PGS membrane</w:t>
      </w:r>
      <w:r w:rsidR="00BD66ED" w:rsidRPr="00610A40">
        <w:rPr>
          <w:rFonts w:eastAsia="Arial"/>
          <w:color w:val="auto"/>
          <w:szCs w:val="24"/>
        </w:rPr>
        <w:t xml:space="preserve"> had</w:t>
      </w:r>
      <w:r w:rsidRPr="00610A40">
        <w:rPr>
          <w:rFonts w:eastAsia="Arial"/>
          <w:color w:val="auto"/>
          <w:szCs w:val="24"/>
        </w:rPr>
        <w:t xml:space="preserve"> d</w:t>
      </w:r>
      <w:r w:rsidR="00BD66ED" w:rsidRPr="00610A40">
        <w:rPr>
          <w:rFonts w:eastAsia="Arial"/>
          <w:color w:val="auto"/>
          <w:szCs w:val="24"/>
        </w:rPr>
        <w:t>egraded without any sign</w:t>
      </w:r>
      <w:r w:rsidRPr="00610A40">
        <w:rPr>
          <w:rFonts w:eastAsia="Arial"/>
          <w:color w:val="auto"/>
          <w:szCs w:val="24"/>
        </w:rPr>
        <w:t xml:space="preserve"> of inflammation. The host ONL had disintegrated, and fully-developed photoreceptors could integrate with an intact host retinal pigment epithelium.</w:t>
      </w:r>
    </w:p>
    <w:p w14:paraId="5F93ECD0" w14:textId="77777777" w:rsidR="00394D7B" w:rsidRPr="00610A40" w:rsidRDefault="00394D7B" w:rsidP="00394D7B">
      <w:pPr>
        <w:keepNext/>
        <w:rPr>
          <w:color w:val="auto"/>
          <w:szCs w:val="24"/>
        </w:rPr>
      </w:pPr>
      <w:r w:rsidRPr="00610A40">
        <w:rPr>
          <w:rFonts w:eastAsia="Arial"/>
          <w:noProof/>
          <w:color w:val="auto"/>
          <w:szCs w:val="24"/>
        </w:rPr>
        <w:lastRenderedPageBreak/>
        <w:drawing>
          <wp:inline distT="0" distB="0" distL="0" distR="0" wp14:anchorId="7F848D5A" wp14:editId="4745CCE1">
            <wp:extent cx="3572716" cy="5322498"/>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2830" cy="5322668"/>
                    </a:xfrm>
                    <a:prstGeom prst="rect">
                      <a:avLst/>
                    </a:prstGeom>
                    <a:noFill/>
                    <a:ln>
                      <a:noFill/>
                    </a:ln>
                  </pic:spPr>
                </pic:pic>
              </a:graphicData>
            </a:graphic>
          </wp:inline>
        </w:drawing>
      </w:r>
    </w:p>
    <w:p w14:paraId="5BD1A615" w14:textId="408882FD" w:rsidR="00394D7B" w:rsidRPr="00610A40" w:rsidRDefault="00394D7B" w:rsidP="00394D7B">
      <w:pPr>
        <w:pStyle w:val="Caption"/>
        <w:rPr>
          <w:rFonts w:eastAsia="Arial"/>
          <w:sz w:val="24"/>
          <w:szCs w:val="24"/>
        </w:rPr>
      </w:pPr>
      <w:bookmarkStart w:id="5" w:name="_Ref489036259"/>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5</w:t>
      </w:r>
      <w:r w:rsidR="00004924" w:rsidRPr="00610A40">
        <w:rPr>
          <w:noProof/>
          <w:sz w:val="24"/>
          <w:szCs w:val="24"/>
        </w:rPr>
        <w:fldChar w:fldCharType="end"/>
      </w:r>
      <w:bookmarkEnd w:id="5"/>
      <w:r w:rsidRPr="00610A40">
        <w:rPr>
          <w:sz w:val="24"/>
          <w:szCs w:val="24"/>
        </w:rPr>
        <w:t>: Illustration of the composite retinal graft model</w:t>
      </w:r>
      <w:r w:rsidRPr="00610A40">
        <w:rPr>
          <w:sz w:val="24"/>
          <w:szCs w:val="24"/>
        </w:rPr>
        <w:fldChar w:fldCharType="begin" w:fldLock="1"/>
      </w:r>
      <w:r w:rsidR="00565E2A" w:rsidRPr="00610A40">
        <w:rPr>
          <w:sz w:val="24"/>
          <w:szCs w:val="24"/>
        </w:rPr>
        <w:instrText>ADDIN CSL_CITATION { "citationItems" : [ { "id" : "ITEM-1", "itemData" : { "DOI" : "10.1016/j.biomaterials.2010.07.026", "ISSN" : "01429612", "author" : [ { "dropping-particle" : "", "family" : "Pritchard", "given" : "Christopher D.", "non-dropping-particle" : "", "parse-names" : false, "suffix" : "" }, { "dropping-particle" : "", "family" : "Arn\u00e9r", "given" : "Karin M.", "non-dropping-particle" : "", "parse-names" : false, "suffix" : "" }, { "dropping-particle" : "", "family" : "Langer", "given" : "Robert S.", "non-dropping-particle" : "", "parse-names" : false, "suffix" : "" }, { "dropping-particle" : "", "family" : "Ghosh", "given" : "Fredrik K.", "non-dropping-particle" : "", "parse-names" : false, "suffix" : "" } ], "container-title" : "Biomaterials", "id" : "ITEM-1", "issue" : "31", "issued" : { "date-parts" : [ [ "2010" ] ] }, "page" : "7978-7984", "publisher" : "Elsevier Ltd", "title" : "Retinal transplantation using surface modified poly(glycerol-co-sebacic acid) membranes", "type" : "article-journal", "volume" : "31" }, "uris" : [ "http://www.mendeley.com/documents/?uuid=17709cc1-0ef0-483f-be23-b0638847face" ] } ], "mendeley" : { "formattedCitation" : "&lt;sup&gt;134&lt;/sup&gt;", "plainTextFormattedCitation" : "134", "previouslyFormattedCitation" : "&lt;sup&gt;133&lt;/sup&gt;" }, "properties" : { "noteIndex" : 0 }, "schema" : "https://github.com/citation-style-language/schema/raw/master/csl-citation.json" }</w:instrText>
      </w:r>
      <w:r w:rsidRPr="00610A40">
        <w:rPr>
          <w:sz w:val="24"/>
          <w:szCs w:val="24"/>
        </w:rPr>
        <w:fldChar w:fldCharType="separate"/>
      </w:r>
      <w:r w:rsidR="00565E2A" w:rsidRPr="00610A40">
        <w:rPr>
          <w:b w:val="0"/>
          <w:noProof/>
          <w:sz w:val="24"/>
          <w:szCs w:val="24"/>
          <w:vertAlign w:val="superscript"/>
        </w:rPr>
        <w:t>134</w:t>
      </w:r>
      <w:r w:rsidRPr="00610A40">
        <w:rPr>
          <w:sz w:val="24"/>
          <w:szCs w:val="24"/>
        </w:rPr>
        <w:fldChar w:fldCharType="end"/>
      </w:r>
      <w:r w:rsidRPr="00610A40">
        <w:rPr>
          <w:sz w:val="24"/>
          <w:szCs w:val="24"/>
        </w:rPr>
        <w:t xml:space="preserve">. Top: The choroid supplies the photoreceptors in the </w:t>
      </w:r>
      <w:r w:rsidRPr="00610A40">
        <w:rPr>
          <w:rFonts w:eastAsia="Arial"/>
          <w:sz w:val="24"/>
          <w:szCs w:val="24"/>
        </w:rPr>
        <w:t xml:space="preserve">outer nuclear layer (ONL) while the retinal vessels supply the inner retinal cells in the inner nuclear and ganglion cell layer (INL and GCL). Middle: </w:t>
      </w:r>
      <w:r w:rsidR="00DD7974" w:rsidRPr="00610A40">
        <w:rPr>
          <w:rFonts w:eastAsia="Arial"/>
          <w:sz w:val="24"/>
          <w:szCs w:val="24"/>
        </w:rPr>
        <w:t>The c</w:t>
      </w:r>
      <w:r w:rsidRPr="00610A40">
        <w:rPr>
          <w:rFonts w:eastAsia="Arial"/>
          <w:sz w:val="24"/>
          <w:szCs w:val="24"/>
        </w:rPr>
        <w:t>omposite graft</w:t>
      </w:r>
      <w:r w:rsidR="00DD7974" w:rsidRPr="00610A40">
        <w:rPr>
          <w:rFonts w:eastAsia="Arial"/>
          <w:sz w:val="24"/>
          <w:szCs w:val="24"/>
        </w:rPr>
        <w:t xml:space="preserve"> consists</w:t>
      </w:r>
      <w:r w:rsidRPr="00610A40">
        <w:rPr>
          <w:rFonts w:eastAsia="Arial"/>
          <w:sz w:val="24"/>
          <w:szCs w:val="24"/>
        </w:rPr>
        <w:t xml:space="preserve"> of photoreceptors in a transplant outer nuclear layer (</w:t>
      </w:r>
      <w:proofErr w:type="spellStart"/>
      <w:r w:rsidR="00DD7974" w:rsidRPr="00610A40">
        <w:rPr>
          <w:rFonts w:eastAsia="Arial"/>
          <w:sz w:val="24"/>
          <w:szCs w:val="24"/>
        </w:rPr>
        <w:t>tONL</w:t>
      </w:r>
      <w:proofErr w:type="spellEnd"/>
      <w:r w:rsidR="00DD7974" w:rsidRPr="00610A40">
        <w:rPr>
          <w:rFonts w:eastAsia="Arial"/>
          <w:sz w:val="24"/>
          <w:szCs w:val="24"/>
        </w:rPr>
        <w:t>) fused with a PGS membrane. This graft</w:t>
      </w:r>
      <w:r w:rsidRPr="00610A40">
        <w:rPr>
          <w:rFonts w:eastAsia="Arial"/>
          <w:sz w:val="24"/>
          <w:szCs w:val="24"/>
        </w:rPr>
        <w:t xml:space="preserve"> is</w:t>
      </w:r>
      <w:r w:rsidR="00DD7974" w:rsidRPr="00610A40">
        <w:rPr>
          <w:rFonts w:eastAsia="Arial"/>
          <w:sz w:val="24"/>
          <w:szCs w:val="24"/>
        </w:rPr>
        <w:t xml:space="preserve"> placed in the </w:t>
      </w:r>
      <w:proofErr w:type="spellStart"/>
      <w:r w:rsidR="00DD7974" w:rsidRPr="00610A40">
        <w:rPr>
          <w:rFonts w:eastAsia="Arial"/>
          <w:sz w:val="24"/>
          <w:szCs w:val="24"/>
        </w:rPr>
        <w:t>subretinal</w:t>
      </w:r>
      <w:proofErr w:type="spellEnd"/>
      <w:r w:rsidR="00DD7974" w:rsidRPr="00610A40">
        <w:rPr>
          <w:rFonts w:eastAsia="Arial"/>
          <w:sz w:val="24"/>
          <w:szCs w:val="24"/>
        </w:rPr>
        <w:t xml:space="preserve"> space, causing the blockage of</w:t>
      </w:r>
      <w:r w:rsidRPr="00610A40">
        <w:rPr>
          <w:rFonts w:eastAsia="Arial"/>
          <w:sz w:val="24"/>
          <w:szCs w:val="24"/>
        </w:rPr>
        <w:t xml:space="preserve"> nutritive support to the host ONL</w:t>
      </w:r>
      <w:r w:rsidR="00DD7974" w:rsidRPr="00610A40">
        <w:rPr>
          <w:rFonts w:eastAsia="Arial"/>
          <w:sz w:val="24"/>
          <w:szCs w:val="24"/>
        </w:rPr>
        <w:t xml:space="preserve">. This leads to </w:t>
      </w:r>
      <w:r w:rsidRPr="00610A40">
        <w:rPr>
          <w:rFonts w:eastAsia="Arial"/>
          <w:sz w:val="24"/>
          <w:szCs w:val="24"/>
        </w:rPr>
        <w:t xml:space="preserve">ischemia and </w:t>
      </w:r>
      <w:r w:rsidR="00DD7974" w:rsidRPr="00610A40">
        <w:rPr>
          <w:rFonts w:eastAsia="Arial"/>
          <w:sz w:val="24"/>
          <w:szCs w:val="24"/>
        </w:rPr>
        <w:t>the removal of</w:t>
      </w:r>
      <w:r w:rsidRPr="00610A40">
        <w:rPr>
          <w:rFonts w:eastAsia="Arial"/>
          <w:sz w:val="24"/>
          <w:szCs w:val="24"/>
        </w:rPr>
        <w:t xml:space="preserve"> host photoreceptors. Bottom: Following PGS membrane degradation, the remaining inner retina of the host integrates with the transplanted photoreceptors (</w:t>
      </w:r>
      <w:proofErr w:type="spellStart"/>
      <w:r w:rsidRPr="00610A40">
        <w:rPr>
          <w:rFonts w:eastAsia="Arial"/>
          <w:sz w:val="24"/>
          <w:szCs w:val="24"/>
        </w:rPr>
        <w:t>tONL</w:t>
      </w:r>
      <w:proofErr w:type="spellEnd"/>
      <w:r w:rsidRPr="00610A40">
        <w:rPr>
          <w:rFonts w:eastAsia="Arial"/>
          <w:sz w:val="24"/>
          <w:szCs w:val="24"/>
        </w:rPr>
        <w:t>)</w:t>
      </w:r>
      <w:r w:rsidR="00DD7974" w:rsidRPr="00610A40">
        <w:rPr>
          <w:rFonts w:eastAsia="Arial"/>
          <w:sz w:val="24"/>
          <w:szCs w:val="24"/>
        </w:rPr>
        <w:t>,</w:t>
      </w:r>
      <w:r w:rsidRPr="00610A40">
        <w:rPr>
          <w:rFonts w:eastAsia="Arial"/>
          <w:sz w:val="24"/>
          <w:szCs w:val="24"/>
        </w:rPr>
        <w:t xml:space="preserve"> creating a new retina with all normal layers.</w:t>
      </w:r>
      <w:r w:rsidR="00610A40">
        <w:rPr>
          <w:rFonts w:eastAsia="Arial"/>
          <w:sz w:val="24"/>
          <w:szCs w:val="24"/>
        </w:rPr>
        <w:t xml:space="preserve"> </w:t>
      </w:r>
      <w:r w:rsidR="00610A40" w:rsidRPr="00610A40">
        <w:rPr>
          <w:rFonts w:eastAsia="Arial"/>
          <w:sz w:val="24"/>
          <w:szCs w:val="24"/>
        </w:rPr>
        <w:t xml:space="preserve">Reproduced from ref. </w:t>
      </w:r>
      <w:r w:rsidR="00610A40">
        <w:rPr>
          <w:rFonts w:eastAsia="Arial"/>
          <w:sz w:val="24"/>
          <w:szCs w:val="24"/>
        </w:rPr>
        <w:t>134</w:t>
      </w:r>
      <w:r w:rsidR="00610A40" w:rsidRPr="00610A40">
        <w:rPr>
          <w:rFonts w:eastAsia="Arial"/>
          <w:sz w:val="24"/>
          <w:szCs w:val="24"/>
        </w:rPr>
        <w:t xml:space="preserve"> with permission from the </w:t>
      </w:r>
      <w:r w:rsidR="00610A40">
        <w:rPr>
          <w:rFonts w:eastAsia="Arial"/>
          <w:sz w:val="24"/>
          <w:szCs w:val="24"/>
        </w:rPr>
        <w:t>Elsevier</w:t>
      </w:r>
      <w:r w:rsidR="00610A40" w:rsidRPr="00610A40">
        <w:rPr>
          <w:rFonts w:eastAsia="Arial"/>
          <w:sz w:val="24"/>
          <w:szCs w:val="24"/>
        </w:rPr>
        <w:t xml:space="preserve">, copyright </w:t>
      </w:r>
      <w:r w:rsidR="00610A40">
        <w:rPr>
          <w:rFonts w:eastAsia="Arial"/>
          <w:sz w:val="24"/>
          <w:szCs w:val="24"/>
        </w:rPr>
        <w:t>2010</w:t>
      </w:r>
    </w:p>
    <w:p w14:paraId="07344182" w14:textId="77777777" w:rsidR="00C41E54" w:rsidRPr="00610A40" w:rsidRDefault="00C41E54" w:rsidP="00EB7D51">
      <w:pPr>
        <w:rPr>
          <w:rFonts w:eastAsia="Arial"/>
          <w:color w:val="auto"/>
          <w:szCs w:val="24"/>
        </w:rPr>
      </w:pPr>
    </w:p>
    <w:p w14:paraId="2B4B0F91" w14:textId="40442E0F" w:rsidR="001D2870" w:rsidRPr="00610A40" w:rsidRDefault="001D2870" w:rsidP="000D73F6">
      <w:pPr>
        <w:pStyle w:val="Heading2"/>
        <w:rPr>
          <w:sz w:val="24"/>
          <w:szCs w:val="24"/>
        </w:rPr>
      </w:pPr>
      <w:r w:rsidRPr="00610A40">
        <w:rPr>
          <w:sz w:val="24"/>
          <w:szCs w:val="24"/>
        </w:rPr>
        <w:lastRenderedPageBreak/>
        <w:t>4.</w:t>
      </w:r>
      <w:r w:rsidR="00384D27" w:rsidRPr="00610A40">
        <w:rPr>
          <w:sz w:val="24"/>
          <w:szCs w:val="24"/>
        </w:rPr>
        <w:t>2</w:t>
      </w:r>
      <w:r w:rsidRPr="00610A40">
        <w:rPr>
          <w:sz w:val="24"/>
          <w:szCs w:val="24"/>
        </w:rPr>
        <w:t xml:space="preserve"> </w:t>
      </w:r>
      <w:r w:rsidR="00D5605F" w:rsidRPr="00610A40">
        <w:rPr>
          <w:sz w:val="24"/>
          <w:szCs w:val="24"/>
        </w:rPr>
        <w:t>Poly (</w:t>
      </w:r>
      <w:r w:rsidRPr="00610A40">
        <w:rPr>
          <w:sz w:val="24"/>
          <w:szCs w:val="24"/>
        </w:rPr>
        <w:t xml:space="preserve">propylene </w:t>
      </w:r>
      <w:proofErr w:type="spellStart"/>
      <w:r w:rsidRPr="00610A40">
        <w:rPr>
          <w:sz w:val="24"/>
          <w:szCs w:val="24"/>
        </w:rPr>
        <w:t>fumarate</w:t>
      </w:r>
      <w:proofErr w:type="spellEnd"/>
      <w:r w:rsidRPr="00610A40">
        <w:rPr>
          <w:sz w:val="24"/>
          <w:szCs w:val="24"/>
        </w:rPr>
        <w:t>) Drug Delivery Systems and Eyelid Reconstruction</w:t>
      </w:r>
    </w:p>
    <w:p w14:paraId="0F09504B" w14:textId="38758C28" w:rsidR="001D2870" w:rsidRPr="00610A40" w:rsidRDefault="001D2870" w:rsidP="00EB7D51">
      <w:pPr>
        <w:rPr>
          <w:rFonts w:eastAsia="Arial"/>
          <w:color w:val="auto"/>
          <w:szCs w:val="24"/>
        </w:rPr>
      </w:pPr>
      <w:r w:rsidRPr="00610A40">
        <w:rPr>
          <w:rFonts w:eastAsia="Arial"/>
          <w:color w:val="auto"/>
          <w:szCs w:val="24"/>
        </w:rPr>
        <w:t>Repeated intraocular injections can cause major complications such as cataract and retinal detachment. A sustained drug delivery system which avoids traumatic invasive administration and removal of device is necessary. The practical approach to inserting such device would be an injectable formulation. In addition, the drug release profile must enable therapeutic levels in the vitreous cavity over long periods</w:t>
      </w:r>
      <w:r w:rsidR="00C46FC4" w:rsidRPr="00610A40">
        <w:rPr>
          <w:rFonts w:eastAsia="Arial"/>
          <w:color w:val="auto"/>
          <w:szCs w:val="24"/>
        </w:rPr>
        <w:t xml:space="preserve"> of time</w:t>
      </w:r>
      <w:r w:rsidRPr="00610A40">
        <w:rPr>
          <w:rFonts w:eastAsia="Arial"/>
          <w:color w:val="auto"/>
          <w:szCs w:val="24"/>
        </w:rPr>
        <w:t>.</w:t>
      </w:r>
      <w:r w:rsidR="00447D11" w:rsidRPr="00610A40">
        <w:rPr>
          <w:rFonts w:eastAsia="Arial"/>
          <w:color w:val="auto"/>
          <w:szCs w:val="24"/>
        </w:rPr>
        <w:t xml:space="preserve"> </w:t>
      </w:r>
      <w:r w:rsidRPr="00610A40">
        <w:rPr>
          <w:rFonts w:eastAsia="Arial"/>
          <w:color w:val="auto"/>
          <w:szCs w:val="24"/>
        </w:rPr>
        <w:t xml:space="preserve">Injectable, in situ formed poly(propylene </w:t>
      </w:r>
      <w:proofErr w:type="spellStart"/>
      <w:r w:rsidRPr="00610A40">
        <w:rPr>
          <w:rFonts w:eastAsia="Arial"/>
          <w:color w:val="auto"/>
          <w:szCs w:val="24"/>
        </w:rPr>
        <w:t>fumarate</w:t>
      </w:r>
      <w:proofErr w:type="spellEnd"/>
      <w:r w:rsidRPr="00610A40">
        <w:rPr>
          <w:rFonts w:eastAsia="Arial"/>
          <w:color w:val="auto"/>
          <w:szCs w:val="24"/>
        </w:rPr>
        <w:t xml:space="preserve">) (PPF) can be used as a biodegradable matrix for the long term ocular delivery of an anti-inflammatory drug, </w:t>
      </w:r>
      <w:proofErr w:type="spellStart"/>
      <w:r w:rsidRPr="00610A40">
        <w:rPr>
          <w:rFonts w:eastAsia="Arial"/>
          <w:color w:val="auto"/>
          <w:szCs w:val="24"/>
        </w:rPr>
        <w:t>fluocinolone</w:t>
      </w:r>
      <w:proofErr w:type="spellEnd"/>
      <w:r w:rsidRPr="00610A40">
        <w:rPr>
          <w:rFonts w:eastAsia="Arial"/>
          <w:color w:val="auto"/>
          <w:szCs w:val="24"/>
        </w:rPr>
        <w:t xml:space="preserve"> </w:t>
      </w:r>
      <w:proofErr w:type="spellStart"/>
      <w:r w:rsidRPr="00610A40">
        <w:rPr>
          <w:rFonts w:eastAsia="Arial"/>
          <w:color w:val="auto"/>
          <w:szCs w:val="24"/>
        </w:rPr>
        <w:t>acetonide</w:t>
      </w:r>
      <w:proofErr w:type="spellEnd"/>
      <w:r w:rsidRPr="00610A40">
        <w:rPr>
          <w:rFonts w:eastAsia="Arial"/>
          <w:color w:val="auto"/>
          <w:szCs w:val="24"/>
        </w:rPr>
        <w:t xml:space="preserve"> (FA)</w:t>
      </w:r>
      <w:r w:rsidR="00C41E54"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"10.1002/jbm.a.31226", "ISSN" : "1552-4965", "author" : [ { "dropping-particle" : "", "family" : "Ueda", "given" : "H", "non-dropping-particle" : "", "parse-names" : false, "suffix" : "" }, { "dropping-particle" : "", "family" : "Hacker", "given" : "M C", "non-dropping-particle" : "", "parse-names" : false, "suffix" : "" }, { "dropping-particle" : "", "family" : "Haesslein", "given" : "A", "non-dropping-particle" : "", "parse-names" : false, "suffix" : "" }, { "dropping-particle" : "", "family" : "Jo", "given" : "S", "non-dropping-particle" : "", "parse-names" : false, "suffix" : "" }, { "dropping-particle" : "", "family" : "Ammon", "given" : "D M", "non-dropping-particle" : "", "parse-names" : false, "suffix" : "" }, { "dropping-particle" : "", "family" : "Borazjani", "given" : "R N", "non-dropping-particle" : "", "parse-names" : false, "suffix" : "" }, { "dropping-particle" : "", "family" : "Kunzler", "given" : "J F", "non-dropping-particle" : "", "parse-names" : false, "suffix" : "" }, { "dropping-particle" : "", "family" : "Salamone", "given" : "J C", "non-dropping-particle" : "", "parse-names" : false, "suffix" : "" }, { "dropping-particle" : "", "family" : "Mikos", "given" : "A G", "non-dropping-particle" : "", "parse-names" : false, "suffix" : "" } ], "container-title" : "Journal of Biomedical Materials Research Part A", "id" : "ITEM-1", "issue" : "3", "issued" : { "date-parts" : [ [ "2007", "12", "1" ] ] }, "page" : "656-666", "publisher" : "Wiley Subscription Services, Inc., A Wiley Company", "title" : "Injectable, in situ forming poly(propylene fumarate)-based ocular drug delivery systems", "type" : "article-journal", "volume" : "83A" }, "uris" : [ "http://www.mendeley.com/documents/?uuid=feb45b98-5bd3-4995-b73e-c34e9a31341d", "http://www.mendeley.com/documents/?uuid=2c2bad53-8bba-4061-a070-f9eb50c306ac" ] } ], "mendeley" : { "formattedCitation" : "&lt;sup&gt;136&lt;/sup&gt;", "plainTextFormattedCitation" : "136", "previouslyFormattedCitation" : "&lt;sup&gt;135&lt;/sup&gt;" }, "properties" : { "noteIndex" : 0 }, "schema" : "https://github.com/citation-style-language/schema/raw/master/csl-citation.json" }</w:instrText>
      </w:r>
      <w:r w:rsidR="00C41E54" w:rsidRPr="00610A40">
        <w:rPr>
          <w:rFonts w:eastAsia="Arial"/>
          <w:color w:val="auto"/>
          <w:szCs w:val="24"/>
        </w:rPr>
        <w:fldChar w:fldCharType="separate"/>
      </w:r>
      <w:r w:rsidR="00565E2A" w:rsidRPr="00610A40">
        <w:rPr>
          <w:rFonts w:eastAsia="Arial"/>
          <w:noProof/>
          <w:color w:val="auto"/>
          <w:szCs w:val="24"/>
          <w:vertAlign w:val="superscript"/>
        </w:rPr>
        <w:t>136</w:t>
      </w:r>
      <w:r w:rsidR="00C41E54" w:rsidRPr="00610A40">
        <w:rPr>
          <w:rFonts w:eastAsia="Arial"/>
          <w:color w:val="auto"/>
          <w:szCs w:val="24"/>
        </w:rPr>
        <w:fldChar w:fldCharType="end"/>
      </w:r>
      <w:r w:rsidRPr="00610A40">
        <w:rPr>
          <w:rFonts w:eastAsia="Arial"/>
          <w:color w:val="auto"/>
          <w:szCs w:val="24"/>
        </w:rPr>
        <w:t>.</w:t>
      </w:r>
      <w:r w:rsidRPr="00610A40">
        <w:rPr>
          <w:rFonts w:eastAsia="Arial"/>
          <w:b/>
          <w:color w:val="auto"/>
          <w:szCs w:val="24"/>
        </w:rPr>
        <w:t xml:space="preserve"> </w:t>
      </w:r>
      <w:r w:rsidRPr="00610A40">
        <w:rPr>
          <w:rFonts w:eastAsia="Arial"/>
          <w:color w:val="auto"/>
          <w:szCs w:val="24"/>
        </w:rPr>
        <w:t xml:space="preserve">PPF in biocompatible N-methyl-2-pyrrolidone (NMP) precipitates upon introduction to an aqueous environment, forming the matrix. In another approach, a photo-initiator was added and the injected matrix was subjected to dental blue light to trigger photo-crosslinking. Drug release kinetics can be varied by changing the drug loading, PPF content and degree of crosslinking. Initial burst release was followed by release based on diffusion and bulk erosion. </w:t>
      </w:r>
      <w:r w:rsidR="00C46FC4" w:rsidRPr="00610A40">
        <w:rPr>
          <w:rFonts w:eastAsia="Arial"/>
          <w:color w:val="auto"/>
          <w:szCs w:val="24"/>
        </w:rPr>
        <w:t>Notably</w:t>
      </w:r>
      <w:r w:rsidRPr="00610A40">
        <w:rPr>
          <w:rFonts w:eastAsia="Arial"/>
          <w:color w:val="auto"/>
          <w:szCs w:val="24"/>
        </w:rPr>
        <w:t xml:space="preserve">, FA release could be sustained for more than 400 days in vitro. </w:t>
      </w:r>
    </w:p>
    <w:p w14:paraId="7359FAA6" w14:textId="77777777" w:rsidR="001D2870" w:rsidRPr="00610A40" w:rsidRDefault="001D2870" w:rsidP="00EB7D51">
      <w:pPr>
        <w:rPr>
          <w:rFonts w:eastAsia="Arial"/>
          <w:color w:val="auto"/>
          <w:szCs w:val="24"/>
        </w:rPr>
      </w:pPr>
    </w:p>
    <w:p w14:paraId="5DF1B55A" w14:textId="4973F651" w:rsidR="001D2870" w:rsidRPr="00610A40" w:rsidRDefault="001D2870" w:rsidP="00EB7D51">
      <w:pPr>
        <w:rPr>
          <w:rFonts w:eastAsia="Arial"/>
          <w:b/>
          <w:color w:val="auto"/>
          <w:szCs w:val="24"/>
        </w:rPr>
      </w:pPr>
      <w:r w:rsidRPr="00610A40">
        <w:rPr>
          <w:rFonts w:eastAsia="Arial"/>
          <w:color w:val="auto"/>
          <w:szCs w:val="24"/>
        </w:rPr>
        <w:t xml:space="preserve">A later study by the same group examined three ophthalmic drugs of different molecular weights and water solubility - acetazolamide, </w:t>
      </w:r>
      <w:proofErr w:type="spellStart"/>
      <w:r w:rsidRPr="00610A40">
        <w:rPr>
          <w:rFonts w:eastAsia="Arial"/>
          <w:color w:val="auto"/>
          <w:szCs w:val="24"/>
        </w:rPr>
        <w:t>dichlorphenamide</w:t>
      </w:r>
      <w:proofErr w:type="spellEnd"/>
      <w:r w:rsidRPr="00610A40">
        <w:rPr>
          <w:rFonts w:eastAsia="Arial"/>
          <w:color w:val="auto"/>
          <w:szCs w:val="24"/>
        </w:rPr>
        <w:t xml:space="preserve"> and </w:t>
      </w:r>
      <w:proofErr w:type="spellStart"/>
      <w:r w:rsidRPr="00610A40">
        <w:rPr>
          <w:rFonts w:eastAsia="Arial"/>
          <w:color w:val="auto"/>
          <w:szCs w:val="24"/>
        </w:rPr>
        <w:t>timolol</w:t>
      </w:r>
      <w:proofErr w:type="spellEnd"/>
      <w:r w:rsidRPr="00610A40">
        <w:rPr>
          <w:rFonts w:eastAsia="Arial"/>
          <w:color w:val="auto"/>
          <w:szCs w:val="24"/>
        </w:rPr>
        <w:t xml:space="preserve"> maleate. The delivery device was a cylindrical rod fabricated via photo-polymerization of PPF and N-vinyl </w:t>
      </w:r>
      <w:proofErr w:type="spellStart"/>
      <w:r w:rsidRPr="00610A40">
        <w:rPr>
          <w:rFonts w:eastAsia="Arial"/>
          <w:color w:val="auto"/>
          <w:szCs w:val="24"/>
        </w:rPr>
        <w:t>pyrrolidone</w:t>
      </w:r>
      <w:proofErr w:type="spellEnd"/>
      <w:r w:rsidRPr="00610A40">
        <w:rPr>
          <w:rFonts w:eastAsia="Arial"/>
          <w:color w:val="auto"/>
          <w:szCs w:val="24"/>
        </w:rPr>
        <w:t xml:space="preserve"> (NVP). Sustained drug release of more than 210 days was achieved for all three drugs with a small initial burst release of less than 10%</w:t>
      </w:r>
      <w:r w:rsidR="00C41E54"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"10.1002/jbm.a.31942", "ISSN" : "1552-4965", "abstract" : "The function of a photocrosslinked poly(propylene fumarate) (PPF)/poly(N-vinyl pyrrolidone) (PVP) matrix for the sustained release of three ophthalmic model drugs, acetazolamide (AZ), dichlorphenamide (DP), and timolol maleate (TM), was investigated. The drugs differ in molecular weight and degree of dissociation in aqueous environments; both are parameters that significantly influence drug diffusivity. AZ, DP, and TM-loaded cylindrical rods (10 mm length, 0.6 mm diameter) were fabricated by photoinduced cross-copolymerization of PPF and N-vinyl pyrrolidone (NVP) in molds. The released amounts of AZ, DP, TM, and NVP were determined by high-performance liquid chromatography (HPLC). The effects of drug properties and loading on the release kinetics were investigated. The in vitro release of AZ, DP, and TM was well sustained from the polymer matrices over a period of \u223c210, 270, and 250 days, respectively. The release kinetics correlated with the HPLC retention profiles of the different drugs. Following a small initial burst release (&lt;10%), a dual modality release controlled by diffusion and bulk erosion was found for all drugs. Drug release rates of up to 4 \u03bcg/day were reached. Matrix drug loading generally affected the extent of the burst release, release kinetics, as well as the matrix water content and matrix degradation that were determined gravimetrically. Microcomputed tomography was used to image structural and dimensional changes of the devices. A preliminary rabbit implantation study revealed promising ocular biocompatibility of drug-free PPF/PVP matrices. All results indicate the potential of photocrosslinked PPF-based matrices as polymeric carriers for long-term ophthalmic drug delivery. \u00a9 2008 Wiley Periodicals, Inc. J Biomed Mater Res, 2009", "author" : [ { "dropping-particle" : "", "family" : "Hacker", "given" : "M C", "non-dropping-particle" : "", "parse-names" : false, "suffix" : "" }, { "dropping-particle" : "", "family" : "Haesslein", "given" : "A", "non-dropping-particle" : "", "parse-names" : false, "suffix" : "" }, { "dropping-particle" : "", "family" : "Ueda", "given" : "H", "non-dropping-particle" : "", "parse-names" : false, "suffix" : "" }, { "dropping-particle" : "", "family" : "Foster", "given" : "W J", "non-dropping-particle" : "", "parse-names" : false, "suffix" : "" }, { "dropping-particle" : "", "family" : "Garcia", "given" : "C A", "non-dropping-particle" : "", "parse-names" : false, "suffix" : "" }, { "dropping-particle" : "", "family" : "Ammon", "given" : "D M", "non-dropping-particle" : "", "parse-names" : false, "suffix" : "" }, { "dropping-particle" : "", "family" : "Borazjani", "given" : "R N", "non-dropping-particle" : "", "parse-names" : false, "suffix" : "" }, { "dropping-particle" : "", "family" : "Kunzler", "given" : "J F", "non-dropping-particle" : "", "parse-names" : false, "suffix" : "" }, { "dropping-particle" : "", "family" : "Salamone", "given" : "J C", "non-dropping-particle" : "", "parse-names" : false, "suffix" : "" }, { "dropping-particle" : "", "family" : "Mikos", "given" : "A G", "non-dropping-particle" : "", "parse-names" : false, "suffix" : "" } ], "container-title" : "Journal of Biomedical Materials Research Part A", "id" : "ITEM-1", "issue" : "4", "issued" : { "date-parts" : [ [ "2009", "3", "15" ] ] }, "page" : "976-989", "publisher" : "Wiley Subscription Services, Inc., A Wiley Company", "title" : "Biodegradable fumarate-based drug-delivery systems for ophthalmic applications", "type" : "article-journal", "volume" : "88A" }, "uris" : [ "http://www.mendeley.com/documents/?uuid=1f189787-d786-45ce-b8bf-8a18f716ff04", "http://www.mendeley.com/documents/?uuid=33cc1918-344e-42e9-aa73-a68d076e281e" ] } ], "mendeley" : { "formattedCitation" : "&lt;sup&gt;137&lt;/sup&gt;", "plainTextFormattedCitation" : "137", "previouslyFormattedCitation" : "&lt;sup&gt;136&lt;/sup&gt;" }, "properties" : { "noteIndex" : 0 }, "schema" : "https://github.com/citation-style-language/schema/raw/master/csl-citation.json" }</w:instrText>
      </w:r>
      <w:r w:rsidR="00C41E54" w:rsidRPr="00610A40">
        <w:rPr>
          <w:rFonts w:eastAsia="Arial"/>
          <w:color w:val="auto"/>
          <w:szCs w:val="24"/>
        </w:rPr>
        <w:fldChar w:fldCharType="separate"/>
      </w:r>
      <w:r w:rsidR="00565E2A" w:rsidRPr="00610A40">
        <w:rPr>
          <w:rFonts w:eastAsia="Arial"/>
          <w:noProof/>
          <w:color w:val="auto"/>
          <w:szCs w:val="24"/>
          <w:vertAlign w:val="superscript"/>
        </w:rPr>
        <w:t>137</w:t>
      </w:r>
      <w:r w:rsidR="00C41E54" w:rsidRPr="00610A40">
        <w:rPr>
          <w:rFonts w:eastAsia="Arial"/>
          <w:color w:val="auto"/>
          <w:szCs w:val="24"/>
        </w:rPr>
        <w:fldChar w:fldCharType="end"/>
      </w:r>
      <w:r w:rsidRPr="00610A40">
        <w:rPr>
          <w:rFonts w:eastAsia="Arial"/>
          <w:color w:val="auto"/>
          <w:szCs w:val="24"/>
        </w:rPr>
        <w:t>.</w:t>
      </w:r>
      <w:r w:rsidRPr="00610A40">
        <w:rPr>
          <w:rFonts w:eastAsia="Arial"/>
          <w:b/>
          <w:color w:val="auto"/>
          <w:szCs w:val="24"/>
        </w:rPr>
        <w:t xml:space="preserve"> </w:t>
      </w:r>
      <w:r w:rsidRPr="00610A40">
        <w:rPr>
          <w:rFonts w:eastAsia="Arial"/>
          <w:color w:val="auto"/>
          <w:szCs w:val="24"/>
        </w:rPr>
        <w:t>In a later study, hydrophilic matrix modifications were performed to modulate drug release kinetics. By introducing only 1% of PEG to</w:t>
      </w:r>
      <w:r w:rsidR="00BD66ED" w:rsidRPr="00610A40">
        <w:rPr>
          <w:rFonts w:eastAsia="Arial"/>
          <w:color w:val="auto"/>
          <w:szCs w:val="24"/>
        </w:rPr>
        <w:t xml:space="preserve"> the</w:t>
      </w:r>
      <w:r w:rsidRPr="00610A40">
        <w:rPr>
          <w:rFonts w:eastAsia="Arial"/>
          <w:color w:val="auto"/>
          <w:szCs w:val="24"/>
        </w:rPr>
        <w:t xml:space="preserve"> </w:t>
      </w:r>
      <w:proofErr w:type="spellStart"/>
      <w:r w:rsidRPr="00610A40">
        <w:rPr>
          <w:rFonts w:eastAsia="Arial"/>
          <w:color w:val="auto"/>
          <w:szCs w:val="24"/>
        </w:rPr>
        <w:t>timolol</w:t>
      </w:r>
      <w:proofErr w:type="spellEnd"/>
      <w:r w:rsidRPr="00610A40">
        <w:rPr>
          <w:rFonts w:eastAsia="Arial"/>
          <w:color w:val="auto"/>
          <w:szCs w:val="24"/>
        </w:rPr>
        <w:t xml:space="preserve">-loaded matrix, drug release duration was decreased by one-third. Acceleration of drug release was also achieved by increasing NVP content of the PPF-NVP mixture. The fine-tuning </w:t>
      </w:r>
      <w:r w:rsidRPr="00610A40">
        <w:rPr>
          <w:rFonts w:eastAsia="Arial"/>
          <w:color w:val="auto"/>
          <w:szCs w:val="24"/>
        </w:rPr>
        <w:lastRenderedPageBreak/>
        <w:t>of release profiles will be paramount to address different patient needs and treatment outcomes</w:t>
      </w:r>
      <w:r w:rsidR="00C41E54"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"10.1163/156856208X393491", "ISSN" : "0920-5063", "abstract" : "In this work, different modifications of photo-cross-linked poly(propylene fumarate)/poly(N-vinyl pyrrolidone) (PPF/PNVP) matrices were studied for their effect on the release kinetics of two ophthalmic drugs. The hydrophilicity of solid PPF/PNVP matrices loaded with acetazolamide (AZ) or timolol maleate (TM) was increased by adding various amounts of poly(ethylene glycol) (PEG) or by increasing the amount of N-vinyl pyrrolidone (NVP) in the polymer mixture prior to cross-linking. The in vitro release studies that utilized high-performance liquid chromatography for quantification revealed highly accelerated drug release from the matrices with increasing contents of the hydrophilic modifier. AZ was released from matrices containing 5% PEG in 56 days, which equals approximately 25% of the release period found for the unmodified matrices. A comparable acceleration in drug release was found for TM-loaded samples modified with 5% PEG. These studies further revealed that 1% PEG is sufficient to shorten the TM release duration by one-third. A significant acceleration in drug release was also found for the samples that were fabricated from a PPF?NVP mixture with increased NVP content. Matrix water content and erosion were assessed gravimetrically. Micro-computed tomography was used to image structural changes of the release systems and shed light on the drug-release mechanism. This study showed that hydrophilic matrix modifications of PPF/PNVP matrices accelerate the drug release of two ophthalmic drugs and represent a suitable tool to adjust drug-release rates from PPF-based matrices for different therapeutic needs.", "author" : [ { "dropping-particle" : "", "family" : "Haesslein", "given" : "A", "non-dropping-particle" : "", "parse-names" : false, "suffix" : "" }, { "dropping-particle" : "", "family" : "Hacker", "given" : "M C", "non-dropping-particle" : "", "parse-names" : false, "suffix" : "" }, { "dropping-particle" : "", "family" : "Ueda", "given" : "H", "non-dropping-particle" : "", "parse-names" : false, "suffix" : "" }, { "dropping-particle" : "", "family" : "Ammon", "given" : "D M", "non-dropping-particle" : "", "parse-names" : false, "suffix" : "" }, { "dropping-particle" : "", "family" : "Borazjani", "given" : "R N", "non-dropping-particle" : "", "parse-names" : false, "suffix" : "" }, { "dropping-particle" : "", "family" : "Kunzler", "given" : "J F", "non-dropping-particle" : "", "parse-names" : false, "suffix" : "" }, { "dropping-particle" : "", "family" : "Salamone", "given" : "J C", "non-dropping-particle" : "", "parse-names" : false, "suffix" : "" }, { "dropping-particle" : "", "family" : "Mikos", "given" : "A G", "non-dropping-particle" : "", "parse-names" : false, "suffix" : "" } ], "container-title" : "Journal of Biomaterials Science, Polymer Edition", "id" : "ITEM-1", "issue" : "1", "issued" : { "date-parts" : [ [ "2009", "1", "1" ] ] }, "note" : "doi: 10.1163/156856208X393491", "page" : "49-69", "publisher" : "Taylor &amp; Francis", "title" : "Matrix Modifications Modulate Ophthalmic Drug Delivery From Photo-Cross-Linked Poly(propylene Fumarate)-Based Networks", "type" : "article-journal", "volume" : "20" }, "uris" : [ "http://www.mendeley.com/documents/?uuid=2464a02a-12e5-41fc-88a8-9b7e83be47a8", "http://www.mendeley.com/documents/?uuid=a93a6f0e-2500-44c8-a3e3-a61d1c7c1189" ] } ], "mendeley" : { "formattedCitation" : "&lt;sup&gt;138&lt;/sup&gt;", "plainTextFormattedCitation" : "138", "previouslyFormattedCitation" : "&lt;sup&gt;137&lt;/sup&gt;" }, "properties" : { "noteIndex" : 0 }, "schema" : "https://github.com/citation-style-language/schema/raw/master/csl-citation.json" }</w:instrText>
      </w:r>
      <w:r w:rsidR="00C41E54" w:rsidRPr="00610A40">
        <w:rPr>
          <w:rFonts w:eastAsia="Arial"/>
          <w:color w:val="auto"/>
          <w:szCs w:val="24"/>
        </w:rPr>
        <w:fldChar w:fldCharType="separate"/>
      </w:r>
      <w:r w:rsidR="00565E2A" w:rsidRPr="00610A40">
        <w:rPr>
          <w:rFonts w:eastAsia="Arial"/>
          <w:noProof/>
          <w:color w:val="auto"/>
          <w:szCs w:val="24"/>
          <w:vertAlign w:val="superscript"/>
        </w:rPr>
        <w:t>138</w:t>
      </w:r>
      <w:r w:rsidR="00C41E54" w:rsidRPr="00610A40">
        <w:rPr>
          <w:rFonts w:eastAsia="Arial"/>
          <w:color w:val="auto"/>
          <w:szCs w:val="24"/>
        </w:rPr>
        <w:fldChar w:fldCharType="end"/>
      </w:r>
      <w:r w:rsidR="00C41E54" w:rsidRPr="00610A40">
        <w:rPr>
          <w:rFonts w:eastAsia="Arial"/>
          <w:color w:val="auto"/>
          <w:szCs w:val="24"/>
        </w:rPr>
        <w:t>.</w:t>
      </w:r>
      <w:r w:rsidRPr="00610A40">
        <w:rPr>
          <w:rFonts w:eastAsia="Arial"/>
          <w:color w:val="auto"/>
          <w:szCs w:val="24"/>
        </w:rPr>
        <w:t xml:space="preserve"> </w:t>
      </w:r>
    </w:p>
    <w:p w14:paraId="1CC73210" w14:textId="77777777" w:rsidR="001D2870" w:rsidRPr="00610A40" w:rsidRDefault="001D2870" w:rsidP="00EB7D51">
      <w:pPr>
        <w:rPr>
          <w:rFonts w:eastAsia="Arial"/>
          <w:color w:val="auto"/>
          <w:szCs w:val="24"/>
        </w:rPr>
      </w:pPr>
    </w:p>
    <w:p w14:paraId="20D846AA" w14:textId="580B6D9B" w:rsidR="001D2870" w:rsidRPr="00610A40" w:rsidRDefault="00BD66ED" w:rsidP="00EB7D51">
      <w:pPr>
        <w:rPr>
          <w:rFonts w:eastAsia="Arial"/>
          <w:color w:val="auto"/>
          <w:szCs w:val="24"/>
        </w:rPr>
      </w:pPr>
      <w:r w:rsidRPr="00610A40">
        <w:rPr>
          <w:rFonts w:eastAsia="Arial"/>
          <w:color w:val="auto"/>
          <w:szCs w:val="24"/>
        </w:rPr>
        <w:t>The tarsal plate</w:t>
      </w:r>
      <w:r w:rsidR="001D2870" w:rsidRPr="00610A40">
        <w:rPr>
          <w:rFonts w:eastAsia="Arial"/>
          <w:color w:val="auto"/>
          <w:szCs w:val="24"/>
        </w:rPr>
        <w:t xml:space="preserve"> of the posterior lamella in </w:t>
      </w:r>
      <w:proofErr w:type="gramStart"/>
      <w:r w:rsidR="001D2870" w:rsidRPr="00610A40">
        <w:rPr>
          <w:rFonts w:eastAsia="Arial"/>
          <w:color w:val="auto"/>
          <w:szCs w:val="24"/>
        </w:rPr>
        <w:t>eyelid,</w:t>
      </w:r>
      <w:proofErr w:type="gramEnd"/>
      <w:r w:rsidR="001D2870" w:rsidRPr="00610A40">
        <w:rPr>
          <w:rFonts w:eastAsia="Arial"/>
          <w:color w:val="auto"/>
          <w:szCs w:val="24"/>
        </w:rPr>
        <w:t xml:space="preserve"> provides rigidity and </w:t>
      </w:r>
      <w:proofErr w:type="spellStart"/>
      <w:r w:rsidR="001D2870" w:rsidRPr="00610A40">
        <w:rPr>
          <w:rFonts w:eastAsia="Arial"/>
          <w:color w:val="auto"/>
          <w:szCs w:val="24"/>
        </w:rPr>
        <w:t>fibrocartilaginous</w:t>
      </w:r>
      <w:proofErr w:type="spellEnd"/>
      <w:r w:rsidR="001D2870" w:rsidRPr="00610A40">
        <w:rPr>
          <w:rFonts w:eastAsia="Arial"/>
          <w:color w:val="auto"/>
          <w:szCs w:val="24"/>
        </w:rPr>
        <w:t xml:space="preserve"> support. Many materials have been explored as substitute materials for eyelid reconstruction. Homologous grafts, such as nasal cartilage, and </w:t>
      </w:r>
      <w:proofErr w:type="spellStart"/>
      <w:r w:rsidR="001D2870" w:rsidRPr="00610A40">
        <w:rPr>
          <w:rFonts w:eastAsia="Arial"/>
          <w:color w:val="auto"/>
          <w:szCs w:val="24"/>
        </w:rPr>
        <w:t>xenogenic</w:t>
      </w:r>
      <w:proofErr w:type="spellEnd"/>
      <w:r w:rsidR="001D2870" w:rsidRPr="00610A40">
        <w:rPr>
          <w:rFonts w:eastAsia="Arial"/>
          <w:color w:val="auto"/>
          <w:szCs w:val="24"/>
        </w:rPr>
        <w:t xml:space="preserve"> substitutes </w:t>
      </w:r>
      <w:r w:rsidR="00C46FC4" w:rsidRPr="00610A40">
        <w:rPr>
          <w:rFonts w:eastAsia="Arial"/>
          <w:color w:val="auto"/>
          <w:szCs w:val="24"/>
        </w:rPr>
        <w:t xml:space="preserve">may </w:t>
      </w:r>
      <w:r w:rsidR="001D2870" w:rsidRPr="00610A40">
        <w:rPr>
          <w:rFonts w:eastAsia="Arial"/>
          <w:color w:val="auto"/>
          <w:szCs w:val="24"/>
        </w:rPr>
        <w:t>result in inflammation and undesirable immune rejection. Sourcing of homologous grafts is also very challenging</w:t>
      </w:r>
      <w:r w:rsidR="00773A0E"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"10.1039/C5TB00285K", "ISSN" : "2050-750X", "abstract" : "Eyelid reconstruction includes anterior lamella reconstruction and posterior lamella reconstruction. As an important skeletal component of the posterior lamella, tarsal plates repair is the key issue for eyelid reconstruction. Presently, neither traditional surgery nor autograft/allograft has achieved satisfactory repair effects. Poly(propylene fumarate)-co-2-hydroxyethyl methacrylate (PPF-HEMA) networks with mass ratios of 1 : 0.5, 1 : 1 and 1 : 2 were synthesized and used as the tarsal substitute in this study. Their chemical compositions, swelling ability, and mechanical properties were characterized. Porous scaffolds were fabricated by a gelatin particle leaching method. The in vitro studies of cytotoxicity on human dermal fibroblasts (HDFs) and degradation demonstrated that PPF-HEMA scaffolds did not have noticeable cell cytotoxicity and their degradation rates correlated with the ratio of PPF to HEMA. The PPF-HEMA networks, with mass ratios of 1 : 1 and 1 : 2, and an ADM control were implanted in rabbits with tarsal plate defects for in vivo biocompatibility and degradation behavior evaluation. PPF-HEMA scaffolds provided satisfactory repair results with mild tissue response and biocompatibility to fibroblast growth and fibrous capsulation compared to the ADM control. The tissue compatible and biodegradable PPF-HEMA networks with elastic mechanical properties were proven to be a suitable candidate for tarsal repair.", "author" : [ { "dropping-particle" : "", "family" : "Gao", "given" : "Qi", "non-dropping-particle" : "", "parse-names" : false, "suffix" : "" }, { "dropping-particle" : "", "family" : "Hu", "given" : "Bin", "non-dropping-particle" : "", "parse-names" : false, "suffix" : "" }, { "dropping-particle" : "", "family" : "Ning", "given" : "Qingyao", "non-dropping-particle" : "", "parse-names" : false, "suffix" : "" }, { "dropping-particle" : "", "family" : "Ye", "given" : "Chen", "non-dropping-particle" : "", "parse-names" : false, "suffix" : "" }, { "dropping-particle" : "", "family" : "Xie", "given" : "Jiajun", "non-dropping-particle" : "", "parse-names" : false, "suffix" : "" }, { "dropping-particle" : "", "family" : "Ye", "given" : "Juan", "non-dropping-particle" : "", "parse-names" : false, "suffix" : "" }, { "dropping-particle" : "", "family" : "Gao", "given" : "Changyou", "non-dropping-particle" : "", "parse-names" : false, "suffix" : "" } ], "container-title" : "Journal of Materials Chemistry B", "id" : "ITEM-1", "issue" : "19", "issued" : { "date-parts" : [ [ "2015" ] ] }, "page" : "4052-4062", "publisher" : "Royal Society of Chemistry", "title" : "A primary study of poly(propylene fumarate)-2-hydroxyethyl methacrylate copolymer scaffolds for tarsal plate repair and reconstruction in rabbit eyelids", "type" : "article-journal", "volume" : "3" }, "uris" : [ "http://www.mendeley.com/documents/?uuid=a2e57e1a-701e-4a47-bdb3-969394c6a089", "http://www.mendeley.com/documents/?uuid=ef0237b9-15cf-408c-adfa-5c2d9401ce91" ] } ], "mendeley" : { "formattedCitation" : "&lt;sup&gt;139&lt;/sup&gt;", "plainTextFormattedCitation" : "139", "previouslyFormattedCitation" : "&lt;sup&gt;138&lt;/sup&gt;" }, "properties" : { "noteIndex" : 0 }, "schema" : "https://github.com/citation-style-language/schema/raw/master/csl-citation.json" }</w:instrText>
      </w:r>
      <w:r w:rsidR="00773A0E" w:rsidRPr="00610A40">
        <w:rPr>
          <w:rFonts w:eastAsia="Arial"/>
          <w:color w:val="auto"/>
          <w:szCs w:val="24"/>
        </w:rPr>
        <w:fldChar w:fldCharType="separate"/>
      </w:r>
      <w:r w:rsidR="00565E2A" w:rsidRPr="00610A40">
        <w:rPr>
          <w:rFonts w:eastAsia="Arial"/>
          <w:noProof/>
          <w:color w:val="auto"/>
          <w:szCs w:val="24"/>
          <w:vertAlign w:val="superscript"/>
        </w:rPr>
        <w:t>139</w:t>
      </w:r>
      <w:r w:rsidR="00773A0E" w:rsidRPr="00610A40">
        <w:rPr>
          <w:rFonts w:eastAsia="Arial"/>
          <w:color w:val="auto"/>
          <w:szCs w:val="24"/>
        </w:rPr>
        <w:fldChar w:fldCharType="end"/>
      </w:r>
      <w:r w:rsidR="001D2870" w:rsidRPr="00610A40">
        <w:rPr>
          <w:rFonts w:eastAsia="Arial"/>
          <w:color w:val="auto"/>
          <w:szCs w:val="24"/>
        </w:rPr>
        <w:t xml:space="preserve">. </w:t>
      </w:r>
      <w:r w:rsidR="00D5605F" w:rsidRPr="00610A40">
        <w:rPr>
          <w:rFonts w:eastAsia="Arial"/>
          <w:color w:val="auto"/>
          <w:szCs w:val="24"/>
        </w:rPr>
        <w:t>Poly (</w:t>
      </w:r>
      <w:r w:rsidR="001D2870" w:rsidRPr="00610A40">
        <w:rPr>
          <w:rFonts w:eastAsia="Arial"/>
          <w:color w:val="auto"/>
          <w:szCs w:val="24"/>
        </w:rPr>
        <w:t xml:space="preserve">propylene </w:t>
      </w:r>
      <w:proofErr w:type="spellStart"/>
      <w:r w:rsidR="001D2870" w:rsidRPr="00610A40">
        <w:rPr>
          <w:rFonts w:eastAsia="Arial"/>
          <w:color w:val="auto"/>
          <w:szCs w:val="24"/>
        </w:rPr>
        <w:t>fumarate</w:t>
      </w:r>
      <w:proofErr w:type="spellEnd"/>
      <w:r w:rsidR="001D2870" w:rsidRPr="00610A40">
        <w:rPr>
          <w:rFonts w:eastAsia="Arial"/>
          <w:color w:val="auto"/>
          <w:szCs w:val="24"/>
        </w:rPr>
        <w:t>)-</w:t>
      </w:r>
      <w:r w:rsidR="001D2870" w:rsidRPr="00610A40">
        <w:rPr>
          <w:rFonts w:eastAsia="Arial"/>
          <w:i/>
          <w:color w:val="auto"/>
          <w:szCs w:val="24"/>
        </w:rPr>
        <w:t>co</w:t>
      </w:r>
      <w:r w:rsidR="001D2870" w:rsidRPr="00610A40">
        <w:rPr>
          <w:rFonts w:eastAsia="Arial"/>
          <w:color w:val="auto"/>
          <w:szCs w:val="24"/>
        </w:rPr>
        <w:t>-2-hydroxyethyl methacrylate (PPF–HEMA) was synthesized into a synthetic tarsal substitute via gelatin particle leaching</w:t>
      </w:r>
      <w:r w:rsidR="00DD7974" w:rsidRPr="00610A40">
        <w:rPr>
          <w:rFonts w:eastAsia="Arial"/>
          <w:color w:val="auto"/>
          <w:szCs w:val="24"/>
        </w:rPr>
        <w:t xml:space="preserve"> (</w:t>
      </w:r>
      <w:r w:rsidR="00944C77" w:rsidRPr="00610A40">
        <w:rPr>
          <w:rFonts w:eastAsia="Arial"/>
          <w:color w:val="auto"/>
          <w:szCs w:val="24"/>
        </w:rPr>
        <w:fldChar w:fldCharType="begin"/>
      </w:r>
      <w:r w:rsidR="00944C77" w:rsidRPr="00610A40">
        <w:rPr>
          <w:rFonts w:eastAsia="Arial"/>
          <w:color w:val="auto"/>
          <w:szCs w:val="24"/>
        </w:rPr>
        <w:instrText xml:space="preserve"> REF _Ref489036283 \h </w:instrText>
      </w:r>
      <w:r w:rsidR="00004924" w:rsidRPr="00610A40">
        <w:rPr>
          <w:rFonts w:eastAsia="Arial"/>
          <w:color w:val="auto"/>
          <w:szCs w:val="24"/>
        </w:rPr>
        <w:instrText xml:space="preserve"> \* MERGEFORMAT </w:instrText>
      </w:r>
      <w:r w:rsidR="00944C77" w:rsidRPr="00610A40">
        <w:rPr>
          <w:rFonts w:eastAsia="Arial"/>
          <w:color w:val="auto"/>
          <w:szCs w:val="24"/>
        </w:rPr>
      </w:r>
      <w:r w:rsidR="00944C77" w:rsidRPr="00610A40">
        <w:rPr>
          <w:rFonts w:eastAsia="Arial"/>
          <w:color w:val="auto"/>
          <w:szCs w:val="24"/>
        </w:rPr>
        <w:fldChar w:fldCharType="separate"/>
      </w:r>
      <w:r w:rsidR="002B2E41" w:rsidRPr="00610A40">
        <w:rPr>
          <w:color w:val="auto"/>
          <w:szCs w:val="24"/>
        </w:rPr>
        <w:t xml:space="preserve">Figure </w:t>
      </w:r>
      <w:r w:rsidR="002B2E41" w:rsidRPr="00610A40">
        <w:rPr>
          <w:noProof/>
          <w:color w:val="auto"/>
          <w:szCs w:val="24"/>
        </w:rPr>
        <w:t>6</w:t>
      </w:r>
      <w:r w:rsidR="00944C77" w:rsidRPr="00610A40">
        <w:rPr>
          <w:rFonts w:eastAsia="Arial"/>
          <w:color w:val="auto"/>
          <w:szCs w:val="24"/>
        </w:rPr>
        <w:fldChar w:fldCharType="end"/>
      </w:r>
      <w:r w:rsidR="00DD7974" w:rsidRPr="00610A40">
        <w:rPr>
          <w:rFonts w:eastAsia="Arial"/>
          <w:color w:val="auto"/>
          <w:szCs w:val="24"/>
        </w:rPr>
        <w:t>)</w:t>
      </w:r>
      <w:r w:rsidR="001D2870" w:rsidRPr="00610A40">
        <w:rPr>
          <w:rFonts w:eastAsia="Arial"/>
          <w:color w:val="auto"/>
          <w:szCs w:val="24"/>
        </w:rPr>
        <w:t>. PPF was covalently cross-linked with HEMA to present good fatigue resistance and elongation</w:t>
      </w:r>
      <w:r w:rsidRPr="00610A40">
        <w:rPr>
          <w:rFonts w:eastAsia="Arial"/>
          <w:color w:val="auto"/>
          <w:szCs w:val="24"/>
        </w:rPr>
        <w:t>-</w:t>
      </w:r>
      <w:r w:rsidR="001D2870" w:rsidRPr="00610A40">
        <w:rPr>
          <w:rFonts w:eastAsia="Arial"/>
          <w:color w:val="auto"/>
          <w:szCs w:val="24"/>
        </w:rPr>
        <w:t>at</w:t>
      </w:r>
      <w:r w:rsidRPr="00610A40">
        <w:rPr>
          <w:rFonts w:eastAsia="Arial"/>
          <w:color w:val="auto"/>
          <w:szCs w:val="24"/>
        </w:rPr>
        <w:t>-</w:t>
      </w:r>
      <w:r w:rsidR="001D2870" w:rsidRPr="00610A40">
        <w:rPr>
          <w:rFonts w:eastAsia="Arial"/>
          <w:color w:val="auto"/>
          <w:szCs w:val="24"/>
        </w:rPr>
        <w:t xml:space="preserve">break. Furthermore, the biodegradable PPF-HEMA was highly biocompatible when implanted onto rabbits as compared to </w:t>
      </w:r>
      <w:proofErr w:type="spellStart"/>
      <w:r w:rsidR="001D2870" w:rsidRPr="00610A40">
        <w:rPr>
          <w:rFonts w:eastAsia="Arial"/>
          <w:color w:val="auto"/>
          <w:szCs w:val="24"/>
        </w:rPr>
        <w:t>allogenic</w:t>
      </w:r>
      <w:proofErr w:type="spellEnd"/>
      <w:r w:rsidR="001D2870" w:rsidRPr="00610A40">
        <w:rPr>
          <w:rFonts w:eastAsia="Arial"/>
          <w:color w:val="auto"/>
          <w:szCs w:val="24"/>
        </w:rPr>
        <w:t xml:space="preserve"> </w:t>
      </w:r>
      <w:proofErr w:type="spellStart"/>
      <w:r w:rsidR="001D2870" w:rsidRPr="00610A40">
        <w:rPr>
          <w:rFonts w:eastAsia="Arial"/>
          <w:color w:val="auto"/>
          <w:szCs w:val="24"/>
        </w:rPr>
        <w:t>acellular</w:t>
      </w:r>
      <w:proofErr w:type="spellEnd"/>
      <w:r w:rsidR="001D2870" w:rsidRPr="00610A40">
        <w:rPr>
          <w:rFonts w:eastAsia="Arial"/>
          <w:color w:val="auto"/>
          <w:szCs w:val="24"/>
        </w:rPr>
        <w:t xml:space="preserve"> dermal matrix (ADM) control. </w:t>
      </w:r>
    </w:p>
    <w:p w14:paraId="326A9C6A" w14:textId="77777777" w:rsidR="00DD7974" w:rsidRPr="00610A40" w:rsidRDefault="00DD7974" w:rsidP="00DD7974">
      <w:pPr>
        <w:keepNext/>
        <w:rPr>
          <w:color w:val="auto"/>
          <w:szCs w:val="24"/>
        </w:rPr>
      </w:pPr>
      <w:r w:rsidRPr="00610A40">
        <w:rPr>
          <w:rFonts w:eastAsia="Arial"/>
          <w:noProof/>
          <w:color w:val="auto"/>
          <w:szCs w:val="24"/>
        </w:rPr>
        <w:drawing>
          <wp:inline distT="0" distB="0" distL="0" distR="0" wp14:anchorId="69596ACB" wp14:editId="1C8452A4">
            <wp:extent cx="5075748" cy="314864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9730" cy="3163518"/>
                    </a:xfrm>
                    <a:prstGeom prst="rect">
                      <a:avLst/>
                    </a:prstGeom>
                    <a:noFill/>
                    <a:ln>
                      <a:noFill/>
                    </a:ln>
                  </pic:spPr>
                </pic:pic>
              </a:graphicData>
            </a:graphic>
          </wp:inline>
        </w:drawing>
      </w:r>
    </w:p>
    <w:p w14:paraId="241B99BD" w14:textId="304D125B" w:rsidR="001D2870" w:rsidRPr="00610A40" w:rsidRDefault="00DD7974" w:rsidP="00DD7974">
      <w:pPr>
        <w:pStyle w:val="Caption"/>
        <w:rPr>
          <w:rFonts w:eastAsia="Arial"/>
          <w:sz w:val="24"/>
          <w:szCs w:val="24"/>
        </w:rPr>
      </w:pPr>
      <w:bookmarkStart w:id="6" w:name="_Ref489036283"/>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6</w:t>
      </w:r>
      <w:r w:rsidR="00004924" w:rsidRPr="00610A40">
        <w:rPr>
          <w:noProof/>
          <w:sz w:val="24"/>
          <w:szCs w:val="24"/>
        </w:rPr>
        <w:fldChar w:fldCharType="end"/>
      </w:r>
      <w:bookmarkEnd w:id="6"/>
      <w:r w:rsidRPr="00610A40">
        <w:rPr>
          <w:sz w:val="24"/>
          <w:szCs w:val="24"/>
        </w:rPr>
        <w:t>: Eyelid structure and reconstruction of tarsal plate defects using a PPF and HEMA copolymer scaffold</w:t>
      </w:r>
      <w:r w:rsidRPr="00610A40">
        <w:rPr>
          <w:sz w:val="24"/>
          <w:szCs w:val="24"/>
        </w:rPr>
        <w:fldChar w:fldCharType="begin" w:fldLock="1"/>
      </w:r>
      <w:r w:rsidR="00565E2A" w:rsidRPr="00610A40">
        <w:rPr>
          <w:sz w:val="24"/>
          <w:szCs w:val="24"/>
        </w:rPr>
        <w:instrText>ADDIN CSL_CITATION { "citationItems" : [ { "id" : "ITEM-1", "itemData" : { "DOI" : "10.1039/C5TB00285K", "ISSN" : "2050-750X", "abstract" : "Eyelid reconstruction includes anterior lamella reconstruction and posterior lamella reconstruction. As an important skeletal component of the posterior lamella, tarsal plates repair is the key issue for eyelid reconstruction. Presently, neither traditional surgery nor autograft/allograft has achieved satisfactory repair effects. Poly(propylene fumarate)-co-2-hydroxyethyl methacrylate (PPF-HEMA) networks with mass ratios of 1 : 0.5, 1 : 1 and 1 : 2 were synthesized and used as the tarsal substitute in this study. Their chemical compositions, swelling ability, and mechanical properties were characterized. Porous scaffolds were fabricated by a gelatin particle leaching method. The in vitro studies of cytotoxicity on human dermal fibroblasts (HDFs) and degradation demonstrated that PPF-HEMA scaffolds did not have noticeable cell cytotoxicity and their degradation rates correlated with the ratio of PPF to HEMA. The PPF-HEMA networks, with mass ratios of 1 : 1 and 1 : 2, and an ADM control were implanted in rabbits with tarsal plate defects for in vivo biocompatibility and degradation behavior evaluation. PPF-HEMA scaffolds provided satisfactory repair results with mild tissue response and biocompatibility to fibroblast growth and fibrous capsulation compared to the ADM control. The tissue compatible and biodegradable PPF-HEMA networks with elastic mechanical properties were proven to be a suitable candidate for tarsal repair.", "author" : [ { "dropping-particle" : "", "family" : "Gao", "given" : "Qi", "non-dropping-particle" : "", "parse-names" : false, "suffix" : "" }, { "dropping-particle" : "", "family" : "Hu", "given" : "Bin", "non-dropping-particle" : "", "parse-names" : false, "suffix" : "" }, { "dropping-particle" : "", "family" : "Ning", "given" : "Qingyao", "non-dropping-particle" : "", "parse-names" : false, "suffix" : "" }, { "dropping-particle" : "", "family" : "Ye", "given" : "Chen", "non-dropping-particle" : "", "parse-names" : false, "suffix" : "" }, { "dropping-particle" : "", "family" : "Xie", "given" : "Jiajun", "non-dropping-particle" : "", "parse-names" : false, "suffix" : "" }, { "dropping-particle" : "", "family" : "Ye", "given" : "Juan", "non-dropping-particle" : "", "parse-names" : false, "suffix" : "" }, { "dropping-particle" : "", "family" : "Gao", "given" : "Changyou", "non-dropping-particle" : "", "parse-names" : false, "suffix" : "" } ], "container-title" : "Journal of Materials Chemistry B", "id" : "ITEM-1", "issue" : "19", "issued" : { "date-parts" : [ [ "2015" ] ] }, "page" : "4052-4062", "publisher" : "Royal Society of Chemistry", "title" : "A primary study of poly(propylene fumarate)-2-hydroxyethyl methacrylate copolymer scaffolds for tarsal plate repair and reconstruction in rabbit eyelids", "type" : "article-journal", "volume" : "3" }, "uris" : [ "http://www.mendeley.com/documents/?uuid=a2e57e1a-701e-4a47-bdb3-969394c6a089" ] } ], "mendeley" : { "formattedCitation" : "&lt;sup&gt;139&lt;/sup&gt;", "plainTextFormattedCitation" : "139", "previouslyFormattedCitation" : "&lt;sup&gt;138&lt;/sup&gt;" }, "properties" : { "noteIndex" : 0 }, "schema" : "https://github.com/citation-style-language/schema/raw/master/csl-citation.json" }</w:instrText>
      </w:r>
      <w:r w:rsidRPr="00610A40">
        <w:rPr>
          <w:sz w:val="24"/>
          <w:szCs w:val="24"/>
        </w:rPr>
        <w:fldChar w:fldCharType="separate"/>
      </w:r>
      <w:r w:rsidR="00565E2A" w:rsidRPr="00610A40">
        <w:rPr>
          <w:b w:val="0"/>
          <w:noProof/>
          <w:sz w:val="24"/>
          <w:szCs w:val="24"/>
          <w:vertAlign w:val="superscript"/>
        </w:rPr>
        <w:t>139</w:t>
      </w:r>
      <w:r w:rsidRPr="00610A40">
        <w:rPr>
          <w:sz w:val="24"/>
          <w:szCs w:val="24"/>
        </w:rPr>
        <w:fldChar w:fldCharType="end"/>
      </w:r>
      <w:r w:rsidRPr="00610A40">
        <w:rPr>
          <w:sz w:val="24"/>
          <w:szCs w:val="24"/>
        </w:rPr>
        <w:t>.</w:t>
      </w:r>
      <w:r w:rsidR="00610A40">
        <w:rPr>
          <w:sz w:val="24"/>
          <w:szCs w:val="24"/>
        </w:rPr>
        <w:t xml:space="preserve"> </w:t>
      </w:r>
      <w:r w:rsidR="00610A40" w:rsidRPr="00610A40">
        <w:rPr>
          <w:sz w:val="24"/>
          <w:szCs w:val="24"/>
        </w:rPr>
        <w:t xml:space="preserve">Reproduced from ref. </w:t>
      </w:r>
      <w:r w:rsidR="00610A40">
        <w:rPr>
          <w:sz w:val="24"/>
          <w:szCs w:val="24"/>
        </w:rPr>
        <w:t>139</w:t>
      </w:r>
      <w:r w:rsidR="00610A40" w:rsidRPr="00610A40">
        <w:rPr>
          <w:sz w:val="24"/>
          <w:szCs w:val="24"/>
        </w:rPr>
        <w:t xml:space="preserve"> with permission from the </w:t>
      </w:r>
      <w:r w:rsidR="00610A40">
        <w:rPr>
          <w:sz w:val="24"/>
          <w:szCs w:val="24"/>
        </w:rPr>
        <w:t>Royal Society of Chemistry</w:t>
      </w:r>
      <w:r w:rsidR="00610A40" w:rsidRPr="00610A40">
        <w:rPr>
          <w:sz w:val="24"/>
          <w:szCs w:val="24"/>
        </w:rPr>
        <w:t xml:space="preserve">, copyright </w:t>
      </w:r>
      <w:r w:rsidR="00610A40">
        <w:rPr>
          <w:sz w:val="24"/>
          <w:szCs w:val="24"/>
        </w:rPr>
        <w:t>2015</w:t>
      </w:r>
    </w:p>
    <w:p w14:paraId="7F318078" w14:textId="0B3C22A1" w:rsidR="001D2870" w:rsidRPr="00610A40" w:rsidRDefault="001D2870" w:rsidP="00EB7D51">
      <w:pPr>
        <w:rPr>
          <w:rFonts w:eastAsia="Arial"/>
          <w:color w:val="auto"/>
          <w:szCs w:val="24"/>
        </w:rPr>
      </w:pPr>
      <w:r w:rsidRPr="00610A40">
        <w:rPr>
          <w:b/>
          <w:color w:val="auto"/>
          <w:szCs w:val="24"/>
          <w:u w:val="single"/>
        </w:rPr>
        <w:lastRenderedPageBreak/>
        <w:br w:type="page"/>
      </w:r>
    </w:p>
    <w:p w14:paraId="22238DCA" w14:textId="7E4420DB" w:rsidR="00973C35" w:rsidRPr="00610A40" w:rsidRDefault="00007C8A">
      <w:pPr>
        <w:pStyle w:val="Heading1"/>
      </w:pPr>
      <w:r w:rsidRPr="00610A40">
        <w:lastRenderedPageBreak/>
        <w:t>5</w:t>
      </w:r>
      <w:r w:rsidR="0085226C" w:rsidRPr="00610A40">
        <w:t>. Polyesters in Cardiac Tissue Engineering</w:t>
      </w:r>
    </w:p>
    <w:p w14:paraId="49035154" w14:textId="16C419A9" w:rsidR="008C0ADC" w:rsidRPr="00610A40" w:rsidRDefault="008C0ADC" w:rsidP="008B7846">
      <w:pPr>
        <w:rPr>
          <w:color w:val="auto"/>
          <w:szCs w:val="24"/>
        </w:rPr>
      </w:pPr>
      <w:r w:rsidRPr="00610A40">
        <w:rPr>
          <w:color w:val="auto"/>
          <w:szCs w:val="24"/>
        </w:rPr>
        <w:t>Cardiovascular disease is the leading global cause of death, accounting for more than 17.3 million deaths per year</w:t>
      </w:r>
      <w:r w:rsidRPr="00610A40">
        <w:rPr>
          <w:color w:val="auto"/>
          <w:szCs w:val="24"/>
        </w:rPr>
        <w:fldChar w:fldCharType="begin" w:fldLock="1"/>
      </w:r>
      <w:r w:rsidR="00565E2A" w:rsidRPr="00610A40">
        <w:rPr>
          <w:color w:val="auto"/>
          <w:szCs w:val="24"/>
        </w:rPr>
        <w:instrText>ADDIN CSL_CITATION { "citationItems" : [ { "id" : "ITEM-1", "itemData" : { "DOI" : "10.1007/s13398-014-0173-7.2", "ISBN" : "9780874216561", "ISSN" : "0717-6163", "PMID" : "15003161", "abstract" : "Here are a few key statistics about heart disease, stroke, other cardiovascular diseases and their risk factors, in addition to commonly cited statistics about the American Heart Association's research program. The source for the health statistics is the association's 2016 Heart Disease and Stroke Statistics Update, which is compiled annually by the American Heart Association, the Centers for Disease Control and Prevention, the National Institutes of Health and other government sources. The years cited are the most recent available for each statistical category. The source for the research information is the association's Research Department. Heart Disease, Stroke and other Cardiovascular Diseases \uf0b7 Cardiovascular disease is the leading global cause of death, accounting for more than 17.3 million deaths per year, a number that is expected to grow to more than 23.6 million by 2030. \uf0b7 In 2013, cardiovascular deaths represented 31 percent of all global deaths, with 80 percent of those deaths taking place in low-and middle-income countries. \uf0b7 Nearly 801,000 people in the U.S. died from heart disease, stroke and other cardiovascular diseases in 2013. That's about one of every three deaths in America. \uf0b7 About 2,200 Americans die each day from these diseases, one every 40 seconds. \uf0b7 Cardiovascular diseases claim more lives than all forms of cancer combined. \uf0b7 About 85.6 million Americans are living with some form of cardiovascular disease or the after-effects of stroke. \uf0b7 Direct and indirect costs of cardiovascular diseases and stroke total more than $316.6 billion. That includes health expenditures and lost productivity. \uf0b7 Nearly half of all African-American adults have some form of cardiovascular disease, 48 percent of women and 46 percent of men.", "container-title" : "American Heart and Stroke Association", "id" : "ITEM-1", "issue" : "1", "issued" : { "date-parts" : [ [ "2016" ] ] }, "number-of-pages" : "1-5", "title" : "Heart disease, stroke and research statistics at-a-glance", "type" : "report" }, "uris" : [ "http://www.mendeley.com/documents/?uuid=e92bdfcb-84fc-4c6d-a70b-0162ab24174a", "http://www.mendeley.com/documents/?uuid=f73c2deb-0275-4816-ada7-66840dea7ada" ] } ], "mendeley" : { "formattedCitation" : "&lt;sup&gt;140&lt;/sup&gt;", "plainTextFormattedCitation" : "140", "previouslyFormattedCitation" : "&lt;sup&gt;139&lt;/sup&gt;"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140</w:t>
      </w:r>
      <w:r w:rsidRPr="00610A40">
        <w:rPr>
          <w:color w:val="auto"/>
          <w:szCs w:val="24"/>
        </w:rPr>
        <w:fldChar w:fldCharType="end"/>
      </w:r>
      <w:r w:rsidRPr="00610A40">
        <w:rPr>
          <w:color w:val="auto"/>
          <w:szCs w:val="24"/>
        </w:rPr>
        <w:t xml:space="preserve">. Nearly 801,000 people in the U.S. died from heart disease, stroke and other cardiovascular diseases in 2013. The direct and indirect costs of cardiovascular diseases and stroke </w:t>
      </w:r>
      <w:r w:rsidR="00D71EDE" w:rsidRPr="00610A40">
        <w:rPr>
          <w:color w:val="auto"/>
          <w:szCs w:val="24"/>
        </w:rPr>
        <w:t>amount to</w:t>
      </w:r>
      <w:r w:rsidRPr="00610A40">
        <w:rPr>
          <w:color w:val="auto"/>
          <w:szCs w:val="24"/>
        </w:rPr>
        <w:t xml:space="preserve"> more than $316.6 billion. Myocardial infarction or ischemic heart disease is a major contributor towards the high morbidity and mortality of cardiovascular disease. During a myocardial infarction, a region in the heart experiences a severe reduction in its blood supply (ischemia), leading to </w:t>
      </w:r>
      <w:proofErr w:type="spellStart"/>
      <w:r w:rsidRPr="00610A40">
        <w:rPr>
          <w:color w:val="auto"/>
          <w:szCs w:val="24"/>
        </w:rPr>
        <w:t>cardiomyocyte</w:t>
      </w:r>
      <w:proofErr w:type="spellEnd"/>
      <w:r w:rsidRPr="00610A40">
        <w:rPr>
          <w:color w:val="auto"/>
          <w:szCs w:val="24"/>
        </w:rPr>
        <w:t xml:space="preserve"> deaths. The current treatment or prevention measures include pharmacological therapies (such as </w:t>
      </w:r>
      <w:proofErr w:type="spellStart"/>
      <w:r w:rsidRPr="00610A40">
        <w:rPr>
          <w:color w:val="auto"/>
          <w:szCs w:val="24"/>
        </w:rPr>
        <w:t>catecholamines</w:t>
      </w:r>
      <w:proofErr w:type="spellEnd"/>
      <w:r w:rsidRPr="00610A40">
        <w:rPr>
          <w:color w:val="auto"/>
          <w:szCs w:val="24"/>
        </w:rPr>
        <w:t xml:space="preserve">, angiotensin-converting enzyme, aldosterone </w:t>
      </w:r>
      <w:r w:rsidR="00D5605F" w:rsidRPr="00610A40">
        <w:rPr>
          <w:color w:val="auto"/>
          <w:szCs w:val="24"/>
        </w:rPr>
        <w:t>etc.</w:t>
      </w:r>
      <w:r w:rsidRPr="00610A40">
        <w:rPr>
          <w:color w:val="auto"/>
          <w:szCs w:val="24"/>
        </w:rPr>
        <w:t>), surgical intervention and implantation of pacing devices to ‘reset’ the heart during arrhythmic episodes</w:t>
      </w:r>
      <w:r w:rsidRPr="00610A40">
        <w:rPr>
          <w:color w:val="auto"/>
          <w:szCs w:val="24"/>
        </w:rPr>
        <w:fldChar w:fldCharType="begin" w:fldLock="1"/>
      </w:r>
      <w:r w:rsidR="00565E2A" w:rsidRPr="00610A40">
        <w:rPr>
          <w:color w:val="auto"/>
          <w:szCs w:val="24"/>
        </w:rPr>
        <w:instrText>ADDIN CSL_CITATION { "citationItems" : [ { "id" : "ITEM-1", "itemData" : { "DOI" : "10.1016/j.mser.2007.08.001", "ISBN" : "0927-796X", "ISSN" : "0927796X", "PMID" : "15003161", "author" : [ { "dropping-particle" : "", "family" : "Chen", "given" : "Q.Z.", "non-dropping-particle" : "", "parse-names" : false, "suffix" : "" }, { "dropping-particle" : "", "family" : "Harding", "given" : "S.E.", "non-dropping-particle" : "", "parse-names" : false, "suffix" : "" }, { "dropping-particle" : "", "family" : "Ali", "given" : "N.N.", "non-dropping-particle" : "", "parse-names" : false, "suffix" : "" }, { "dropping-particle" : "", "family" : "Lyon", "given" : "a.R.", "non-dropping-particle" : "", "parse-names" : false, "suffix" : "" }, { "dropping-particle" : "", "family" : "Boccaccini", "given" : "a.R.", "non-dropping-particle" : "", "parse-names" : false, "suffix" : "" } ], "container-title" : "Materials Science and Engineering R", "id" : "ITEM-1", "issued" : { "date-parts" : [ [ "2008" ] ] }, "page" : "1-37", "title" : "Biomaterials in cardiac tissue engineering : Ten years of research survey", "type" : "article-journal", "volume" : "59" }, "uris" : [ "http://www.mendeley.com/documents/?uuid=97ce399f-417f-4a87-b9c9-968a695c7b1f", "http://www.mendeley.com/documents/?uuid=2ed36063-c78c-410b-bff9-5205fc721f7e" ] } ], "mendeley" : { "formattedCitation" : "&lt;sup&gt;141&lt;/sup&gt;", "plainTextFormattedCitation" : "141", "previouslyFormattedCitation" : "&lt;sup&gt;140&lt;/sup&gt;"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141</w:t>
      </w:r>
      <w:r w:rsidRPr="00610A40">
        <w:rPr>
          <w:color w:val="auto"/>
          <w:szCs w:val="24"/>
        </w:rPr>
        <w:fldChar w:fldCharType="end"/>
      </w:r>
      <w:r w:rsidRPr="00610A40">
        <w:rPr>
          <w:color w:val="auto"/>
          <w:szCs w:val="24"/>
        </w:rPr>
        <w:t>.  However, these therapies could not adequately prevent disease progression and heart transplantation is the ultimate treatment option</w:t>
      </w:r>
      <w:r w:rsidRPr="00610A40">
        <w:rPr>
          <w:color w:val="auto"/>
          <w:szCs w:val="24"/>
        </w:rPr>
        <w:fldChar w:fldCharType="begin" w:fldLock="1"/>
      </w:r>
      <w:r w:rsidR="00565E2A" w:rsidRPr="00610A40">
        <w:rPr>
          <w:color w:val="auto"/>
          <w:szCs w:val="24"/>
        </w:rPr>
        <w:instrText>ADDIN CSL_CITATION { "citationItems" : [ { "id" : "ITEM-1", "itemData" : { "DOI" : "10.1016/j.biomaterials.2010.01.108", "ISBN" : "1878-5905 (Electronic)\\r0142-9612 (Linking)", "ISSN" : "01429612", "PMID" : "20153041", "abstract" : "We hypothesize that a combinatorial approach of ventricle constraint and stem cell therapy would offer a greater benefit for the treatment of heart failure than either strategy alone. A heart patch would serve two therapeutic purposes: biomechanical support and cell delivery. In this study, we describe a hybrid heart patch engineered from a synthetic elastomer, poly(glycerol sebacate) (PGS), supplemented with cardiomyocytes differentiated from human embryonic stem cells (hESCs). In line with two therapeutically relevant considerations, i.e. biocompatibility and cell delivery efficiency, the PGS was (a) pre-conditioned in culture medium for 6 days, and (b) prepared without gelatin coatings to facilitate detachment and delivery of cardiomyocytes following patch implantation. Following pre-conditioning under physiological conditions, the PGS patch material without gelatin coating was found to satisfactorily support cardiomyocyte viability and attachment, with active cell beating for periods of longer than 3 months until interrupted. Dynamic culture studies revealed that cells detached more efficiently from the uncoated surface of PGS than from gelatin-coated PGS. No significant differences were detected between the beating rates of human embryonic stem cell-derived cardiomyocytes on tissue culture plate and the pre-conditioned and gelatin-uncoated PGS. PGS patches sutured over the left ventricle of rats in vivo remained intact over a 2 week period without any deleterious effects on ventricular function. We conclude that PGS is a suitable biomaterial for stem cell-based regeneration strategies to restore cardiomyocyte function, and the hybrid heart patch engineered under optimal conditions would be a promising support device for the cardiac repair. ?? 2010 Elsevier Ltd.", "author" : [ { "dropping-particle" : "", "family" : "Chen", "given" : "Qi Zhi", "non-dropping-particle" : "", "parse-names" : false, "suffix" : "" }, { "dropping-particle" : "", "family" : "Ishii", "given" : "Hikaru", "non-dropping-particle" : "", "parse-names" : false, "suffix" : "" }, { "dropping-particle" : "", "family" : "Thouas", "given" : "George A.", "non-dropping-particle" : "", "parse-names" : false, "suffix" : "" }, { "dropping-particle" : "", "family" : "Lyon", "given" : "Alexander R.", "non-dropping-particle" : "", "parse-names" : false, "suffix" : "" }, { "dropping-particle" : "", "family" : "Wright", "given" : "Jamie S.", "non-dropping-particle" : "", "parse-names" : false, "suffix" : "" }, { "dropping-particle" : "", "family" : "Blaker", "given" : "Jonny J.", "non-dropping-particle" : "", "parse-names" : false, "suffix" : "" }, { "dropping-particle" : "", "family" : "Chrzanowski", "given" : "Wojciech", "non-dropping-particle" : "", "parse-names" : false, "suffix" : "" }, { "dropping-particle" : "", "family" : "Boccaccini", "given" : "Aldo R.", "non-dropping-particle" : "", "parse-names" : false, "suffix" : "" }, { "dropping-particle" : "", "family" : "Ali", "given" : "Nadire N.", "non-dropping-particle" : "", "parse-names" : false, "suffix" : "" }, { "dropping-particle" : "", "family" : "Knowles", "given" : "Jonathan C.", "non-dropping-particle" : "", "parse-names" : false, "suffix" : "" }, { "dropping-particle" : "", "family" : "Harding", "given" : "Si??n E.", "non-dropping-particle" : "", "parse-names" : false, "suffix" : "" } ], "container-title" : "Biomaterials", "id" : "ITEM-1", "issue" : "14", "issued" : { "date-parts" : [ [ "2010" ] ] }, "page" : "3885-3893", "publisher" : "Elsevier Ltd", "title" : "An elastomeric patch derived from poly(glycerol sebacate) for delivery of embryonic stem cells to the heart", "type" : "article-journal", "volume" : "31" }, "uris" : [ "http://www.mendeley.com/documents/?uuid=63704da1-5bbb-4bd1-bb40-9e172b1f0d55", "http://www.mendeley.com/documents/?uuid=d8c3080f-85ed-4697-a740-54ab12bc356b" ] }, { "id" : "ITEM-2", "itemData" : { "DOI" : "10.1016/j.mser.2007.08.001", "ISBN" : "0927-796X", "ISSN" : "0927796X", "PMID" : "15003161", "author" : [ { "dropping-particle" : "", "family" : "Chen", "given" : "Q.Z.", "non-dropping-particle" : "", "parse-names" : false, "suffix" : "" }, { "dropping-particle" : "", "family" : "Harding", "given" : "S.E.", "non-dropping-particle" : "", "parse-names" : false, "suffix" : "" }, { "dropping-particle" : "", "family" : "Ali", "given" : "N.N.", "non-dropping-particle" : "", "parse-names" : false, "suffix" : "" }, { "dropping-particle" : "", "family" : "Lyon", "given" : "a.R.", "non-dropping-particle" : "", "parse-names" : false, "suffix" : "" }, { "dropping-particle" : "", "family" : "Boccaccini", "given" : "a.R.", "non-dropping-particle" : "", "parse-names" : false, "suffix" : "" } ], "container-title" : "Materials Science and Engineering R", "id" : "ITEM-2", "issued" : { "date-parts" : [ [ "2008" ] ] }, "page" : "1-37", "title" : "Biomaterials in cardiac tissue engineering : Ten years of research survey", "type" : "article-journal", "volume" : "59" }, "uris" : [ "http://www.mendeley.com/documents/?uuid=2ed36063-c78c-410b-bff9-5205fc721f7e", "http://www.mendeley.com/documents/?uuid=97ce399f-417f-4a87-b9c9-968a695c7b1f" ] } ], "mendeley" : { "formattedCitation" : "&lt;sup&gt;141,142&lt;/sup&gt;", "plainTextFormattedCitation" : "141,142", "previouslyFormattedCitation" : "&lt;sup&gt;140,141&lt;/sup&gt;"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141,142</w:t>
      </w:r>
      <w:r w:rsidRPr="00610A40">
        <w:rPr>
          <w:color w:val="auto"/>
          <w:szCs w:val="24"/>
        </w:rPr>
        <w:fldChar w:fldCharType="end"/>
      </w:r>
      <w:r w:rsidRPr="00610A40">
        <w:rPr>
          <w:color w:val="auto"/>
          <w:szCs w:val="24"/>
        </w:rPr>
        <w:t xml:space="preserve">. Due to the insufficient heart organ donors and issues with immune suppressive treatments, doctors and scientists are actively seeking for more effective alternative treatments. Tissue engineering of cardiac tissues with biodegradable polymers </w:t>
      </w:r>
      <w:r w:rsidR="00D71EDE" w:rsidRPr="00610A40">
        <w:rPr>
          <w:color w:val="auto"/>
          <w:szCs w:val="24"/>
        </w:rPr>
        <w:t xml:space="preserve">to create in vitro cardiac tissue engineering scaffolds for the culturing of artificial cardiac </w:t>
      </w:r>
      <w:proofErr w:type="gramStart"/>
      <w:r w:rsidR="00D71EDE" w:rsidRPr="00610A40">
        <w:rPr>
          <w:color w:val="auto"/>
          <w:szCs w:val="24"/>
        </w:rPr>
        <w:t>tissue,</w:t>
      </w:r>
      <w:proofErr w:type="gramEnd"/>
      <w:r w:rsidR="00D71EDE" w:rsidRPr="00610A40">
        <w:rPr>
          <w:color w:val="auto"/>
          <w:szCs w:val="24"/>
        </w:rPr>
        <w:t xml:space="preserve"> or to fabricate cardiac patches </w:t>
      </w:r>
      <w:r w:rsidRPr="00610A40">
        <w:rPr>
          <w:color w:val="auto"/>
          <w:szCs w:val="24"/>
        </w:rPr>
        <w:t xml:space="preserve">for the </w:t>
      </w:r>
      <w:r w:rsidR="00D71EDE" w:rsidRPr="00610A40">
        <w:rPr>
          <w:color w:val="auto"/>
          <w:szCs w:val="24"/>
        </w:rPr>
        <w:t xml:space="preserve">delivery of cells and </w:t>
      </w:r>
      <w:r w:rsidRPr="00610A40">
        <w:rPr>
          <w:color w:val="auto"/>
          <w:szCs w:val="24"/>
        </w:rPr>
        <w:t xml:space="preserve">repair of damaged heart tissues </w:t>
      </w:r>
      <w:r w:rsidR="00D71EDE" w:rsidRPr="00610A40">
        <w:rPr>
          <w:color w:val="auto"/>
          <w:szCs w:val="24"/>
        </w:rPr>
        <w:t xml:space="preserve">in vivo </w:t>
      </w:r>
      <w:r w:rsidRPr="00610A40">
        <w:rPr>
          <w:color w:val="auto"/>
          <w:szCs w:val="24"/>
        </w:rPr>
        <w:t>had been heavily researched on in the past few years</w:t>
      </w:r>
      <w:r w:rsidR="00D71EDE" w:rsidRPr="00610A40">
        <w:rPr>
          <w:color w:val="auto"/>
          <w:szCs w:val="24"/>
        </w:rPr>
        <w:t>. These efforts</w:t>
      </w:r>
      <w:r w:rsidRPr="00610A40">
        <w:rPr>
          <w:color w:val="auto"/>
          <w:szCs w:val="24"/>
        </w:rPr>
        <w:t xml:space="preserve"> have shown some intriguing progress</w:t>
      </w:r>
      <w:r w:rsidR="00D71EDE" w:rsidRPr="00610A40">
        <w:rPr>
          <w:color w:val="auto"/>
          <w:szCs w:val="24"/>
        </w:rPr>
        <w:t xml:space="preserve"> and the materials, fabrication techniques and outcomes will be illustrated in greater details in this chapter</w:t>
      </w:r>
      <w:r w:rsidRPr="00610A40">
        <w:rPr>
          <w:color w:val="auto"/>
          <w:szCs w:val="24"/>
        </w:rPr>
        <w:t xml:space="preserve">. </w:t>
      </w:r>
    </w:p>
    <w:p w14:paraId="1F53E047" w14:textId="7C191799" w:rsidR="00C427B7" w:rsidRPr="00610A40" w:rsidRDefault="00007C8A" w:rsidP="00086775">
      <w:pPr>
        <w:pStyle w:val="Heading2"/>
        <w:rPr>
          <w:sz w:val="24"/>
          <w:szCs w:val="24"/>
        </w:rPr>
      </w:pPr>
      <w:r w:rsidRPr="00610A40">
        <w:rPr>
          <w:sz w:val="24"/>
          <w:szCs w:val="24"/>
        </w:rPr>
        <w:t>5</w:t>
      </w:r>
      <w:r w:rsidR="00C427B7" w:rsidRPr="00610A40">
        <w:rPr>
          <w:sz w:val="24"/>
          <w:szCs w:val="24"/>
        </w:rPr>
        <w:t>.1 Cardiac tissue engineering scaffold requirements</w:t>
      </w:r>
    </w:p>
    <w:p w14:paraId="6FCFD8AF" w14:textId="110DFE26" w:rsidR="00C427B7" w:rsidRPr="00610A40" w:rsidRDefault="00C427B7" w:rsidP="00086775">
      <w:pPr>
        <w:rPr>
          <w:color w:val="auto"/>
          <w:szCs w:val="24"/>
        </w:rPr>
      </w:pPr>
      <w:r w:rsidRPr="00610A40">
        <w:rPr>
          <w:color w:val="auto"/>
          <w:szCs w:val="24"/>
        </w:rPr>
        <w:t xml:space="preserve">There are several considerations when </w:t>
      </w:r>
      <w:r w:rsidR="00D71EDE" w:rsidRPr="00610A40">
        <w:rPr>
          <w:color w:val="auto"/>
          <w:szCs w:val="24"/>
        </w:rPr>
        <w:t>trying</w:t>
      </w:r>
      <w:r w:rsidRPr="00610A40">
        <w:rPr>
          <w:color w:val="auto"/>
          <w:szCs w:val="24"/>
        </w:rPr>
        <w:t xml:space="preserve"> to engineer cardiac tissues: scaffold mechanical properties, degradation profile, tissue culture conditions, scaffold fabrication technique and scaffold porosity</w:t>
      </w:r>
      <w:r w:rsidRPr="00610A40">
        <w:rPr>
          <w:color w:val="auto"/>
          <w:szCs w:val="24"/>
        </w:rPr>
        <w:fldChar w:fldCharType="begin" w:fldLock="1"/>
      </w:r>
      <w:r w:rsidR="00565E2A" w:rsidRPr="00610A40">
        <w:rPr>
          <w:color w:val="auto"/>
          <w:szCs w:val="24"/>
        </w:rPr>
        <w:instrText>ADDIN CSL_CITATION { "citationItems" : [ { "id" : "ITEM-1", "itemData" : { "DOI" : "10.1517/14712598.2012.721770", "ISBN" : "9789241564373", "ISSN" : "1471-2598", "PMID" : "22954059", "abstract" : "INTRODUCTION: A thorough understanding of the cellular and muscle fiber orientation in left ventricular cardiac tissue is of paramount importance for the generation of artificial cardiac patches to treat the ischemic myocardium. The major challenge faced during cardiac patch engineering is to choose a perfect combination of three entities; cells, scaffolds and signaling molecules comprising the tissue engineering triad for repair and regeneration.\\n\\nAREAS COVERED: This review provides an overview of various scaffold materials, their mechanical properties and fabrication methods utilized in cardiac patch engineering. Stem cell therapies in clinical trials and the commercially available cardiac patch materials were summarized in an attempt to provide a recent perspective in the treatment of heart failure. Various tissue engineering strategies employed thus far to construct viable thick cardiac patches is schematically illustrated.\\n\\nEXPERT OPINION: Though many strategies have been proposed for fabrication of various cardiac scaffold materials, the stage and severity of the disease condition demands the incorporation of additional cues in a suitable scaffold material. The scaffold may be nanofibrous patch, hydrogel or custom designed films. Integration of stem cells and biomolecular cues along with the scaffold may provide the right microenvironment for the repair of unhealthy left ventricular tissue as well as promote its regeneration.", "author" : [ { "dropping-particle" : "", "family" : "Lakshmanan", "given" : "Rajesh", "non-dropping-particle" : "", "parse-names" : false, "suffix" : "" }, { "dropping-particle" : "", "family" : "Krishnan", "given" : "Uma Maheswari", "non-dropping-particle" : "", "parse-names" : false, "suffix" : "" }, { "dropping-particle" : "", "family" : "Sethuraman", "given" : "Swaminathan", "non-dropping-particle" : "", "parse-names" : false, "suffix" : "" } ], "container-title" : "Expert Opinion on Biological Therapy", "id" : "ITEM-1", "issue" : "March", "issued" : { "date-parts" : [ [ "2012" ] ] }, "page" : "1-18", "title" : "Living cardiac patch: The elixir for cardiac regeneration", "type" : "article-journal", "volume" : "2598" }, "uris" : [ "http://www.mendeley.com/documents/?uuid=354278cb-405a-4b67-a6f1-0d89617eac5d", "http://www.mendeley.com/documents/?uuid=0fcc6a9c-9ffd-4fd9-bdfc-458be099e622" ] } ], "mendeley" : { "formattedCitation" : "&lt;sup&gt;143&lt;/sup&gt;", "plainTextFormattedCitation" : "143", "previouslyFormattedCitation" : "&lt;sup&gt;142&lt;/sup&gt;"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143</w:t>
      </w:r>
      <w:r w:rsidRPr="00610A40">
        <w:rPr>
          <w:color w:val="auto"/>
          <w:szCs w:val="24"/>
        </w:rPr>
        <w:fldChar w:fldCharType="end"/>
      </w:r>
      <w:r w:rsidRPr="00610A40">
        <w:rPr>
          <w:color w:val="auto"/>
          <w:szCs w:val="24"/>
        </w:rPr>
        <w:t xml:space="preserve">. Therefore, in choosing the appropriate material as the scaffold, the </w:t>
      </w:r>
      <w:r w:rsidRPr="00610A40">
        <w:rPr>
          <w:color w:val="auto"/>
          <w:szCs w:val="24"/>
        </w:rPr>
        <w:lastRenderedPageBreak/>
        <w:t xml:space="preserve">mechanical properties and the fabrication technique used to generate a compatible porosity for cardiac cellular proliferation needs to be considered as an entire package. </w:t>
      </w:r>
      <w:r w:rsidR="00D84F0A" w:rsidRPr="00610A40">
        <w:rPr>
          <w:color w:val="auto"/>
          <w:szCs w:val="24"/>
        </w:rPr>
        <w:t>To better match the requirements of cardiac tissues, understanding of the properties of the cardiac tissues is necessary.</w:t>
      </w:r>
    </w:p>
    <w:p w14:paraId="13B8AA10" w14:textId="77777777" w:rsidR="00C427B7" w:rsidRPr="00610A40" w:rsidRDefault="00C427B7" w:rsidP="00086775">
      <w:pPr>
        <w:rPr>
          <w:color w:val="auto"/>
          <w:szCs w:val="24"/>
        </w:rPr>
      </w:pPr>
    </w:p>
    <w:p w14:paraId="2E60DE49" w14:textId="4703B748" w:rsidR="00C427B7" w:rsidRPr="00610A40" w:rsidRDefault="00C427B7" w:rsidP="00086775">
      <w:pPr>
        <w:rPr>
          <w:color w:val="auto"/>
          <w:szCs w:val="24"/>
        </w:rPr>
      </w:pPr>
      <w:r w:rsidRPr="00610A40">
        <w:rPr>
          <w:color w:val="auto"/>
          <w:szCs w:val="24"/>
        </w:rPr>
        <w:t xml:space="preserve">The stiffness of </w:t>
      </w:r>
      <w:r w:rsidR="00D71EDE" w:rsidRPr="00610A40">
        <w:rPr>
          <w:color w:val="auto"/>
          <w:szCs w:val="24"/>
        </w:rPr>
        <w:t xml:space="preserve">the native </w:t>
      </w:r>
      <w:r w:rsidRPr="00610A40">
        <w:rPr>
          <w:color w:val="auto"/>
          <w:szCs w:val="24"/>
        </w:rPr>
        <w:t xml:space="preserve">heart muscle is 10–20 </w:t>
      </w:r>
      <w:proofErr w:type="spellStart"/>
      <w:r w:rsidRPr="00610A40">
        <w:rPr>
          <w:color w:val="auto"/>
          <w:szCs w:val="24"/>
        </w:rPr>
        <w:t>kPa</w:t>
      </w:r>
      <w:proofErr w:type="spellEnd"/>
      <w:r w:rsidRPr="00610A40">
        <w:rPr>
          <w:color w:val="auto"/>
          <w:szCs w:val="24"/>
        </w:rPr>
        <w:t xml:space="preserve"> at the beginning of diastole, and 20–500 </w:t>
      </w:r>
      <w:proofErr w:type="spellStart"/>
      <w:r w:rsidRPr="00610A40">
        <w:rPr>
          <w:color w:val="auto"/>
          <w:szCs w:val="24"/>
        </w:rPr>
        <w:t>kPa</w:t>
      </w:r>
      <w:proofErr w:type="spellEnd"/>
      <w:r w:rsidRPr="00610A40">
        <w:rPr>
          <w:color w:val="auto"/>
          <w:szCs w:val="24"/>
        </w:rPr>
        <w:t xml:space="preserve"> at the end of diastole</w:t>
      </w:r>
      <w:r w:rsidRPr="00610A40">
        <w:rPr>
          <w:color w:val="auto"/>
          <w:szCs w:val="24"/>
        </w:rPr>
        <w:fldChar w:fldCharType="begin" w:fldLock="1"/>
      </w:r>
      <w:r w:rsidR="00565E2A" w:rsidRPr="00610A40">
        <w:rPr>
          <w:color w:val="auto"/>
          <w:szCs w:val="24"/>
        </w:rPr>
        <w:instrText>ADDIN CSL_CITATION { "citationItems" : [ { "id" : "ITEM-1", "itemData" : { "DOI" : "10.1007/BF01411563", "ISSN" : "0001-6268", "author" : [ { "dropping-particle" : "", "family" : "Verheggen", "given" : "R.", "non-dropping-particle" : "", "parse-names" : false, "suffix" : "" }, { "dropping-particle" : "", "family" : "Schulte-Baumann", "given" : "W. J.", "non-dropping-particle" : "", "parse-names" : false, "suffix" : "" }, { "dropping-particle" : "", "family" : "Hahm", "given" : "G.", "non-dropping-particle" : "", "parse-names" : false, "suffix" : "" }, { "dropping-particle" : "", "family" : "Lang", "given" : "J.", "non-dropping-particle" : "", "parse-names" : false, "suffix" : "" }, { "dropping-particle" : "", "family" : "Freudenthaler", "given" : "S.", "non-dropping-particle" : "", "parse-names" : false, "suffix" : "" }, { "dropping-particle" : "", "family" : "Schaake", "given" : "Th", "non-dropping-particle" : "", "parse-names" : false, "suffix" : "" }, { "dropping-particle" : "", "family" : "Markakis", "given" : "E.", "non-dropping-particle" : "", "parse-names" : false, "suffix" : "" } ], "container-title" : "Acta Neurochirurgica", "id" : "ITEM-1", "issue" : "11", "issued" : { "date-parts" : [ [ "1997", "11" ] ] }, "page" : "1074-1079", "publisher" : "Springer-Verlag", "title" : "A new technique of dural closure ? experience with a vicryl mesh", "type" : "article-journal", "volume" : "139" }, "uris" : [ "http://www.mendeley.com/documents/?uuid=5e80f855-4f22-3247-9228-0ce4a76895ac", "http://www.mendeley.com/documents/?uuid=0c5f07b6-158d-44ac-a217-4b4b635847de" ] }, { "id" : "ITEM-2", "itemData" : { "ISSN" : "1524-4571", "PMID" : "11029401", "abstract" : "Because the amount and structure of type I collagen are thought to affect the mechanics of ventricular myocardium, we investigated myocardial collagen structure and passive mechanical function in the osteogenesis imperfecta murine (oim) model of pro-alpha2(I) collagen deficiency, previously shown to have less collagen and impaired biomechanics in tendon and bone. Compared with wild-type littermates, homozygous oim hearts exhibited 35% lower collagen area fraction (P:&lt;0.05), 38% lower collagen fiber number density (P:&lt;0.05), and 42% smaller collagen fiber diameter (P:&lt;0.05). Compared with wild-type, oim left ventricular (LV) collagen concentration was 45% lower (P:&lt;0.0001) and nonreducible pyridinoline cross-link concentration was 22% higher (P:&lt;0.03). Mean LV volume during passive inflation from 0 to 30 mm Hg in isolated hearts was 1.4-fold larger for oim than wild-type (P:=NS). Uniaxial stress-strain relations in resting right ventricular papillary muscles exhibited 60% greater strains (P:&lt;0.01), 90% higher compliance (P:=0.05), and 64% higher nonlinearity (P:&lt;0.05) in oim. Mean opening angle, after relief of residual stresses in resting LV myocardium, was 121+/-9 degrees in oim compared with 45+/-4 degrees in wild-type (P:&lt;0.0001). Mean myofiber angle in oim was 23+/-8 degrees greater than wild-type (P:&lt;0.02). Decreased myocardial collagen diameter and amount in oim is associated with significantly decreased fiber and chamber stiffness despite modestly increased collagen cross-linking. Altered myofiber angles and residual stress may be beneficial adaptations to these mechanical alterations to maintain uniformity of transmural fiber strain. In addition to supporting and organizing myocytes, myocardial collagen contributes directly to ventricular stiffness at high and low loads and can influence stress-free state and myofiber architecture.", "author" : [ { "dropping-particle" : "", "family" : "Weis", "given" : "S M", "non-dropping-particle" : "", "parse-names" : false, "suffix" : "" }, { "dropping-particle" : "", "family" : "Emery", "given" : "J L", "non-dropping-particle" : "", "parse-names" : false, "suffix" : "" }, { "dropping-particle" : "", "family" : "Becker", "given" : "K D", "non-dropping-particle" : "", "parse-names" : false, "suffix" : "" }, { "dropping-particle" : "", "family" : "McBride", "given" : "D J", "non-dropping-particle" : "", "parse-names" : false, "suffix" : "" }, { "dropping-particle" : "", "family" : "Omens", "given" : "J H", "non-dropping-particle" : "", "parse-names" : false, "suffix" : "" }, { "dropping-particle" : "", "family" : "McCulloch", "given" : "A D", "non-dropping-particle" : "", "parse-names" : false, "suffix" : "" } ], "container-title" : "Circulation research", "id" : "ITEM-2", "issue" : "8", "issued" : { "date-parts" : [ [ "2000", "10" ] ] }, "page" : "663-9", "title" : "Myocardial mechanics and collagen structure in the osteogenesis imperfecta murine (oim).", "type" : "article-journal", "volume" : "87" }, "uris" : [ "http://www.mendeley.com/documents/?uuid=3c94adbd-9652-385c-a192-630171d041c3", "http://www.mendeley.com/documents/?uuid=d5c78713-af1a-48af-9289-823f1361dc71" ] }, { "id" : "ITEM-3", "itemData" : { "DOI" : "10.1016/S0079-6107(98)00025-X", "ISSN" : "00796107", "abstract" : "The response of the heart to altered hemodynamic loading is growth or remodeling of myocytes and the extracellular matrix. In order to describe and mathematically model this dynamic and complex system of growing and resorbing tissue, the stimulating factor for tissue growth must be found, and up to now is not known. Most evidence, both in tissue and at the cellular level, points to a mechanical factor as the stimulus, and most likely a deformation signal is transduced to initiate protein synthesis. At the cellular level mechanotransduction likely takes place at the cellular membrane, although multiple biochemical and mechanical pathways have been proposed which induce transcription in the nucleus and eventual protein upregulation. The results of a recent mathematical analysis based on experimental data suggest that end-diastolic fiber strain at the tissue level may be the stimulus to one mode of tissue growth: volume-overload hypertrophy. This is the only mechanical factor that we found to be normalized after volume overload hypertrophy. But other studies do not agree with this result, and other modes of hypertrophy may be regulated by different factors or combinations of factors.", "author" : [ { "dropping-particle" : "", "family" : "Omens", "given" : "Jeffrey H.", "non-dropping-particle" : "", "parse-names" : false, "suffix" : "" } ], "container-title" : "Progress in Biophysics and Molecular Biology", "id" : "ITEM-3", "issue" : "2", "issued" : { "date-parts" : [ [ "1998" ] ] }, "page" : "559-572", "title" : "Stress and strain as regulators of myocardial growth", "type" : "article-journal", "volume" : "69" }, "uris" : [ "http://www.mendeley.com/documents/?uuid=782de84f-bb56-32ab-b0d7-aeadb2d45050", "http://www.mendeley.com/documents/?uuid=64b8af63-b0ff-4598-a81f-d19d58a4373f" ] }, { "id" : "ITEM-4", "itemData" : { "ISSN" : "8750-7587", "PMID" : "9804579", "abstract" : "We investigated the hypothesis that diaphragm compliance was abnormal in cardiomyopathic Syrian hamsters (CSH), an experimental model of myopathy. The passive elastic properties of isolated diaphragm muscles were analyzed at both the muscle and sarcomere levels. We used the following passive exponential relationship between stress (sigma) and strain (epsilon): sigma = (Eo/beta) (ebetaepsilon - 1), where Eo is the initial elastic modulus and beta is the stiffness constant. Immunocytochemistry procedures were used to analyze the distribution of two key elastic components of muscle, extracellular collagen and intracellular titin elastic components, as well as the extracellular matrix glycoprotein laminin. Muscle and sarcomere values of beta were nearly twofold lower in CSH (8.7 +/- 1.9 and 8.3 +/- 1.4, respectively) than in control animals (19.7 +/- 1.7 and 16.8 +/- 2.1, respectively) (P &lt; 0.01 for each). Compared with controls, Eo was higher in CSH. Sarcomere slack length was significantly longer in CSH than in control animals (2.1 +/- 0.1 vs. 1.9 +/- 0.1 micrometer, P &lt; 0.05). The surface area of collagen I was significantly larger in CSH (17.4 +/- 1.8%) than in control animals (12.4 +/- 0.7%, P &lt; 0.05). There was no change in the distribution of titin or laminin labelings between the groups. These results demonstrate increased diaphragm compliance in cardiomyopathic hamsters. The increase in CSH diaphragm compliance was observed despite an increase in the surface area of collagen and was not associated with an abnormal distribution of titin or laminin.", "author" : [ { "dropping-particle" : "", "family" : "Coirault", "given" : "C", "non-dropping-particle" : "", "parse-names" : false, "suffix" : "" }, { "dropping-particle" : "", "family" : "Samuel", "given" : "J L", "non-dropping-particle" : "", "parse-names" : false, "suffix" : "" }, { "dropping-particle" : "", "family" : "Chemla", "given" : "D", "non-dropping-particle" : "", "parse-names" : false, "suffix" : "" }, { "dropping-particle" : "", "family" : "Pourny", "given" : "J C", "non-dropping-particle" : "", "parse-names" : false, "suffix" : "" }, { "dropping-particle" : "", "family" : "Lambert", "given" : "F", "non-dropping-particle" : "", "parse-names" : false, "suffix" : "" }, { "dropping-particle" : "", "family" : "Marotte", "given" : "F", "non-dropping-particle" : "", "parse-names" : false, "suffix" : "" }, { "dropping-particle" : "", "family" : "Lecarpentier", "given" : "Y", "non-dropping-particle" : "", "parse-names" : false, "suffix" : "" } ], "container-title" : "Journal of applied physiology (Bethesda, Md. : 1985)", "id" : "ITEM-4", "issue" : "5", "issued" : { "date-parts" : [ [ "1998", "11" ] ] }, "page" : "1762-9", "title" : "Increased compliance in diaphragm muscle of the cardiomyopathic Syrian hamster.", "type" : "article-journal", "volume" : "85" }, "uris" : [ "http://www.mendeley.com/documents/?uuid=863cb6d0-95c6-31e9-8060-bc4e4a03cb5d", "http://www.mendeley.com/documents/?uuid=ac87fff0-fa4c-4072-a578-fbcfc80e84e7" ] }, { "id" : "ITEM-5", "itemData" : { "DOI" : "10.1161/01.CIR.0000135591.37759.AF", "ISSN" : "1524-4539", "PMID" : "15238456", "abstract" : "BACKGROUND The role of the giant protein titin in patients with heart failure is not well established. We investigated titin expression in patients with end-stage heart failure resulting from nonischemic dilated cardiomyopathy, in particular as it relates to left ventricular (LV) myocardial stiffness and LV function. METHODS AND RESULTS SDS-agarose gels revealed small N2B (stiff) and large N2BA (compliant) cardiac titin isoforms with a mean N2BA:N2B expression ratio that was significantly (P&lt;0.003) increased in 20 heart failure patients versus 6 controls. However, total titin was unchanged. The coexpression ratio was highest in a subsample of patients with an impaired LV relaxation pattern (n=7), intermediate in those with pseudonormal filling (n=6), and lowest in the group with restrictive filling (n=7). Mechanical measurements on LV muscle strips dissected from these hearts (n=8) revealed that passive muscle stiffness was significantly reduced in patients with a high N2BA:N2B expression ratio. Clinical correlations support the relevance of these changes for LV function (assessed by invasive hemodynamics and Doppler echocardiography). A positive correlation between the N2BA:N2B titin isoform ratio and deceleration time of mitral E velocity, A wave transit time, and end diastolic volume/pressure ratio was found. These changes affect exercise tolerance, as indicated by the positive correlation between the N2BA:N2B isoform ratio and peak O2 consumption (n=10). Upregulated N2BA expression was accompanied by increased expression levels of titin-binding proteins (cardiac ankyrin repeat protein, ankrd2, and diabetes ankyrin repeat protein) that bind to the N2A element of N2BA titin (studied in 13 patients). CONCLUSIONS Total titin content was unchanged in end-stage failing hearts and the more compliant N2BA isoform comprised a greater percentage of titin in these hearts. Changes in titin isoform expression in heart failure patients with dilated cardiomyopathy significantly impact diastolic filling by lowering myocardial stiffness. Upregulation of titin-binding proteins indicates that the importance of altered titin expression might extend to cell signaling and regulation of gene expression.", "author" : [ { "dropping-particle" : "", "family" : "Nagueh", "given" : "Sherif F", "non-dropping-particle" : "", "parse-names" : false, "suffix" : "" }, { "dropping-particle" : "", "family" : "Shah", "given" : "Gopi", "non-dropping-particle" : "", "parse-names" : false, "suffix" : "" }, { "dropping-particle" : "", "family" : "Wu", "given" : "Yiming", "non-dropping-particle" : "", "parse-names" : false, "suffix" : "" }, { "dropping-particle" : "", "family" : "Torre-Amione", "given" : "Guillermo", "non-dropping-particle" : "", "parse-names" : false, "suffix" : "" }, { "dropping-particle" : "", "family" : "King", "given" : "Nicholas M P", "non-dropping-particle" : "", "parse-names" : false, "suffix" : "" }, { "dropping-particle" : "", "family" : "Lahmers", "given" : "Sunshine", "non-dropping-particle" : "", "parse-names" : false, "suffix" : "" }, { "dropping-particle" : "", "family" : "Witt", "given" : "Christian C", "non-dropping-particle" : "", "parse-names" : false, "suffix" : "" }, { "dropping-particle" : "", "family" : "Becker", "given" : "Katy", "non-dropping-particle" : "", "parse-names" : false, "suffix" : "" }, { "dropping-particle" : "", "family" : "Labeit", "given" : "Siegfried", "non-dropping-particle" : "", "parse-names" : false, "suffix" : "" }, { "dropping-particle" : "", "family" : "Granzier", "given" : "Henk L", "non-dropping-particle" : "", "parse-names" : false, "suffix" : "" } ], "container-title" : "Circulation", "id" : "ITEM-5", "issue" : "2", "issued" : { "date-parts" : [ [ "2004", "7" ] ] }, "page" : "155-62", "title" : "Altered titin expression, myocardial stiffness, and left ventricular function in patients with dilated cardiomyopathy.", "type" : "article-journal", "volume" : "110" }, "uris" : [ "http://www.mendeley.com/documents/?uuid=f4cda57c-1064-30a3-90e5-7c754c57988d", "http://www.mendeley.com/documents/?uuid=cd6bfe17-31ae-47c7-8ce1-99b144db838f" ] }, { "id" : "ITEM-6", "itemData" : { "DOI" : "10.1016/j.biomaterials.2007.09.010", "ISBN" : "0142-9612", "ISSN" : "01429612", "PMID" : "17915309", "abstract" : "The myocardial tissue lacks significant intrinsic regenerative capability to replace the lost cells. Therefore, the heart is a major target of research within the field of tissue engineering, which aims to replace infarcted myocardium and enhance cardiac function. The primary objective of this work was to develop a biocompatible, degradable and superelastic heart patch from poly(glycerol sebacate) (PGS). PGS was synthesised at 110, 120 and 130 \u00b0C by polycondensation of glycerol and sebacic acid with a mole ratio of 1:1. The investigation was focused on the mechanical and biodegrading behaviours of the developed PGS. PGS materials synthesised at 110, 120 and 130 \u00b0C have Young's moduli of 0.056, 0.22 and 1.2 MPa, respectively, which satisfy the mechanical requirements on the materials applied for the heart patch and 3D myocardial tissue engineering construction. Degradation assessment in phosphate buffered saline and Knockout\u2122 DMEM culture medium has demonstrated that the PGS has a wide range of degradability, from being degradable in a couple of weeks to being nearly inert. The matching of physical characteristics to those of the heart, the ability to fine tune degradation rates in biologically relevant media and initial data showing biocompatibility indicate that this material has promise for cardiac tissue engineering applications. \u00a9 2007 Elsevier Ltd. All rights reserved.", "author" : [ { "dropping-particle" : "", "family" : "Chen", "given" : "Qi Zhi", "non-dropping-particle" : "", "parse-names" : false, "suffix" : "" }, { "dropping-particle" : "", "family" : "Bismarck", "given" : "Alexander", "non-dropping-particle" : "", "parse-names" : false, "suffix" : "" }, { "dropping-particle" : "", "family" : "Hansen", "given" : "Ulrich", "non-dropping-particle" : "", "parse-names" : false, "suffix" : "" }, { "dropping-particle" : "", "family" : "Junaid", "given" : "Sarah", "non-dropping-particle" : "", "parse-names" : false, "suffix" : "" }, { "dropping-particle" : "", "family" : "Tran", "given" : "Michael Q.", "non-dropping-particle" : "", "parse-names" : false, "suffix" : "" }, { "dropping-particle" : "", "family" : "Harding", "given" : "Si\u00e2n E.", "non-dropping-particle" : "", "parse-names" : false, "suffix" : "" }, { "dropping-particle" : "", "family" : "Ali", "given" : "Nadire N.", "non-dropping-particle" : "", "parse-names" : false, "suffix" : "" }, { "dropping-particle" : "", "family" : "Boccaccini", "given" : "Aldo R.", "non-dropping-particle" : "", "parse-names" : false, "suffix" : "" } ], "container-title" : "Biomaterials", "id" : "ITEM-6", "issue" : "1", "issued" : { "date-parts" : [ [ "2008" ] ] }, "page" : "47-57", "title" : "Characterisation of a soft elastomer poly(glycerol sebacate) designed to match the mechanical properties of myocardial tissue", "type" : "article-journal", "volume" : "29" }, "uris" : [ "http://www.mendeley.com/documents/?uuid=6dd12a99-aaeb-45cd-866f-077b99f5ee24", "http://www.mendeley.com/documents/?uuid=6841d177-f26e-4e80-93df-49ec67a3886e" ] } ], "mendeley" : { "formattedCitation" : "&lt;sup&gt;144\u2013149&lt;/sup&gt;", "plainTextFormattedCitation" : "144\u2013149", "previouslyFormattedCitation" : "&lt;sup&gt;143\u2013148&lt;/sup&gt;"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144–149</w:t>
      </w:r>
      <w:r w:rsidRPr="00610A40">
        <w:rPr>
          <w:color w:val="auto"/>
          <w:szCs w:val="24"/>
        </w:rPr>
        <w:fldChar w:fldCharType="end"/>
      </w:r>
      <w:r w:rsidRPr="00610A40">
        <w:rPr>
          <w:color w:val="auto"/>
          <w:szCs w:val="24"/>
        </w:rPr>
        <w:t xml:space="preserve">. Another source reported the bulk modulus of post-mortem human left ventricles being 0.25 </w:t>
      </w:r>
      <w:proofErr w:type="spellStart"/>
      <w:r w:rsidRPr="00610A40">
        <w:rPr>
          <w:color w:val="auto"/>
          <w:szCs w:val="24"/>
        </w:rPr>
        <w:t>GPa</w:t>
      </w:r>
      <w:proofErr w:type="spellEnd"/>
      <w:r w:rsidRPr="00610A40">
        <w:rPr>
          <w:color w:val="auto"/>
          <w:szCs w:val="24"/>
        </w:rPr>
        <w:t xml:space="preserve"> and a tangent shear modulus of 60 – 148 </w:t>
      </w:r>
      <w:proofErr w:type="spellStart"/>
      <w:r w:rsidRPr="00610A40">
        <w:rPr>
          <w:color w:val="auto"/>
          <w:szCs w:val="24"/>
        </w:rPr>
        <w:t>kPa</w:t>
      </w:r>
      <w:proofErr w:type="spellEnd"/>
      <w:r w:rsidRPr="00610A40">
        <w:rPr>
          <w:color w:val="auto"/>
          <w:szCs w:val="24"/>
        </w:rPr>
        <w:t xml:space="preserve"> under dynamic loading of 300 – 1200 s</w:t>
      </w:r>
      <w:r w:rsidRPr="00610A40">
        <w:rPr>
          <w:color w:val="auto"/>
          <w:szCs w:val="24"/>
          <w:vertAlign w:val="superscript"/>
        </w:rPr>
        <w:t>-1</w:t>
      </w:r>
      <w:r w:rsidRPr="00610A40">
        <w:rPr>
          <w:color w:val="auto"/>
          <w:szCs w:val="24"/>
        </w:rPr>
        <w:t xml:space="preserve"> and 200 – 2800 s</w:t>
      </w:r>
      <w:r w:rsidRPr="00610A40">
        <w:rPr>
          <w:color w:val="auto"/>
          <w:szCs w:val="24"/>
          <w:vertAlign w:val="superscript"/>
        </w:rPr>
        <w:t>-1</w:t>
      </w:r>
      <w:r w:rsidRPr="00610A40">
        <w:rPr>
          <w:color w:val="auto"/>
          <w:szCs w:val="24"/>
        </w:rPr>
        <w:t xml:space="preserve"> respectively</w:t>
      </w:r>
      <w:r w:rsidRPr="00610A40">
        <w:rPr>
          <w:color w:val="auto"/>
          <w:szCs w:val="24"/>
        </w:rPr>
        <w:fldChar w:fldCharType="begin" w:fldLock="1"/>
      </w:r>
      <w:r w:rsidR="00565E2A" w:rsidRPr="00610A40">
        <w:rPr>
          <w:color w:val="auto"/>
          <w:szCs w:val="24"/>
        </w:rPr>
        <w:instrText>ADDIN CSL_CITATION { "citationItems" : [ { "id" : "ITEM-1", "itemData" : { "DOI" : "10.1016/j.jbiomech.2006.09.021", "ISBN" : "00219290 (ISSN)", "ISSN" : "00219290", "PMID" : "17125775", "abstract" : "The dynamic response of soft human tissues in hydrostatic compression and simple shear is studied using the Kolsky bar technique. We have made modifications to the technique that allow loading of a soft tissue specimen in hydrostatic compression or simple shear. The dynamic response of human tissues (from stomach, heart, liver, and lung of cadavers) is obtained, and analyzed to provide measures of dynamic bulk modulus and shear response for each tissue type. The dynamic bulk response of these tissues is easily described by a linear fit for the bulk modulus in this pressure range, whereas the dynamic shearing response of these tissues is strongly non-linear, showing a near exponential growth of the shear stress. ?? 2006 Elsevier Ltd. All rights reserved.", "author" : [ { "dropping-particle" : "", "family" : "Saraf", "given" : "H.", "non-dropping-particle" : "", "parse-names" : false, "suffix" : "" }, { "dropping-particle" : "", "family" : "Ramesh", "given" : "K. T.", "non-dropping-particle" : "", "parse-names" : false, "suffix" : "" }, { "dropping-particle" : "", "family" : "Lennon", "given" : "A. M.", "non-dropping-particle" : "", "parse-names" : false, "suffix" : "" }, { "dropping-particle" : "", "family" : "Merkle", "given" : "A. C.", "non-dropping-particle" : "", "parse-names" : false, "suffix" : "" }, { "dropping-particle" : "", "family" : "Roberts", "given" : "J. C.", "non-dropping-particle" : "", "parse-names" : false, "suffix" : "" } ], "container-title" : "Journal of Biomechanics", "id" : "ITEM-1", "issue" : "9", "issued" : { "date-parts" : [ [ "2007" ] ] }, "page" : "1960-1967", "title" : "Mechanical properties of soft human tissues under dynamic loading", "type" : "article-journal", "volume" : "40" }, "uris" : [ "http://www.mendeley.com/documents/?uuid=66e37dc7-752c-4407-a697-945d83378500", "http://www.mendeley.com/documents/?uuid=7c198686-6bbe-4a9f-a1e7-cf91f03e321e" ] }, { "id" : "ITEM-2", "itemData" : { "DOI" : "10.1517/14712598.2012.721770", "ISBN" : "9789241564373", "ISSN" : "1471-2598", "PMID" : "22954059", "abstract" : "INTRODUCTION: A thorough understanding of the cellular and muscle fiber orientation in left ventricular cardiac tissue is of paramount importance for the generation of artificial cardiac patches to treat the ischemic myocardium. The major challenge faced during cardiac patch engineering is to choose a perfect combination of three entities; cells, scaffolds and signaling molecules comprising the tissue engineering triad for repair and regeneration.\\n\\nAREAS COVERED: This review provides an overview of various scaffold materials, their mechanical properties and fabrication methods utilized in cardiac patch engineering. Stem cell therapies in clinical trials and the commercially available cardiac patch materials were summarized in an attempt to provide a recent perspective in the treatment of heart failure. Various tissue engineering strategies employed thus far to construct viable thick cardiac patches is schematically illustrated.\\n\\nEXPERT OPINION: Though many strategies have been proposed for fabrication of various cardiac scaffold materials, the stage and severity of the disease condition demands the incorporation of additional cues in a suitable scaffold material. The scaffold may be nanofibrous patch, hydrogel or custom designed films. Integration of stem cells and biomolecular cues along with the scaffold may provide the right microenvironment for the repair of unhealthy left ventricular tissue as well as promote its regeneration.", "author" : [ { "dropping-particle" : "", "family" : "Lakshmanan", "given" : "Rajesh", "non-dropping-particle" : "", "parse-names" : false, "suffix" : "" }, { "dropping-particle" : "", "family" : "Krishnan", "given" : "Uma Maheswari", "non-dropping-particle" : "", "parse-names" : false, "suffix" : "" }, { "dropping-particle" : "", "family" : "Sethuraman", "given" : "Swaminathan", "non-dropping-particle" : "", "parse-names" : false, "suffix" : "" } ], "container-title" : "Expert Opinion on Biological Therapy", "id" : "ITEM-2", "issue" : "March", "issued" : { "date-parts" : [ [ "2012" ] ] }, "page" : "1-18", "title" : "Living cardiac patch: The elixir for cardiac regeneration", "type" : "article-journal", "volume" : "2598" }, "uris" : [ "http://www.mendeley.com/documents/?uuid=0fcc6a9c-9ffd-4fd9-bdfc-458be099e622", "http://www.mendeley.com/documents/?uuid=354278cb-405a-4b67-a6f1-0d89617eac5d" ] } ], "mendeley" : { "formattedCitation" : "&lt;sup&gt;143,150&lt;/sup&gt;", "plainTextFormattedCitation" : "143,150", "previouslyFormattedCitation" : "&lt;sup&gt;142,149&lt;/sup&gt;"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143,150</w:t>
      </w:r>
      <w:r w:rsidRPr="00610A40">
        <w:rPr>
          <w:color w:val="auto"/>
          <w:szCs w:val="24"/>
        </w:rPr>
        <w:fldChar w:fldCharType="end"/>
      </w:r>
      <w:r w:rsidRPr="00610A40">
        <w:rPr>
          <w:color w:val="auto"/>
          <w:szCs w:val="24"/>
        </w:rPr>
        <w:t xml:space="preserve">. </w:t>
      </w:r>
      <w:bookmarkStart w:id="7" w:name="_Hlk488175450"/>
      <w:r w:rsidRPr="00610A40">
        <w:rPr>
          <w:color w:val="auto"/>
          <w:szCs w:val="24"/>
        </w:rPr>
        <w:t xml:space="preserve">The material </w:t>
      </w:r>
      <w:r w:rsidR="009F252C" w:rsidRPr="00610A40">
        <w:rPr>
          <w:color w:val="auto"/>
          <w:szCs w:val="24"/>
        </w:rPr>
        <w:t xml:space="preserve">chosen for cardiac patch </w:t>
      </w:r>
      <w:r w:rsidRPr="00610A40">
        <w:rPr>
          <w:color w:val="auto"/>
          <w:szCs w:val="24"/>
        </w:rPr>
        <w:t xml:space="preserve">should also be able to withstand cyclic mechanical strain </w:t>
      </w:r>
      <w:r w:rsidR="009F252C" w:rsidRPr="00610A40">
        <w:rPr>
          <w:color w:val="auto"/>
          <w:szCs w:val="24"/>
        </w:rPr>
        <w:t>as it goes through the extension and relaxation cycles along with a beating heart in vivo</w:t>
      </w:r>
      <w:r w:rsidRPr="00610A40">
        <w:rPr>
          <w:color w:val="auto"/>
          <w:szCs w:val="24"/>
        </w:rPr>
        <w:t>.</w:t>
      </w:r>
      <w:bookmarkEnd w:id="7"/>
    </w:p>
    <w:p w14:paraId="553C7261" w14:textId="77777777" w:rsidR="00C427B7" w:rsidRPr="00610A40" w:rsidRDefault="00C427B7" w:rsidP="00086775">
      <w:pPr>
        <w:rPr>
          <w:color w:val="auto"/>
          <w:szCs w:val="24"/>
        </w:rPr>
      </w:pPr>
    </w:p>
    <w:p w14:paraId="0AFCE79B" w14:textId="27812CFB" w:rsidR="00C427B7" w:rsidRPr="00610A40" w:rsidRDefault="00C427B7" w:rsidP="00086775">
      <w:pPr>
        <w:rPr>
          <w:color w:val="auto"/>
          <w:szCs w:val="24"/>
        </w:rPr>
      </w:pPr>
      <w:r w:rsidRPr="00610A40">
        <w:rPr>
          <w:color w:val="auto"/>
          <w:szCs w:val="24"/>
        </w:rPr>
        <w:t>Beside the material’s mechanical properties, a cardiac tissue engineering material should ideally completely degrade within 6 to 8 weeks in vivo to allow for tissue integration with the host without restricting further tissue regeneration over time</w:t>
      </w:r>
      <w:r w:rsidRPr="00610A40">
        <w:rPr>
          <w:color w:val="auto"/>
          <w:szCs w:val="24"/>
        </w:rPr>
        <w:fldChar w:fldCharType="begin" w:fldLock="1"/>
      </w:r>
      <w:r w:rsidR="00565E2A" w:rsidRPr="00610A40">
        <w:rPr>
          <w:color w:val="auto"/>
          <w:szCs w:val="24"/>
        </w:rPr>
        <w:instrText>ADDIN CSL_CITATION { "citationItems" : [ { "id" : "ITEM-1", "itemData" : { "DOI" : "10.1021/acsbiomaterials.5b00525", "ISSN" : "23739878", "abstract" : "Polyester biomaterials are used in tissue engineering as scaffolds for implantation of tissues developed in vitro. An ideal biodegradable elastomer for cardiac tissue engineering exhibits a relatively low Young\u2019s modulus, with high elongation and tensile strength. Here we describe a novel polyester biomaterial that exhibits improved elastic properties for cardiac tissue engineering applications. We synthesized poly(octamethylene maleate (anhydride) 1,2,4-butanetricarboxylate) (124 polymer) prepolymer gel in a one-step polycondensation reaction. The prepolymer was then molded as desired and exposed to ultraviolet (UV) light to produce a cross-linked elastomer. 124 polymer exhibited highly elastic properties under aqueous conditions that were tunable according to the UV light exposure, monomer composition, and porosity of the cured elastomer. Its elastomeric properties fell within the range of adult heart myocardium, but they could also be optimized for higher elasticity for weaker immature constructs. The polymer showed relatively stable degradation characteristics, both hydrolytically and in a cellular environment, suggesting maintenance of material properties as a scaffold support for potential tissue implants. When assessed for cell interaction, this polymer supported rat cardiac cell attachment in vitro as well as comparable acute in vivo host response when compared to poly(l-lactic acid) control. This suggests the potential applicability of this material as an elastomer for cardiac tissue engineered constructs. Polyester biomaterials are used in tissue engineering as scaffolds for implantation of tissues developed in vitro. An ideal biodegradable elastomer for cardiac tissue engineering exhibits a relatively low Young\u2019s modulus, with high elongation and tensile strength. Here we describe a novel polyester biomaterial that exhibits improved elastic properties for cardiac tissue engineering applications. We synthesized poly(octamethylene maleate (anhydride) 1,2,4-butanetricarboxylate) (124 polymer) prepolymer gel in a one-step polycondensation reaction. The prepolymer was then molded as desired and exposed to ultraviolet (UV) light to produce a cross-linked elastomer. 124 polymer exhibited highly elastic properties under aqueous conditions that were tunable according to the UV light exposure, monomer composition, and porosity of the cured elastomer. Its elastomeric properties fell within the range of adult heart myocardium, but they could also be opti\u2026", "author" : [ { "dropping-particle" : "", "family" : "Davenport Huyer", "given" : "Locke", "non-dropping-particle" : "", "parse-names" : false, "suffix" : "" }, { "dropping-particle" : "", "family" : "Zhang", "given" : "Boyang", "non-dropping-particle" : "", "parse-names" : false, "suffix" : "" }, { "dropping-particle" : "", "family" : "Korolj", "given" : "Anastasia", "non-dropping-particle" : "", "parse-names" : false, "suffix" : "" }, { "dropping-particle" : "", "family" : "Montgomery", "given" : "Miles", "non-dropping-particle" : "", "parse-names" : false, "suffix" : "" }, { "dropping-particle" : "", "family" : "Drecun", "given" : "Stasja", "non-dropping-particle" : "", "parse-names" : false, "suffix" : "" }, { "dropping-particle" : "", "family" : "Conant", "given" : "Genevieve", "non-dropping-particle" : "", "parse-names" : false, "suffix" : "" }, { "dropping-particle" : "", "family" : "Zhao", "given" : "Yimu", "non-dropping-particle" : "", "parse-names" : false, "suffix" : "" }, { "dropping-particle" : "", "family" : "Reis", "given" : "Lewis", "non-dropping-particle" : "", "parse-names" : false, "suffix" : "" }, { "dropping-particle" : "", "family" : "Radisic", "given" : "Milica", "non-dropping-particle" : "", "parse-names" : false, "suffix" : "" } ], "container-title" : "ACS Biomaterials Science and Engineering", "id" : "ITEM-1", "issue" : "5", "issued" : { "date-parts" : [ [ "2016" ] ] }, "page" : "780-788", "title" : "Highly Elastic and Moldable Polyester Biomaterial for Cardiac Tissue Engineering Applications", "type" : "article-journal", "volume" : "2" }, "uris" : [ "http://www.mendeley.com/documents/?uuid=4d431bbb-5e5e-47ad-9f1b-6afb7d086204", "http://www.mendeley.com/documents/?uuid=88bbc594-f8cf-4bbd-8cd0-163ad5f8fe30" ] } ], "mendeley" : { "formattedCitation" : "&lt;sup&gt;151&lt;/sup&gt;", "plainTextFormattedCitation" : "151", "previouslyFormattedCitation" : "&lt;sup&gt;150&lt;/sup&gt;"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151</w:t>
      </w:r>
      <w:r w:rsidRPr="00610A40">
        <w:rPr>
          <w:color w:val="auto"/>
          <w:szCs w:val="24"/>
        </w:rPr>
        <w:fldChar w:fldCharType="end"/>
      </w:r>
      <w:r w:rsidRPr="00610A40">
        <w:rPr>
          <w:color w:val="auto"/>
          <w:szCs w:val="24"/>
        </w:rPr>
        <w:t xml:space="preserve">. </w:t>
      </w:r>
    </w:p>
    <w:p w14:paraId="234DDC28" w14:textId="77777777" w:rsidR="00C427B7" w:rsidRPr="00610A40" w:rsidRDefault="00C427B7" w:rsidP="00086775">
      <w:pPr>
        <w:rPr>
          <w:color w:val="auto"/>
          <w:szCs w:val="24"/>
        </w:rPr>
      </w:pPr>
    </w:p>
    <w:p w14:paraId="7D03C2DE" w14:textId="0F291E10" w:rsidR="00C427B7" w:rsidRPr="00610A40" w:rsidRDefault="00C427B7" w:rsidP="00086775">
      <w:pPr>
        <w:rPr>
          <w:color w:val="auto"/>
          <w:szCs w:val="24"/>
        </w:rPr>
      </w:pPr>
      <w:r w:rsidRPr="00610A40">
        <w:rPr>
          <w:color w:val="auto"/>
          <w:szCs w:val="24"/>
        </w:rPr>
        <w:t xml:space="preserve">In order to allow for the diffusion of oxygen and nutrient required to support the growth of cardiac cells, in vivo cardiac patches tends to be about 100 </w:t>
      </w:r>
      <w:r w:rsidRPr="00610A40">
        <w:rPr>
          <w:rFonts w:ascii="Calibri" w:hAnsi="Calibri"/>
          <w:color w:val="auto"/>
          <w:szCs w:val="24"/>
        </w:rPr>
        <w:t>µ</w:t>
      </w:r>
      <w:r w:rsidRPr="00610A40">
        <w:rPr>
          <w:color w:val="auto"/>
          <w:szCs w:val="24"/>
        </w:rPr>
        <w:t>m thick</w:t>
      </w:r>
      <w:r w:rsidRPr="00610A40">
        <w:rPr>
          <w:color w:val="auto"/>
          <w:szCs w:val="24"/>
        </w:rPr>
        <w:fldChar w:fldCharType="begin" w:fldLock="1"/>
      </w:r>
      <w:r w:rsidR="00565E2A" w:rsidRPr="00610A40">
        <w:rPr>
          <w:color w:val="auto"/>
          <w:szCs w:val="24"/>
        </w:rPr>
        <w:instrText>ADDIN CSL_CITATION { "citationItems" : [ { "id" : "ITEM-1", "itemData" : { "author" : [ { "dropping-particle" : "", "family" : "Vunjak-novakovic", "given" : "Gordana", "non-dropping-particle" : "", "parse-names" : false, "suffix" : "" }, { "dropping-particle" : "", "family" : "Tandon", "given" : "Nina", "non-dropping-particle" : "", "parse-names" : false, "suffix" : "" }, { "dropping-particle" : "", "family" : "Godier", "given" : "Amandine", "non-dropping-particle" : "", "parse-names" : false, "suffix" : "" }, { "dropping-particle" : "", "family" : "Maidhof", "given" : "Robert", "non-dropping-particle" : "", "parse-names" : false, "suffix" : "" }, { "dropping-particle" : "", "family" : "Marsano", "given" : "Anna", "non-dropping-particle" : "", "parse-names" : false, "suffix" : "" }, { "dropping-particle" : "", "family" : "Martens", "given" : "Timothy P", "non-dropping-particle" : "", "parse-names" : false, "suffix" : "" }, { "dropping-particle" : "", "family" : "Radisic", "given" : "Milica", "non-dropping-particle" : "", "parse-names" : false, "suffix" : "" } ], "id" : "ITEM-1", "issue" : "2", "issued" : { "date-parts" : [ [ "2010" ] ] }, "title" : "Challenges in Cardiac Tissue Engineering", "type" : "article-journal", "volume" : "16" }, "uris" : [ "http://www.mendeley.com/documents/?uuid=5ebef4ac-0bce-4ef7-9a1f-82c9bc64e555", "http://www.mendeley.com/documents/?uuid=7ac93948-dc6b-4fd1-9484-f9f1653ec4c9" ] } ], "mendeley" : { "formattedCitation" : "&lt;sup&gt;152&lt;/sup&gt;", "plainTextFormattedCitation" : "152", "previouslyFormattedCitation" : "&lt;sup&gt;151&lt;/sup&gt;"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152</w:t>
      </w:r>
      <w:r w:rsidRPr="00610A40">
        <w:rPr>
          <w:color w:val="auto"/>
          <w:szCs w:val="24"/>
        </w:rPr>
        <w:fldChar w:fldCharType="end"/>
      </w:r>
      <w:r w:rsidRPr="00610A40">
        <w:rPr>
          <w:color w:val="auto"/>
          <w:szCs w:val="24"/>
        </w:rPr>
        <w:t xml:space="preserve">. This diffusion limit, however, may vary for different materials, as long as the structure supports sufficient mass transport to the cardiac cells. For instance, </w:t>
      </w:r>
      <w:proofErr w:type="spellStart"/>
      <w:r w:rsidRPr="00610A40">
        <w:rPr>
          <w:color w:val="auto"/>
          <w:szCs w:val="24"/>
        </w:rPr>
        <w:t>polyglycerol</w:t>
      </w:r>
      <w:proofErr w:type="spellEnd"/>
      <w:r w:rsidRPr="00610A40">
        <w:rPr>
          <w:color w:val="auto"/>
          <w:szCs w:val="24"/>
        </w:rPr>
        <w:t xml:space="preserve"> </w:t>
      </w:r>
      <w:proofErr w:type="spellStart"/>
      <w:r w:rsidRPr="00610A40">
        <w:rPr>
          <w:color w:val="auto"/>
          <w:szCs w:val="24"/>
        </w:rPr>
        <w:t>sebacate</w:t>
      </w:r>
      <w:proofErr w:type="spellEnd"/>
      <w:r w:rsidRPr="00610A40">
        <w:rPr>
          <w:color w:val="auto"/>
          <w:szCs w:val="24"/>
        </w:rPr>
        <w:t xml:space="preserve"> (PGS) should be used up to a maximum of 250 </w:t>
      </w:r>
      <w:r w:rsidRPr="00610A40">
        <w:rPr>
          <w:rFonts w:ascii="Calibri" w:hAnsi="Calibri"/>
          <w:color w:val="auto"/>
          <w:szCs w:val="24"/>
        </w:rPr>
        <w:t>µ</w:t>
      </w:r>
      <w:r w:rsidRPr="00610A40">
        <w:rPr>
          <w:color w:val="auto"/>
          <w:szCs w:val="24"/>
        </w:rPr>
        <w:t>m without mass transport concerns</w:t>
      </w:r>
      <w:r w:rsidRPr="00610A40">
        <w:rPr>
          <w:color w:val="auto"/>
          <w:szCs w:val="24"/>
        </w:rPr>
        <w:fldChar w:fldCharType="begin" w:fldLock="1"/>
      </w:r>
      <w:r w:rsidR="00565E2A" w:rsidRPr="00610A40">
        <w:rPr>
          <w:color w:val="auto"/>
          <w:szCs w:val="24"/>
        </w:rPr>
        <w:instrText>ADDIN CSL_CITATION { "citationItems" : [ { "id" : "ITEM-1", "itemData" : { "DOI" : "10.1038/nmat2316.Accordion-Like", "author" : [ { "dropping-particle" : "", "family" : "Jr", "given" : "George C Engelmayr", "non-dropping-particle" : "", "parse-names" : false, "suffix" : "" }, { "dropping-particle" : "", "family" : "Cheng", "given" : "Mingyu", "non-dropping-particle" : "", "parse-names" : false, "suffix" : "" }, { "dropping-particle" : "", "family" : "Bettinger", "given" : "Christopher J", "non-dropping-particle" : "", "parse-names" : false, "suffix" : "" }, { "dropping-particle" : "", "family" : "T", "given" : "Jeffrey", "non-dropping-particle" : "", "parse-names" : false, "suffix" : "" }, { "dropping-particle" : "", "family" : "Langer", "given" : "Robert", "non-dropping-particle" : "", "parse-names" : false, "suffix" : "" }, { "dropping-particle" : "", "family" : "Freed", "given" : "Lisa E", "non-dropping-particle" : "", "parse-names" : false, "suffix" : "" } ], "id" : "ITEM-1", "issue" : "12", "issued" : { "date-parts" : [ [ "2009" ] ] }, "page" : "1003-1010", "title" : "Accordion-Like Honeycombs for Tissue Engineering of Cardiac Anisotropy", "type" : "article-journal", "volume" : "7" }, "uris" : [ "http://www.mendeley.com/documents/?uuid=8b9e23e4-e5ba-413d-b505-32e3224a7a79", "http://www.mendeley.com/documents/?uuid=303b78a4-2b2a-4e95-bd7b-6c9f9a2aedca" ] } ], "mendeley" : { "formattedCitation" : "&lt;sup&gt;153&lt;/sup&gt;", "plainTextFormattedCitation" : "153", "previouslyFormattedCitation" : "&lt;sup&gt;152&lt;/sup&gt;"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153</w:t>
      </w:r>
      <w:r w:rsidRPr="00610A40">
        <w:rPr>
          <w:color w:val="auto"/>
          <w:szCs w:val="24"/>
        </w:rPr>
        <w:fldChar w:fldCharType="end"/>
      </w:r>
      <w:r w:rsidRPr="00610A40">
        <w:rPr>
          <w:color w:val="auto"/>
          <w:szCs w:val="24"/>
        </w:rPr>
        <w:t xml:space="preserve">. </w:t>
      </w:r>
    </w:p>
    <w:p w14:paraId="5C7D70E8" w14:textId="77777777" w:rsidR="00CC0F44" w:rsidRPr="00610A40" w:rsidRDefault="00CC0F44" w:rsidP="00086775">
      <w:pPr>
        <w:rPr>
          <w:color w:val="auto"/>
          <w:szCs w:val="24"/>
        </w:rPr>
      </w:pPr>
    </w:p>
    <w:p w14:paraId="56E9EAAA" w14:textId="6F54F2B3" w:rsidR="002E6723" w:rsidRPr="00610A40" w:rsidRDefault="00C427B7" w:rsidP="002E6723">
      <w:pPr>
        <w:rPr>
          <w:color w:val="auto"/>
          <w:szCs w:val="24"/>
        </w:rPr>
      </w:pPr>
      <w:r w:rsidRPr="00610A40">
        <w:rPr>
          <w:color w:val="auto"/>
          <w:szCs w:val="24"/>
        </w:rPr>
        <w:lastRenderedPageBreak/>
        <w:t xml:space="preserve">The thickness of the cardiac left ventricular wall ranges from 1 - 2 mm in the apex to 12 - 15 mm at the base. While there is a clear gap between the </w:t>
      </w:r>
      <w:proofErr w:type="gramStart"/>
      <w:r w:rsidRPr="00610A40">
        <w:rPr>
          <w:color w:val="auto"/>
          <w:szCs w:val="24"/>
        </w:rPr>
        <w:t>thickness</w:t>
      </w:r>
      <w:proofErr w:type="gramEnd"/>
      <w:r w:rsidRPr="00610A40">
        <w:rPr>
          <w:color w:val="auto"/>
          <w:szCs w:val="24"/>
        </w:rPr>
        <w:t xml:space="preserve"> of a viable patch to that of the actual heart, fabrication techniques</w:t>
      </w:r>
      <w:r w:rsidRPr="00610A40" w:rsidDel="00172D11">
        <w:rPr>
          <w:color w:val="auto"/>
          <w:szCs w:val="24"/>
        </w:rPr>
        <w:t xml:space="preserve"> </w:t>
      </w:r>
      <w:r w:rsidRPr="00610A40">
        <w:rPr>
          <w:color w:val="auto"/>
          <w:szCs w:val="24"/>
        </w:rPr>
        <w:t xml:space="preserve">may potentially narrow this gap. </w:t>
      </w:r>
      <w:r w:rsidR="00CC0F44" w:rsidRPr="00610A40">
        <w:rPr>
          <w:color w:val="auto"/>
          <w:szCs w:val="24"/>
        </w:rPr>
        <w:t>Strategies</w:t>
      </w:r>
      <w:r w:rsidRPr="00610A40">
        <w:rPr>
          <w:color w:val="auto"/>
          <w:szCs w:val="24"/>
        </w:rPr>
        <w:t xml:space="preserve">, such as the </w:t>
      </w:r>
      <w:r w:rsidR="00CC0F44" w:rsidRPr="00610A40">
        <w:rPr>
          <w:color w:val="auto"/>
          <w:szCs w:val="24"/>
        </w:rPr>
        <w:t xml:space="preserve">fabrication of micro-sized </w:t>
      </w:r>
      <w:r w:rsidRPr="00610A40">
        <w:rPr>
          <w:color w:val="auto"/>
          <w:szCs w:val="24"/>
        </w:rPr>
        <w:t>T-shaped hook, could be used to stack layers of poly(</w:t>
      </w:r>
      <w:proofErr w:type="spellStart"/>
      <w:r w:rsidRPr="00610A40">
        <w:rPr>
          <w:color w:val="auto"/>
          <w:szCs w:val="24"/>
        </w:rPr>
        <w:t>ocatamethylene</w:t>
      </w:r>
      <w:proofErr w:type="spellEnd"/>
      <w:r w:rsidRPr="00610A40">
        <w:rPr>
          <w:color w:val="auto"/>
          <w:szCs w:val="24"/>
        </w:rPr>
        <w:t xml:space="preserve"> maleate(</w:t>
      </w:r>
      <w:proofErr w:type="spellStart"/>
      <w:r w:rsidRPr="00610A40">
        <w:rPr>
          <w:color w:val="auto"/>
          <w:szCs w:val="24"/>
        </w:rPr>
        <w:t>anyhydride</w:t>
      </w:r>
      <w:proofErr w:type="spellEnd"/>
      <w:r w:rsidRPr="00610A40">
        <w:rPr>
          <w:color w:val="auto"/>
          <w:szCs w:val="24"/>
        </w:rPr>
        <w:t>)citrate) (</w:t>
      </w:r>
      <w:proofErr w:type="spellStart"/>
      <w:r w:rsidRPr="00610A40">
        <w:rPr>
          <w:color w:val="auto"/>
          <w:szCs w:val="24"/>
        </w:rPr>
        <w:t>POMaC</w:t>
      </w:r>
      <w:proofErr w:type="spellEnd"/>
      <w:r w:rsidRPr="00610A40">
        <w:rPr>
          <w:color w:val="auto"/>
          <w:szCs w:val="24"/>
        </w:rPr>
        <w:t xml:space="preserve">) cardiac scaffolds up to a thickness of 712 ± 7 </w:t>
      </w:r>
      <w:r w:rsidRPr="00610A40">
        <w:rPr>
          <w:rFonts w:ascii="Calibri" w:hAnsi="Calibri"/>
          <w:color w:val="auto"/>
          <w:szCs w:val="24"/>
        </w:rPr>
        <w:t>µ</w:t>
      </w:r>
      <w:r w:rsidRPr="00610A40">
        <w:rPr>
          <w:color w:val="auto"/>
          <w:szCs w:val="24"/>
        </w:rPr>
        <w:t>m</w:t>
      </w:r>
      <w:r w:rsidRPr="00610A40" w:rsidDel="00D75E9E">
        <w:rPr>
          <w:color w:val="auto"/>
          <w:szCs w:val="24"/>
        </w:rPr>
        <w:t xml:space="preserve"> </w:t>
      </w:r>
      <w:r w:rsidRPr="00610A40">
        <w:rPr>
          <w:color w:val="auto"/>
          <w:szCs w:val="24"/>
        </w:rPr>
        <w:t>in a three-layered structure</w:t>
      </w:r>
      <w:r w:rsidRPr="00610A40">
        <w:rPr>
          <w:color w:val="auto"/>
          <w:szCs w:val="24"/>
        </w:rPr>
        <w:fldChar w:fldCharType="begin" w:fldLock="1"/>
      </w:r>
      <w:r w:rsidR="00565E2A" w:rsidRPr="00610A40">
        <w:rPr>
          <w:color w:val="auto"/>
          <w:szCs w:val="24"/>
        </w:rPr>
        <w:instrText>ADDIN CSL_CITATION { "citationItems" : [ { "id" : "ITEM-1", "itemData" : { "DOI" : "10.1126/sciadv.1500423", "ISSN" : "2375-2548", "PMID" : "26601234", "abstract" : "Engineering mature tissues requires a guided assembly of cells into organized three-dimensional (3D) structures with multiple cell types. Guidance is usually achieved by microtopographical scaffold cues or by cell-gel compaction. The assembly of individual units into functional 3D tissues is often time-consuming, relying on cell ingrowth and matrix remodeling, whereas disassembly requires an invasive method that includes either matrix dissolution or mechanical cutting. We invented Tissue-Velcro, a bio-scaffold with a microfabricated hook and loop system. The assembly of Tissue-Velcro preserved the guided cell alignment realized by the topographical features in the 2D scaffold mesh and allowed for the instant establishment of coculture conditions by spatially defined stacking of cardiac cell layers or through endothelial cell coating. The assembled cardiac 3D tissue constructs were immediately functional as measured by their ability to contract in response to electrical field stimulation. Facile, on-demand tissue disassembly was demonstrated while preserving the structure, physical integrity, and beating function of individual layers.", "author" : [ { "dropping-particle" : "", "family" : "Zhang", "given" : "B.", "non-dropping-particle" : "", "parse-names" : false, "suffix" : "" }, { "dropping-particle" : "", "family" : "Montgomery", "given" : "M.", "non-dropping-particle" : "", "parse-names" : false, "suffix" : "" }, { "dropping-particle" : "", "family" : "Davenport-Huyer", "given" : "L.", "non-dropping-particle" : "", "parse-names" : false, "suffix" : "" }, { "dropping-particle" : "", "family" : "Korolj", "given" : "A.", "non-dropping-particle" : "", "parse-names" : false, "suffix" : "" }, { "dropping-particle" : "", "family" : "Radisic", "given" : "M.", "non-dropping-particle" : "", "parse-names" : false, "suffix" : "" } ], "container-title" : "Science Advances", "id" : "ITEM-1", "issue" : "7", "issued" : { "date-parts" : [ [ "2015" ] ] }, "page" : "e1500423-e1500423", "title" : "Platform technology for scalable assembly of instantaneously functional mosaic tissues", "type" : "article-journal", "volume" : "1" }, "uris" : [ "http://www.mendeley.com/documents/?uuid=42854309-a4c1-4b56-ae95-4980d3ba7ce7", "http://www.mendeley.com/documents/?uuid=3df52aad-9750-495f-8086-b67ec7dd5cd7" ] } ], "mendeley" : { "formattedCitation" : "&lt;sup&gt;154&lt;/sup&gt;", "plainTextFormattedCitation" : "154", "previouslyFormattedCitation" : "&lt;sup&gt;153&lt;/sup&gt;"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154</w:t>
      </w:r>
      <w:r w:rsidRPr="00610A40">
        <w:rPr>
          <w:color w:val="auto"/>
          <w:szCs w:val="24"/>
        </w:rPr>
        <w:fldChar w:fldCharType="end"/>
      </w:r>
      <w:r w:rsidR="009C1222" w:rsidRPr="00610A40">
        <w:rPr>
          <w:color w:val="auto"/>
          <w:szCs w:val="24"/>
        </w:rPr>
        <w:t xml:space="preserve">. </w:t>
      </w:r>
      <w:r w:rsidRPr="00610A40">
        <w:rPr>
          <w:color w:val="auto"/>
          <w:szCs w:val="24"/>
        </w:rPr>
        <w:t>On the cellular scale, the porosity of the tissue scaffold plays a major role in the success of the tissue culture. As myocardium is a dense tissue and requires the close interconnection</w:t>
      </w:r>
      <w:r w:rsidR="00CC0F44" w:rsidRPr="00610A40">
        <w:rPr>
          <w:color w:val="auto"/>
          <w:szCs w:val="24"/>
        </w:rPr>
        <w:t>s</w:t>
      </w:r>
      <w:r w:rsidRPr="00610A40">
        <w:rPr>
          <w:color w:val="auto"/>
          <w:szCs w:val="24"/>
        </w:rPr>
        <w:t xml:space="preserve"> of many </w:t>
      </w:r>
      <w:proofErr w:type="spellStart"/>
      <w:r w:rsidRPr="00610A40">
        <w:rPr>
          <w:color w:val="auto"/>
          <w:szCs w:val="24"/>
        </w:rPr>
        <w:t>cardiomyocytes</w:t>
      </w:r>
      <w:proofErr w:type="spellEnd"/>
      <w:r w:rsidRPr="00610A40">
        <w:rPr>
          <w:color w:val="auto"/>
          <w:szCs w:val="24"/>
        </w:rPr>
        <w:t xml:space="preserve"> in order to contract in unison, the cardiac scaffolds needs to have a high degree of porosity</w:t>
      </w:r>
      <w:r w:rsidRPr="00610A40">
        <w:rPr>
          <w:color w:val="auto"/>
          <w:szCs w:val="24"/>
        </w:rPr>
        <w:fldChar w:fldCharType="begin" w:fldLock="1"/>
      </w:r>
      <w:r w:rsidR="00565E2A" w:rsidRPr="00610A40">
        <w:rPr>
          <w:color w:val="auto"/>
          <w:szCs w:val="24"/>
        </w:rPr>
        <w:instrText>ADDIN CSL_CITATION { "citationItems" : [ { "id" : "ITEM-1", "itemData" : { "ISBN" : "9781118843437", "abstract" : "\"Society for Biomaterials.\" ECM-inspired chemical cues : biomimetic molecules and techniques of immobilization / Roger Y. Tam, Shawn C. Owen and Molly S. Shoichet -- Dynamic materials mimic developmental and disease changes in tissues / Matthew G. Ondeck and Adam J. Engler -- The role of mechanical cues in regulating cellular activities and guiding tissue development / Liming Bian -- Contribution of physical forces to the design of biomimetic tissue substitutes / M. Ermis, E.T. Baran, T. Dursun, E. Antmen and V. Hasirci -- Cellular responses to engineered bio-inspired topographic cues / Chelsea M. Kirschner, James F. Schumacher and Anthony B. Brennan -- Engineering the mechanical and growth factor signaling roles of fibronectin fibrils / Christopher A. Lemmon -- Biologic scaffolds composed of extracellular matrix as a natural material for wound healing / Stephen Badylak -- Bio-inspired integration of natural materials / Albino Martins, Marta Alves da Silva, Ana Costa-Pinto, Rui L. Reis and Nuno M. Neves -- Bio-inspired design of skin replacement therapies / Dennis P. Orgill -- Epithelial engineering: from sheets to branched tubes / Hye Young Kim and Celeste M. Nelson -- A biomimetic approach toward the fabrication of epithelial-like tissue / Meng Xu and Hongjun Wang -- Nano- and micro-structured ECM and biomimetic scaffolds for cardiac tissue engineering / Quentin Jallerat, John M. Szymanski and Adam W. Feinberg -- Cardiovascular biomaterials / Elaine L. Lee and Joyce Y. Wong -- Evaluation of bio-inspired materials for mineralized tissue regeneration using type I collagen reporter cells / Lisa T. Kuhn, Emily Jacobs, and A. Jon Goldberg -- Learning from tissue equivalents : biomechanics and mechanobiology / David D. Simon and Jay D. Humphrey -- Mimicking the hematopoietic stem cell niche by biomaterials approaches / Eike Mu\u0308ller, Michael Ansorge, Carsten Werner and Tilo Pompe -- Engineering immune responses to allografts / Anthony W. Frei and Cherie L. Stabler -- Immunomimetic materials / Jamal S. Lewis and Benjamin G. Keselowsky.", "author" : [ { "dropping-particle" : "", "family" : "Brennan", "given" : "Anthony B.", "non-dropping-particle" : "", "parse-names" : false, "suffix" : "" }, { "dropping-particle" : "", "family" : "Kirschner", "given" : "Chelsea M.", "non-dropping-particle" : "", "parse-names" : false, "suffix" : "" }, { "dropping-particle" : "", "family" : "Society for Biomaterials.", "given" : "", "non-dropping-particle" : "", "parse-names" : false, "suffix" : "" } ], "id" : "ITEM-1", "issued" : { "date-parts" : [ [ "0" ] ] }, "title" : "Bio-inspired materials for biomedical engineering", "type" : "book" }, "uris" : [ "http://www.mendeley.com/documents/?uuid=ef0fbbe5-feec-30a3-8c86-8f5b6a8403ea", "http://www.mendeley.com/documents/?uuid=1d9eb4ef-4948-4362-8daf-58d938b0c7e9" ] } ], "mendeley" : { "formattedCitation" : "&lt;sup&gt;155&lt;/sup&gt;", "plainTextFormattedCitation" : "155", "previouslyFormattedCitation" : "&lt;sup&gt;154&lt;/sup&gt;"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155</w:t>
      </w:r>
      <w:r w:rsidRPr="00610A40">
        <w:rPr>
          <w:color w:val="auto"/>
          <w:szCs w:val="24"/>
        </w:rPr>
        <w:fldChar w:fldCharType="end"/>
      </w:r>
      <w:r w:rsidRPr="00610A40">
        <w:rPr>
          <w:color w:val="auto"/>
          <w:szCs w:val="24"/>
        </w:rPr>
        <w:t>. Based on the ECM density in the heart, a cardiac scaffold requires a porosity of &gt;90% to sustain high cell density</w:t>
      </w:r>
      <w:r w:rsidRPr="00610A40">
        <w:rPr>
          <w:color w:val="auto"/>
          <w:szCs w:val="24"/>
        </w:rPr>
        <w:fldChar w:fldCharType="begin" w:fldLock="1"/>
      </w:r>
      <w:r w:rsidR="00565E2A" w:rsidRPr="00610A40">
        <w:rPr>
          <w:color w:val="auto"/>
          <w:szCs w:val="24"/>
        </w:rPr>
        <w:instrText>ADDIN CSL_CITATION { "citationItems" : [ { "id" : "ITEM-1", "itemData" : { "ISBN" : "9781118843437", "abstract" : "\"Society for Biomaterials.\" ECM-inspired chemical cues : biomimetic molecules and techniques of immobilization / Roger Y. Tam, Shawn C. Owen and Molly S. Shoichet -- Dynamic materials mimic developmental and disease changes in tissues / Matthew G. Ondeck and Adam J. Engler -- The role of mechanical cues in regulating cellular activities and guiding tissue development / Liming Bian -- Contribution of physical forces to the design of biomimetic tissue substitutes / M. Ermis, E.T. Baran, T. Dursun, E. Antmen and V. Hasirci -- Cellular responses to engineered bio-inspired topographic cues / Chelsea M. Kirschner, James F. Schumacher and Anthony B. Brennan -- Engineering the mechanical and growth factor signaling roles of fibronectin fibrils / Christopher A. Lemmon -- Biologic scaffolds composed of extracellular matrix as a natural material for wound healing / Stephen Badylak -- Bio-inspired integration of natural materials / Albino Martins, Marta Alves da Silva, Ana Costa-Pinto, Rui L. Reis and Nuno M. Neves -- Bio-inspired design of skin replacement therapies / Dennis P. Orgill -- Epithelial engineering: from sheets to branched tubes / Hye Young Kim and Celeste M. Nelson -- A biomimetic approach toward the fabrication of epithelial-like tissue / Meng Xu and Hongjun Wang -- Nano- and micro-structured ECM and biomimetic scaffolds for cardiac tissue engineering / Quentin Jallerat, John M. Szymanski and Adam W. Feinberg -- Cardiovascular biomaterials / Elaine L. Lee and Joyce Y. Wong -- Evaluation of bio-inspired materials for mineralized tissue regeneration using type I collagen reporter cells / Lisa T. Kuhn, Emily Jacobs, and A. Jon Goldberg -- Learning from tissue equivalents : biomechanics and mechanobiology / David D. Simon and Jay D. Humphrey -- Mimicking the hematopoietic stem cell niche by biomaterials approaches / Eike Mu\u0308ller, Michael Ansorge, Carsten Werner and Tilo Pompe -- Engineering immune responses to allografts / Anthony W. Frei and Cherie L. Stabler -- Immunomimetic materials / Jamal S. Lewis and Benjamin G. Keselowsky.", "author" : [ { "dropping-particle" : "", "family" : "Brennan", "given" : "Anthony B.", "non-dropping-particle" : "", "parse-names" : false, "suffix" : "" }, { "dropping-particle" : "", "family" : "Kirschner", "given" : "Chelsea M.", "non-dropping-particle" : "", "parse-names" : false, "suffix" : "" }, { "dropping-particle" : "", "family" : "Society for Biomaterials.", "given" : "", "non-dropping-particle" : "", "parse-names" : false, "suffix" : "" } ], "id" : "ITEM-1", "issued" : { "date-parts" : [ [ "0" ] ] }, "title" : "Bio-inspired materials for biomedical engineering", "type" : "book" }, "uris" : [ "http://www.mendeley.com/documents/?uuid=1d9eb4ef-4948-4362-8daf-58d938b0c7e9", "http://www.mendeley.com/documents/?uuid=ef0fbbe5-feec-30a3-8c86-8f5b6a8403ea" ] } ], "mendeley" : { "formattedCitation" : "&lt;sup&gt;155&lt;/sup&gt;", "plainTextFormattedCitation" : "155", "previouslyFormattedCitation" : "&lt;sup&gt;154&lt;/sup&gt;"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155</w:t>
      </w:r>
      <w:r w:rsidRPr="00610A40">
        <w:rPr>
          <w:color w:val="auto"/>
          <w:szCs w:val="24"/>
        </w:rPr>
        <w:fldChar w:fldCharType="end"/>
      </w:r>
      <w:r w:rsidRPr="00610A40">
        <w:rPr>
          <w:color w:val="auto"/>
          <w:szCs w:val="24"/>
        </w:rPr>
        <w:t xml:space="preserve">. It was measured that the average pore size of </w:t>
      </w:r>
      <w:r w:rsidR="00CC0F44" w:rsidRPr="00610A40">
        <w:rPr>
          <w:color w:val="auto"/>
          <w:szCs w:val="24"/>
        </w:rPr>
        <w:t xml:space="preserve">the </w:t>
      </w:r>
      <w:r w:rsidRPr="00610A40">
        <w:rPr>
          <w:color w:val="auto"/>
          <w:szCs w:val="24"/>
        </w:rPr>
        <w:t xml:space="preserve">native and </w:t>
      </w:r>
      <w:proofErr w:type="spellStart"/>
      <w:r w:rsidRPr="00610A40">
        <w:rPr>
          <w:color w:val="auto"/>
          <w:szCs w:val="24"/>
        </w:rPr>
        <w:t>decellularized</w:t>
      </w:r>
      <w:proofErr w:type="spellEnd"/>
      <w:r w:rsidRPr="00610A40">
        <w:rPr>
          <w:color w:val="auto"/>
          <w:szCs w:val="24"/>
        </w:rPr>
        <w:t xml:space="preserve"> ventricular tissues was 0.0019</w:t>
      </w:r>
      <w:r w:rsidR="009C1222" w:rsidRPr="00610A40">
        <w:rPr>
          <w:color w:val="auto"/>
          <w:szCs w:val="24"/>
        </w:rPr>
        <w:t xml:space="preserve"> </w:t>
      </w:r>
      <w:r w:rsidRPr="00610A40">
        <w:rPr>
          <w:color w:val="auto"/>
          <w:szCs w:val="24"/>
        </w:rPr>
        <w:t>± 0.0018</w:t>
      </w:r>
      <w:r w:rsidR="009C1222" w:rsidRPr="00610A40">
        <w:rPr>
          <w:color w:val="auto"/>
          <w:szCs w:val="24"/>
        </w:rPr>
        <w:t xml:space="preserve"> </w:t>
      </w:r>
      <w:r w:rsidRPr="00610A40">
        <w:rPr>
          <w:color w:val="auto"/>
          <w:szCs w:val="24"/>
        </w:rPr>
        <w:t>mm</w:t>
      </w:r>
      <w:r w:rsidRPr="00610A40">
        <w:rPr>
          <w:color w:val="auto"/>
          <w:szCs w:val="24"/>
          <w:vertAlign w:val="superscript"/>
        </w:rPr>
        <w:t>2</w:t>
      </w:r>
      <w:r w:rsidRPr="00610A40">
        <w:rPr>
          <w:color w:val="auto"/>
          <w:szCs w:val="24"/>
        </w:rPr>
        <w:t xml:space="preserve"> and 0.1355</w:t>
      </w:r>
      <w:r w:rsidR="009C1222" w:rsidRPr="00610A40">
        <w:rPr>
          <w:color w:val="auto"/>
          <w:szCs w:val="24"/>
        </w:rPr>
        <w:t xml:space="preserve"> </w:t>
      </w:r>
      <w:r w:rsidRPr="00610A40">
        <w:rPr>
          <w:color w:val="auto"/>
          <w:szCs w:val="24"/>
        </w:rPr>
        <w:t>± 0.078</w:t>
      </w:r>
      <w:r w:rsidR="009C1222" w:rsidRPr="00610A40">
        <w:rPr>
          <w:color w:val="auto"/>
          <w:szCs w:val="24"/>
        </w:rPr>
        <w:t xml:space="preserve"> </w:t>
      </w:r>
      <w:r w:rsidRPr="00610A40">
        <w:rPr>
          <w:color w:val="auto"/>
          <w:szCs w:val="24"/>
        </w:rPr>
        <w:t>mm</w:t>
      </w:r>
      <w:r w:rsidRPr="00610A40">
        <w:rPr>
          <w:color w:val="auto"/>
          <w:szCs w:val="24"/>
          <w:vertAlign w:val="superscript"/>
        </w:rPr>
        <w:t>2</w:t>
      </w:r>
      <w:r w:rsidRPr="00610A40">
        <w:rPr>
          <w:color w:val="auto"/>
          <w:szCs w:val="24"/>
        </w:rPr>
        <w:t>, respectively</w:t>
      </w:r>
      <w:r w:rsidRPr="00610A40">
        <w:rPr>
          <w:color w:val="auto"/>
          <w:szCs w:val="24"/>
        </w:rPr>
        <w:fldChar w:fldCharType="begin" w:fldLock="1"/>
      </w:r>
      <w:r w:rsidR="00565E2A" w:rsidRPr="00610A40">
        <w:rPr>
          <w:color w:val="auto"/>
          <w:szCs w:val="24"/>
        </w:rPr>
        <w:instrText>ADDIN CSL_CITATION { "citationItems" : [ { "id" : "ITEM-1", "itemData" : { "DOI" : "10.1097/MAT.0000000000000158", "ISSN" : "1538-943X", "PMID" : "25248038", "abstract" : "Current therapies in left ventricular systolic dysfunction and end-stage heart failure include mechanical assist devices or transplant. The development of a tissue-engineered integrative platform would present a therapeutic option that overcomes the limitations associated with current treatment modalities. This study provides a foundation for the fabrication and preliminary viability of the acellular ventricular extracellular matrix (AVEM) model. Acellular ventricular extracellular matrix was fabricated by culturing 4 million rat neonatal cardiac cells around an excised acellular ventricular segment. Acellular ventricular extracellular matrix generated a maximum spontaneous contractile force of 388.3 \u03bcN and demonstrated a Frank-Starling relationship at varying pretensions. Histologic assessment displayed cell cohesion and adhesion within the AVEM as a result of passive cell seeding.", "author" : [ { "dropping-particle" : "", "family" : "Patel", "given" : "Nikita M", "non-dropping-particle" : "", "parse-names" : false, "suffix" : "" }, { "dropping-particle" : "", "family" : "Tao", "given" : "Ze-Wei", "non-dropping-particle" : "", "parse-names" : false, "suffix" : "" }, { "dropping-particle" : "", "family" : "Mohamed", "given" : "Mohamed A", "non-dropping-particle" : "", "parse-names" : false, "suffix" : "" }, { "dropping-particle" : "", "family" : "Hogan", "given" : "Matt K", "non-dropping-particle" : "", "parse-names" : false, "suffix" : "" }, { "dropping-particle" : "", "family" : "Gutierrez", "given" : "Laura", "non-dropping-particle" : "", "parse-names" : false, "suffix" : "" }, { "dropping-particle" : "", "family" : "Birla", "given" : "Ravi K", "non-dropping-particle" : "", "parse-names" : false, "suffix" : "" } ], "container-title" : "ASAIO journal (American Society for Artificial Internal Organs : 1992)", "id" : "ITEM-1", "issue" : "1", "issued" : { "date-parts" : [ [ "2015" ] ] }, "page" : "61-70", "publisher" : "NIH Public Access", "title" : "Engineering 3D bio-artificial heart muscle: the acellular ventricular extracellular matrix model.", "type" : "article-journal", "volume" : "61" }, "uris" : [ "http://www.mendeley.com/documents/?uuid=7e0e148a-a55b-307e-8c19-90d065ebe653", "http://www.mendeley.com/documents/?uuid=9ccac657-2d6b-4344-9223-6ccd4b5af60b" ] } ], "mendeley" : { "formattedCitation" : "&lt;sup&gt;156&lt;/sup&gt;", "plainTextFormattedCitation" : "156", "previouslyFormattedCitation" : "&lt;sup&gt;155&lt;/sup&gt;"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156</w:t>
      </w:r>
      <w:r w:rsidRPr="00610A40">
        <w:rPr>
          <w:color w:val="auto"/>
          <w:szCs w:val="24"/>
        </w:rPr>
        <w:fldChar w:fldCharType="end"/>
      </w:r>
      <w:r w:rsidRPr="00610A40">
        <w:rPr>
          <w:color w:val="auto"/>
          <w:szCs w:val="24"/>
        </w:rPr>
        <w:t xml:space="preserve">. </w:t>
      </w:r>
      <w:r w:rsidRPr="00610A40">
        <w:rPr>
          <w:color w:val="auto"/>
          <w:szCs w:val="24"/>
          <w:shd w:val="clear" w:color="auto" w:fill="FFFFFF"/>
        </w:rPr>
        <w:t>The diameter of cardiac cells ranges from 10</w:t>
      </w:r>
      <w:r w:rsidR="009C1222" w:rsidRPr="00610A40">
        <w:rPr>
          <w:color w:val="auto"/>
          <w:szCs w:val="24"/>
          <w:shd w:val="clear" w:color="auto" w:fill="FFFFFF"/>
        </w:rPr>
        <w:t xml:space="preserve"> </w:t>
      </w:r>
      <w:r w:rsidR="00CC0F44" w:rsidRPr="00610A40">
        <w:rPr>
          <w:color w:val="auto"/>
          <w:szCs w:val="24"/>
          <w:shd w:val="clear" w:color="auto" w:fill="FFFFFF"/>
        </w:rPr>
        <w:t xml:space="preserve">µm to </w:t>
      </w:r>
      <w:r w:rsidRPr="00610A40">
        <w:rPr>
          <w:color w:val="auto"/>
          <w:szCs w:val="24"/>
          <w:shd w:val="clear" w:color="auto" w:fill="FFFFFF"/>
        </w:rPr>
        <w:t>35</w:t>
      </w:r>
      <w:r w:rsidR="009C1222" w:rsidRPr="00610A40">
        <w:rPr>
          <w:color w:val="auto"/>
          <w:szCs w:val="24"/>
          <w:shd w:val="clear" w:color="auto" w:fill="FFFFFF"/>
        </w:rPr>
        <w:t xml:space="preserve"> </w:t>
      </w:r>
      <w:r w:rsidRPr="00610A40">
        <w:rPr>
          <w:color w:val="auto"/>
          <w:szCs w:val="24"/>
          <w:shd w:val="clear" w:color="auto" w:fill="FFFFFF"/>
        </w:rPr>
        <w:t>μm</w:t>
      </w:r>
      <w:r w:rsidRPr="00610A40">
        <w:rPr>
          <w:color w:val="auto"/>
          <w:szCs w:val="24"/>
          <w:shd w:val="clear" w:color="auto" w:fill="FFFFFF"/>
        </w:rPr>
        <w:fldChar w:fldCharType="begin" w:fldLock="1"/>
      </w:r>
      <w:r w:rsidR="00565E2A" w:rsidRPr="00610A40">
        <w:rPr>
          <w:color w:val="auto"/>
          <w:szCs w:val="24"/>
          <w:shd w:val="clear" w:color="auto" w:fill="FFFFFF"/>
        </w:rPr>
        <w:instrText>ADDIN CSL_CITATION { "citationItems" : [ { "id" : "ITEM-1", "itemData" : { "ISBN" : "9781118843437", "abstract" : "\"Society for Biomaterials.\" ECM-inspired chemical cues : biomimetic molecules and techniques of immobilization / Roger Y. Tam, Shawn C. Owen and Molly S. Shoichet -- Dynamic materials mimic developmental and disease changes in tissues / Matthew G. Ondeck and Adam J. Engler -- The role of mechanical cues in regulating cellular activities and guiding tissue development / Liming Bian -- Contribution of physical forces to the design of biomimetic tissue substitutes / M. Ermis, E.T. Baran, T. Dursun, E. Antmen and V. Hasirci -- Cellular responses to engineered bio-inspired topographic cues / Chelsea M. Kirschner, James F. Schumacher and Anthony B. Brennan -- Engineering the mechanical and growth factor signaling roles of fibronectin fibrils / Christopher A. Lemmon -- Biologic scaffolds composed of extracellular matrix as a natural material for wound healing / Stephen Badylak -- Bio-inspired integration of natural materials / Albino Martins, Marta Alves da Silva, Ana Costa-Pinto, Rui L. Reis and Nuno M. Neves -- Bio-inspired design of skin replacement therapies / Dennis P. Orgill -- Epithelial engineering: from sheets to branched tubes / Hye Young Kim and Celeste M. Nelson -- A biomimetic approach toward the fabrication of epithelial-like tissue / Meng Xu and Hongjun Wang -- Nano- and micro-structured ECM and biomimetic scaffolds for cardiac tissue engineering / Quentin Jallerat, John M. Szymanski and Adam W. Feinberg -- Cardiovascular biomaterials / Elaine L. Lee and Joyce Y. Wong -- Evaluation of bio-inspired materials for mineralized tissue regeneration using type I collagen reporter cells / Lisa T. Kuhn, Emily Jacobs, and A. Jon Goldberg -- Learning from tissue equivalents : biomechanics and mechanobiology / David D. Simon and Jay D. Humphrey -- Mimicking the hematopoietic stem cell niche by biomaterials approaches / Eike Mu\u0308ller, Michael Ansorge, Carsten Werner and Tilo Pompe -- Engineering immune responses to allografts / Anthony W. Frei and Cherie L. Stabler -- Immunomimetic materials / Jamal S. Lewis and Benjamin G. Keselowsky.", "author" : [ { "dropping-particle" : "", "family" : "Brennan", "given" : "Anthony B.", "non-dropping-particle" : "", "parse-names" : false, "suffix" : "" }, { "dropping-particle" : "", "family" : "Kirschner", "given" : "Chelsea M.", "non-dropping-particle" : "", "parse-names" : false, "suffix" : "" }, { "dropping-particle" : "", "family" : "Society for Biomaterials.", "given" : "", "non-dropping-particle" : "", "parse-names" : false, "suffix" : "" } ], "id" : "ITEM-1", "issued" : { "date-parts" : [ [ "0" ] ] }, "title" : "Bio-inspired materials for biomedical engineering", "type" : "book" }, "uris" : [ "http://www.mendeley.com/documents/?uuid=1d9eb4ef-4948-4362-8daf-58d938b0c7e9", "http://www.mendeley.com/documents/?uuid=ef0fbbe5-feec-30a3-8c86-8f5b6a8403ea" ] } ], "mendeley" : { "formattedCitation" : "&lt;sup&gt;155&lt;/sup&gt;", "plainTextFormattedCitation" : "155", "previouslyFormattedCitation" : "&lt;sup&gt;154&lt;/sup&gt;" }, "properties" : { "noteIndex" : 0 }, "schema" : "https://github.com/citation-style-language/schema/raw/master/csl-citation.json" }</w:instrText>
      </w:r>
      <w:r w:rsidRPr="00610A40">
        <w:rPr>
          <w:color w:val="auto"/>
          <w:szCs w:val="24"/>
          <w:shd w:val="clear" w:color="auto" w:fill="FFFFFF"/>
        </w:rPr>
        <w:fldChar w:fldCharType="separate"/>
      </w:r>
      <w:r w:rsidR="00565E2A" w:rsidRPr="00610A40">
        <w:rPr>
          <w:noProof/>
          <w:color w:val="auto"/>
          <w:szCs w:val="24"/>
          <w:shd w:val="clear" w:color="auto" w:fill="FFFFFF"/>
          <w:vertAlign w:val="superscript"/>
        </w:rPr>
        <w:t>155</w:t>
      </w:r>
      <w:r w:rsidRPr="00610A40">
        <w:rPr>
          <w:color w:val="auto"/>
          <w:szCs w:val="24"/>
          <w:shd w:val="clear" w:color="auto" w:fill="FFFFFF"/>
        </w:rPr>
        <w:fldChar w:fldCharType="end"/>
      </w:r>
      <w:r w:rsidRPr="00610A40">
        <w:rPr>
          <w:color w:val="auto"/>
          <w:szCs w:val="24"/>
          <w:shd w:val="clear" w:color="auto" w:fill="FFFFFF"/>
          <w:vertAlign w:val="superscript"/>
        </w:rPr>
        <w:t>,</w:t>
      </w:r>
      <w:r w:rsidRPr="00610A40">
        <w:rPr>
          <w:color w:val="auto"/>
          <w:szCs w:val="24"/>
          <w:shd w:val="clear" w:color="auto" w:fill="FFFFFF"/>
        </w:rPr>
        <w:fldChar w:fldCharType="begin" w:fldLock="1"/>
      </w:r>
      <w:r w:rsidR="00565E2A" w:rsidRPr="00610A40">
        <w:rPr>
          <w:color w:val="auto"/>
          <w:szCs w:val="24"/>
          <w:shd w:val="clear" w:color="auto" w:fill="FFFFFF"/>
        </w:rPr>
        <w:instrText>ADDIN CSL_CITATION { "citationItems" : [ { "id" : "ITEM-1", "itemData" : { "DOI" : "10.1097/MAT.0000000000000158", "ISSN" : "1538-943X", "PMID" : "25248038", "abstract" : "Current therapies in left ventricular systolic dysfunction and end-stage heart failure include mechanical assist devices or transplant. The development of a tissue-engineered integrative platform would present a therapeutic option that overcomes the limitations associated with current treatment modalities. This study provides a foundation for the fabrication and preliminary viability of the acellular ventricular extracellular matrix (AVEM) model. Acellular ventricular extracellular matrix was fabricated by culturing 4 million rat neonatal cardiac cells around an excised acellular ventricular segment. Acellular ventricular extracellular matrix generated a maximum spontaneous contractile force of 388.3 \u03bcN and demonstrated a Frank-Starling relationship at varying pretensions. Histologic assessment displayed cell cohesion and adhesion within the AVEM as a result of passive cell seeding.", "author" : [ { "dropping-particle" : "", "family" : "Patel", "given" : "Nikita M", "non-dropping-particle" : "", "parse-names" : false, "suffix" : "" }, { "dropping-particle" : "", "family" : "Tao", "given" : "Ze-Wei", "non-dropping-particle" : "", "parse-names" : false, "suffix" : "" }, { "dropping-particle" : "", "family" : "Mohamed", "given" : "Mohamed A", "non-dropping-particle" : "", "parse-names" : false, "suffix" : "" }, { "dropping-particle" : "", "family" : "Hogan", "given" : "Matt K", "non-dropping-particle" : "", "parse-names" : false, "suffix" : "" }, { "dropping-particle" : "", "family" : "Gutierrez", "given" : "Laura", "non-dropping-particle" : "", "parse-names" : false, "suffix" : "" }, { "dropping-particle" : "", "family" : "Birla", "given" : "Ravi K", "non-dropping-particle" : "", "parse-names" : false, "suffix" : "" } ], "container-title" : "ASAIO journal (American Society for Artificial Internal Organs : 1992)", "id" : "ITEM-1", "issue" : "1", "issued" : { "date-parts" : [ [ "2015" ] ] }, "page" : "61-70", "publisher" : "NIH Public Access", "title" : "Engineering 3D bio-artificial heart muscle: the acellular ventricular extracellular matrix model.", "type" : "article-journal", "volume" : "61" }, "uris" : [ "http://www.mendeley.com/documents/?uuid=9ccac657-2d6b-4344-9223-6ccd4b5af60b", "http://www.mendeley.com/documents/?uuid=7e0e148a-a55b-307e-8c19-90d065ebe653" ] } ], "mendeley" : { "formattedCitation" : "&lt;sup&gt;156&lt;/sup&gt;", "plainTextFormattedCitation" : "156", "previouslyFormattedCitation" : "&lt;sup&gt;155&lt;/sup&gt;" }, "properties" : { "noteIndex" : 0 }, "schema" : "https://github.com/citation-style-language/schema/raw/master/csl-citation.json" }</w:instrText>
      </w:r>
      <w:r w:rsidRPr="00610A40">
        <w:rPr>
          <w:color w:val="auto"/>
          <w:szCs w:val="24"/>
          <w:shd w:val="clear" w:color="auto" w:fill="FFFFFF"/>
        </w:rPr>
        <w:fldChar w:fldCharType="separate"/>
      </w:r>
      <w:r w:rsidR="00565E2A" w:rsidRPr="00610A40">
        <w:rPr>
          <w:noProof/>
          <w:color w:val="auto"/>
          <w:szCs w:val="24"/>
          <w:shd w:val="clear" w:color="auto" w:fill="FFFFFF"/>
          <w:vertAlign w:val="superscript"/>
        </w:rPr>
        <w:t>156</w:t>
      </w:r>
      <w:r w:rsidRPr="00610A40">
        <w:rPr>
          <w:color w:val="auto"/>
          <w:szCs w:val="24"/>
          <w:shd w:val="clear" w:color="auto" w:fill="FFFFFF"/>
        </w:rPr>
        <w:fldChar w:fldCharType="end"/>
      </w:r>
      <w:r w:rsidRPr="00610A40">
        <w:rPr>
          <w:color w:val="auto"/>
          <w:szCs w:val="24"/>
          <w:shd w:val="clear" w:color="auto" w:fill="FFFFFF"/>
        </w:rPr>
        <w:t xml:space="preserve">. </w:t>
      </w:r>
      <w:r w:rsidRPr="00610A40">
        <w:rPr>
          <w:color w:val="auto"/>
          <w:szCs w:val="24"/>
        </w:rPr>
        <w:t xml:space="preserve"> A minimum pore size of 35</w:t>
      </w:r>
      <w:r w:rsidR="009C1222" w:rsidRPr="00610A40">
        <w:rPr>
          <w:color w:val="auto"/>
          <w:szCs w:val="24"/>
        </w:rPr>
        <w:t xml:space="preserve"> </w:t>
      </w:r>
      <w:r w:rsidRPr="00610A40">
        <w:rPr>
          <w:rFonts w:ascii="Calibri" w:hAnsi="Calibri"/>
          <w:color w:val="auto"/>
          <w:szCs w:val="24"/>
        </w:rPr>
        <w:t>µ</w:t>
      </w:r>
      <w:r w:rsidRPr="00610A40">
        <w:rPr>
          <w:color w:val="auto"/>
          <w:szCs w:val="24"/>
        </w:rPr>
        <w:t>m will therefore have to be fabricated in all cardiac scaffolds</w:t>
      </w:r>
      <w:r w:rsidR="00CC0F44" w:rsidRPr="00610A40">
        <w:rPr>
          <w:color w:val="auto"/>
          <w:szCs w:val="24"/>
        </w:rPr>
        <w:t xml:space="preserve"> to allow room for cardiac cell growth</w:t>
      </w:r>
      <w:r w:rsidRPr="00610A40">
        <w:rPr>
          <w:color w:val="auto"/>
          <w:szCs w:val="24"/>
        </w:rPr>
        <w:t>. In fact, pore sizes are usually engineered to be 4-5 times bigger to facilitate the migration of the seeded cardiac cells into the scaffold</w:t>
      </w:r>
      <w:r w:rsidR="00CC0F44" w:rsidRPr="00610A40">
        <w:rPr>
          <w:color w:val="auto"/>
          <w:szCs w:val="24"/>
        </w:rPr>
        <w:t xml:space="preserve"> and to associate to one another</w:t>
      </w:r>
      <w:r w:rsidR="00E55465" w:rsidRPr="00610A40">
        <w:rPr>
          <w:color w:val="auto"/>
          <w:szCs w:val="24"/>
        </w:rPr>
        <w:fldChar w:fldCharType="begin" w:fldLock="1"/>
      </w:r>
      <w:r w:rsidR="00565E2A" w:rsidRPr="00610A40">
        <w:rPr>
          <w:color w:val="auto"/>
          <w:szCs w:val="24"/>
        </w:rPr>
        <w:instrText>ADDIN CSL_CITATION { "citationItems" : [ { "id" : "ITEM-1", "itemData" : { "DOI" : "10.1021/acsbiomaterials.5b00052", "ISSN" : "23739878", "abstract" : "In this study, an unsaturated copolyester, poly[(R)-3-hydroxybutyrate-co-(R)-3-hydroxy-10-undecenoate] (PHBU), was produced by an engineered strain of Escherichia coli, cross-linked via thiol-ene click chemistry, and analyzed for improved physical properties and biocompatibility with human mesenchymal stem cells. By cross-linking the PHBU polymer, an increase in tensile strength of greater than 200% to 26.2 MPa was observed, resulting in a material with physical properties closer to those relevant for soft tissue replacement. Results showed that this chemically cross-linked polyester did not exhibit significant cytotoxicity toward human cells after chemical modification. The chemically modifiable copolyester described here could potentially be used as a replacement for an assortment of tissues currently without viable material alternatives in the field of tissue-engineering. In this study, an unsaturated copolyester, poly[(R)-3-hydroxybutyrate-co-(R)-3-hydroxy-10-undecenoate] (PHBU), was produced by an engineered strain of Escherichia coli, cross-linked via thiol-ene click chemistry, and analyzed for improved physical properties and biocompatibility with human mesenchymal stem cells. By cross-linking the PHBU polymer, an increase in tensile strength of greater than 200% to 26.2 MPa was observed, resulting in a material with physical properties closer to those relevant for soft tissue replacement. Results showed that this chemically cross-linked polyester did not exhibit significant cytotoxicity toward human cells after chemical modification. The chemically modifiable copolyester described here could potentially be used as a replacement for an assortment of tissues currently without viable material alternatives in the field of tissue-engineering.", "author" : [ { "dropping-particle" : "", "family" : "Levine", "given" : "Alex C.", "non-dropping-particle" : "", "parse-names" : false, "suffix" : "" }, { "dropping-particle" : "", "family" : "Sparano", "given" : "Angelina", "non-dropping-particle" : "", "parse-names" : false, "suffix" : "" }, { "dropping-particle" : "", "family" : "Twigg", "given" : "Frederick F.", "non-dropping-particle" : "", "parse-names" : false, "suffix" : "" }, { "dropping-particle" : "", "family" : "Numata", "given" : "Keiji", "non-dropping-particle" : "", "parse-names" : false, "suffix" : "" }, { "dropping-particle" : "", "family" : "Nomura", "given" : "Christopher T.", "non-dropping-particle" : "", "parse-names" : false, "suffix" : "" } ], "container-title" : "ACS Biomaterials Science and Engineering", "id" : "ITEM-1", "issue" : "7", "issued" : { "date-parts" : [ [ "2015" ] ] }, "page" : "567-576", "title" : "Influence of Cross-Linking on the Physical Properties and Cytotoxicity of Polyhydroxyalkanoate (PHA) Scaffolds for Tissue Engineering", "type" : "article-journal", "volume" : "1" }, "uris" : [ "http://www.mendeley.com/documents/?uuid=05ed88d8-7d30-4c9e-9a80-d0e6c2919e16", "http://www.mendeley.com/documents/?uuid=34ad6e37-8600-4af2-80e0-1168876c7e0a" ] } ], "mendeley" : { "formattedCitation" : "&lt;sup&gt;157&lt;/sup&gt;", "plainTextFormattedCitation" : "157", "previouslyFormattedCitation" : "&lt;sup&gt;156&lt;/sup&gt;" }, "properties" : { "noteIndex" : 0 }, "schema" : "https://github.com/citation-style-language/schema/raw/master/csl-citation.json" }</w:instrText>
      </w:r>
      <w:r w:rsidR="00E55465" w:rsidRPr="00610A40">
        <w:rPr>
          <w:color w:val="auto"/>
          <w:szCs w:val="24"/>
        </w:rPr>
        <w:fldChar w:fldCharType="separate"/>
      </w:r>
      <w:r w:rsidR="00565E2A" w:rsidRPr="00610A40">
        <w:rPr>
          <w:noProof/>
          <w:color w:val="auto"/>
          <w:szCs w:val="24"/>
          <w:vertAlign w:val="superscript"/>
        </w:rPr>
        <w:t>157</w:t>
      </w:r>
      <w:r w:rsidR="00E55465" w:rsidRPr="00610A40">
        <w:rPr>
          <w:color w:val="auto"/>
          <w:szCs w:val="24"/>
        </w:rPr>
        <w:fldChar w:fldCharType="end"/>
      </w:r>
      <w:r w:rsidRPr="00610A40">
        <w:rPr>
          <w:color w:val="auto"/>
          <w:szCs w:val="24"/>
        </w:rPr>
        <w:t xml:space="preserve">. </w:t>
      </w:r>
      <w:r w:rsidR="002E6723" w:rsidRPr="00610A40">
        <w:rPr>
          <w:color w:val="auto"/>
          <w:szCs w:val="24"/>
        </w:rPr>
        <w:t xml:space="preserve">Beside cellular migration, the pores are also important in the transmission of electrical signals between grafted </w:t>
      </w:r>
      <w:proofErr w:type="spellStart"/>
      <w:r w:rsidR="002E6723" w:rsidRPr="00610A40">
        <w:rPr>
          <w:color w:val="auto"/>
          <w:szCs w:val="24"/>
        </w:rPr>
        <w:t>cardiomyocytes</w:t>
      </w:r>
      <w:proofErr w:type="spellEnd"/>
      <w:r w:rsidR="002E6723" w:rsidRPr="00610A40">
        <w:rPr>
          <w:color w:val="auto"/>
          <w:szCs w:val="24"/>
        </w:rPr>
        <w:t>. Electrical conduction plays a major role in enabling a synchronous contraction of the cardiac muscle cells. This contraction in unison is crucial for the coordinated pumping of the blood from the atria to the ventricles before to the various organs in the body. As almost all polyesters are not inherently electrically conductive, it is important for the polyester cardiac scaffolds to be structured in ways that allow for the transmission of electrical impulses between cardiomyocytes</w:t>
      </w:r>
      <w:r w:rsidR="002E6723" w:rsidRPr="00610A40">
        <w:rPr>
          <w:color w:val="auto"/>
          <w:szCs w:val="24"/>
        </w:rPr>
        <w:fldChar w:fldCharType="begin" w:fldLock="1"/>
      </w:r>
      <w:r w:rsidR="00565E2A" w:rsidRPr="00610A40">
        <w:rPr>
          <w:color w:val="auto"/>
          <w:szCs w:val="24"/>
        </w:rPr>
        <w:instrText>ADDIN CSL_CITATION { "citationItems" : [ { "id" : "ITEM-1", "itemData" : { "DOI" : "10.1038/nmat2316", "ISBN" : "1476-1122", "ISSN" : "1476-1122", "PMID" : "18978786", "abstract" : "Tissue-engineered grafts may be useful in myocardial repair; however, previous scaffolds have been structurally incompatible with recapitulating cardiac anisotropy. Here, we use microfabrication techniques to create an accordion-like honeycomb microstructure in poly(glycerol sebacate), which yields porous, elastomeric three-dimensional (3D) scaffolds with controllable stiffness and anisotropy. Accordion-like honeycomb scaffolds with cultured neonatal rat heart cells demonstrated utility through: (1) closely matched mechanical properties compared to native adult rat right ventricular myocardium, with stiffnesses controlled by polymer curing time; (2) heart cell contractility inducible by electric field stimulation with directionally dependent electrical excitation thresholds (p&lt;0.05); and (3) greater heart cell alignment (p&lt;0.0001) than isotropic control scaffolds. Prototype bilaminar scaffolds with 3D interconnected pore networks yielded electrically excitable grafts with multi-layered neonatal rat heart cells. Accordion-like honeycombs can thus overcome principal structural-mechanical limitations of previous scaffolds, promoting the formation of grafts with aligned heart cells and mechanical properties more closely resembling native myocardium.", "author" : [ { "dropping-particle" : "", "family" : "Engelmayr", "given" : "George C", "non-dropping-particle" : "", "parse-names" : false, "suffix" : "" }, { "dropping-particle" : "", "family" : "Cheng", "given" : "Mingyu", "non-dropping-particle" : "", "parse-names" : false, "suffix" : "" }, { "dropping-particle" : "", "family" : "Bettinger", "given" : "Christopher J", "non-dropping-particle" : "", "parse-names" : false, "suffix" : "" }, { "dropping-particle" : "", "family" : "Borenstein", "given" : "Jeffrey T", "non-dropping-particle" : "", "parse-names" : false, "suffix" : "" }, { "dropping-particle" : "", "family" : "Langer", "given" : "Robert", "non-dropping-particle" : "", "parse-names" : false, "suffix" : "" }, { "dropping-particle" : "", "family" : "Freed", "given" : "Lisa E", "non-dropping-particle" : "", "parse-names" : false, "suffix" : "" } ], "container-title" : "Nature materials", "id" : "ITEM-1", "issue" : "12", "issued" : { "date-parts" : [ [ "2008" ] ] }, "page" : "1003-1010", "title" : "Accordion-like honeycombs for tissue engineering of cardiac anisotropy.", "type" : "article-journal", "volume" : "7" }, "uris" : [ "http://www.mendeley.com/documents/?uuid=fa020a1d-fa59-4a3c-beb8-a9d4b2504d26" ] } ], "mendeley" : { "formattedCitation" : "&lt;sup&gt;130&lt;/sup&gt;", "plainTextFormattedCitation" : "130", "previouslyFormattedCitation" : "&lt;sup&gt;129&lt;/sup&gt;" }, "properties" : { "noteIndex" : 0 }, "schema" : "https://github.com/citation-style-language/schema/raw/master/csl-citation.json" }</w:instrText>
      </w:r>
      <w:r w:rsidR="002E6723" w:rsidRPr="00610A40">
        <w:rPr>
          <w:color w:val="auto"/>
          <w:szCs w:val="24"/>
        </w:rPr>
        <w:fldChar w:fldCharType="separate"/>
      </w:r>
      <w:r w:rsidR="00565E2A" w:rsidRPr="00610A40">
        <w:rPr>
          <w:noProof/>
          <w:color w:val="auto"/>
          <w:szCs w:val="24"/>
          <w:vertAlign w:val="superscript"/>
        </w:rPr>
        <w:t>130</w:t>
      </w:r>
      <w:r w:rsidR="002E6723" w:rsidRPr="00610A40">
        <w:rPr>
          <w:color w:val="auto"/>
          <w:szCs w:val="24"/>
        </w:rPr>
        <w:fldChar w:fldCharType="end"/>
      </w:r>
      <w:r w:rsidR="002E6723" w:rsidRPr="00610A40">
        <w:rPr>
          <w:color w:val="auto"/>
          <w:szCs w:val="24"/>
        </w:rPr>
        <w:t xml:space="preserve">. </w:t>
      </w:r>
    </w:p>
    <w:p w14:paraId="7C65F4F7" w14:textId="77777777" w:rsidR="002E6723" w:rsidRPr="00610A40" w:rsidRDefault="002E6723" w:rsidP="00086775">
      <w:pPr>
        <w:rPr>
          <w:color w:val="auto"/>
          <w:szCs w:val="24"/>
        </w:rPr>
      </w:pPr>
    </w:p>
    <w:p w14:paraId="34744243" w14:textId="4FE7B3F0" w:rsidR="009F252C" w:rsidRPr="00610A40" w:rsidRDefault="00354DF6" w:rsidP="00086775">
      <w:pPr>
        <w:rPr>
          <w:color w:val="auto"/>
          <w:szCs w:val="24"/>
        </w:rPr>
      </w:pPr>
      <w:bookmarkStart w:id="8" w:name="_Hlk488175520"/>
      <w:r w:rsidRPr="00610A40">
        <w:rPr>
          <w:color w:val="auto"/>
          <w:szCs w:val="24"/>
        </w:rPr>
        <w:lastRenderedPageBreak/>
        <w:t>To meet these requirements, n</w:t>
      </w:r>
      <w:r w:rsidR="009F252C" w:rsidRPr="00610A40">
        <w:rPr>
          <w:color w:val="auto"/>
          <w:szCs w:val="24"/>
        </w:rPr>
        <w:t>umerous elastic polyesters had been used as a tissue engineering scaffold for cardiac tissue engineering. Elastic polyesters such as, poly(L-</w:t>
      </w:r>
      <w:proofErr w:type="spellStart"/>
      <w:r w:rsidR="009F252C" w:rsidRPr="00610A40">
        <w:rPr>
          <w:color w:val="auto"/>
          <w:szCs w:val="24"/>
        </w:rPr>
        <w:t>lactide</w:t>
      </w:r>
      <w:proofErr w:type="spellEnd"/>
      <w:r w:rsidR="009F252C" w:rsidRPr="00610A40">
        <w:rPr>
          <w:color w:val="auto"/>
          <w:szCs w:val="24"/>
        </w:rPr>
        <w:t>-co-ε-</w:t>
      </w:r>
      <w:proofErr w:type="spellStart"/>
      <w:r w:rsidR="009F252C" w:rsidRPr="00610A40">
        <w:rPr>
          <w:color w:val="auto"/>
          <w:szCs w:val="24"/>
        </w:rPr>
        <w:t>caprolactone</w:t>
      </w:r>
      <w:proofErr w:type="spellEnd"/>
      <w:r w:rsidR="009F252C" w:rsidRPr="00610A40">
        <w:rPr>
          <w:color w:val="auto"/>
          <w:szCs w:val="24"/>
        </w:rPr>
        <w:t>) (PLCL)</w:t>
      </w:r>
      <w:r w:rsidR="009F252C" w:rsidRPr="00610A40">
        <w:rPr>
          <w:color w:val="auto"/>
          <w:szCs w:val="24"/>
        </w:rPr>
        <w:fldChar w:fldCharType="begin" w:fldLock="1"/>
      </w:r>
      <w:r w:rsidR="00565E2A" w:rsidRPr="00610A40">
        <w:rPr>
          <w:color w:val="auto"/>
          <w:szCs w:val="24"/>
        </w:rPr>
        <w:instrText>ADDIN CSL_CITATION { "citationItems" : [ { "id" : "ITEM-1", "itemData" : { "DOI" : "10.1016/j.biomaterials.2004.10.007", "ISBN" : "0142-9612", "ISSN" : "01429612", "PMID" : "15626440", "abstract" : "Nano- to micro-structured biodegradable poly(l-lactide-co-??- caprolactone) (PLCL) fabrics were prepared by electrospinning. Electrospun microfiber fabrics with different compositions of PLCL (mol% in feed; 70/30, 50/50, and 30/70), poly(l-lactide) (PLL) and poly(??-caprolactone) (PCL) were obtained using methylene chloride (MC) as a solvent. The PLL microfiber exhibited a nanoscale-pore structure with a pore diameter of approximately 200-800 nm at the surface and subsurface regions, whereas such a surface structure was hardly observed in other polymers containing CL. The microfiber fabric made of PLCL 50/50 was elastomeric. Nanoscale-fiber fabrics with PLCL 50/50 (approx. 0.3 or 1.2 ??m in diameter) were electrospun using 1,1,1,3,3,3-hexafluoro-2-propanol (HFIP) as a solvent. Mercury porosimetry showed that the decrease in the fiber diameter of the fabric decreased porosity, but increased fiber density and mechanical strength. Human umbilical vein endothelial cells (HUVECs) were adhered well and proliferated on the small-diameter-fiber fabrics (0.3 and 1.2 ??m in diameter), both of which are dense fabrics, whereas markedly reduced cell adhesion, restricted cell spreading and no signs of proliferation were observed on the large-diameter-fiber fabric (7.0 ??m in diameter). The potential biomedical application of electrospun PLCL 50/50 was discussed. ?? 2004 Elsevier Ltd. All rights reserved.", "author" : [ { "dropping-particle" : "", "family" : "Keun Kwon", "given" : "Il", "non-dropping-particle" : "", "parse-names" : false, "suffix" : "" }, { "dropping-particle" : "", "family" : "Kidoaki", "given" : "Satoru", "non-dropping-particle" : "", "parse-names" : false, "suffix" : "" }, { "dropping-particle" : "", "family" : "Matsuda", "given" : "Takehisa", "non-dropping-particle" : "", "parse-names" : false, "suffix" : "" } ], "container-title" : "Biomaterials", "id" : "ITEM-1", "issue" : "18", "issued" : { "date-parts" : [ [ "2005" ] ] }, "page" : "3929-3939", "title" : "Electrospun nano- to microfiber fabrics made of biodegradable copolyesters: Structural characteristics, mechanical properties and cell adhesion potential", "type" : "article-journal", "volume" : "26" }, "uris" : [ "http://www.mendeley.com/documents/?uuid=52353748-0ed4-4171-b8ee-a075cba44d01", "http://www.mendeley.com/documents/?uuid=517d3ecf-ac71-472d-9c8c-22350f0eeaf3" ] } ], "mendeley" : { "formattedCitation" : "&lt;sup&gt;158&lt;/sup&gt;", "plainTextFormattedCitation" : "158", "previouslyFormattedCitation" : "&lt;sup&gt;157&lt;/sup&gt;"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158</w:t>
      </w:r>
      <w:r w:rsidR="009F252C" w:rsidRPr="00610A40">
        <w:rPr>
          <w:color w:val="auto"/>
          <w:szCs w:val="24"/>
        </w:rPr>
        <w:fldChar w:fldCharType="end"/>
      </w:r>
      <w:r w:rsidR="009F252C" w:rsidRPr="00610A40">
        <w:rPr>
          <w:color w:val="auto"/>
          <w:szCs w:val="24"/>
          <w:vertAlign w:val="superscript"/>
        </w:rPr>
        <w:t>,</w:t>
      </w:r>
      <w:r w:rsidR="009F252C" w:rsidRPr="00610A40">
        <w:rPr>
          <w:color w:val="auto"/>
          <w:szCs w:val="24"/>
        </w:rPr>
        <w:fldChar w:fldCharType="begin" w:fldLock="1"/>
      </w:r>
      <w:r w:rsidR="00565E2A" w:rsidRPr="00610A40">
        <w:rPr>
          <w:color w:val="auto"/>
          <w:szCs w:val="24"/>
        </w:rPr>
        <w:instrText>ADDIN CSL_CITATION { "citationItems" : [ { "id" : "ITEM-1", "itemData" : { "DOI" : "10.1093/eurjhf/hfn017", "ISBN" : "1388-9842 (Print)\\r1388-9842 (Linking)", "ISSN" : "1388-9842", "PMID" : "19168512", "abstract" : "AIMS: Cardiac tissue engineering has been proposed as an appropriate method to repair myocardial infarction (MI). Evidence suggests that a cell with scaffold combination was more effective than a cell-only implant. Nevertheless, to date, there has been no research into elastic biodegradable poly(lactide-co-epsilon-caprolactone) (PLCL) scaffolds. The aim of this study was to investigate the effect of mesenchymal stem cells (MSCs) with elastic biodegradable PLCL scaffold transplants in a rat MI model.\\n\\nMETHODS AND RESULTS: Ten days after inducing MI through the cryoinjury method, a saline control, MSC, PLCL scaffold, or MSC-seeded PLCL scaffold was transplanted onto the hearts. Four weeks after transplantation, cardiac function and histology were evaluated. Transplanted MSCs survived and differentiated into cardiomyocytes in the injured region. Left ventricular ejection fraction in the MSC+PLCL group increased by 23% compared with that in the saline group; it was also higher in the MSC group. The infarct area in the MSC+PLCL group was decreased by 29% compared with that in the saline group; it was also reduced in the MSC group.\\n\\nCONCLUSION: Mesenchymal stem cells plus PLCL should be an excellent combination for cardiac tissue engineering.", "author" : [ { "dropping-particle" : "", "family" : "Jin", "given" : "Jiyong", "non-dropping-particle" : "", "parse-names" : false, "suffix" : "" }, { "dropping-particle" : "", "family" : "Jeong", "given" : "Sung In", "non-dropping-particle" : "", "parse-names" : false, "suffix" : "" }, { "dropping-particle" : "", "family" : "Shin", "given" : "Young Min", "non-dropping-particle" : "", "parse-names" : false, "suffix" : "" }, { "dropping-particle" : "", "family" : "Lim", "given" : "Kwang Suk", "non-dropping-particle" : "", "parse-names" : false, "suffix" : "" }, { "dropping-particle" : "", "family" : "Shin", "given" : "Heung Soo", "non-dropping-particle" : "", "parse-names" : false, "suffix" : "" }, { "dropping-particle" : "", "family" : "Lee", "given" : "Young Moo", "non-dropping-particle" : "", "parse-names" : false, "suffix" : "" }, { "dropping-particle" : "", "family" : "Koh", "given" : "Hyun Chul", "non-dropping-particle" : "", "parse-names" : false, "suffix" : "" }, { "dropping-particle" : "", "family" : "Kim", "given" : "Kyung-Soo", "non-dropping-particle" : "", "parse-names" : false, "suffix" : "" } ], "container-title" : "European journal of heart failure", "id" : "ITEM-1", "issue" : "2", "issued" : { "date-parts" : [ [ "2009" ] ] }, "page" : "147-53", "title" : "Transplantation of mesenchymal stem cells within a poly(lactide-co-epsilon-caprolactone) scaffold improves cardiac function in a rat myocardial infarction model.", "type" : "article-journal", "volume" : "11" }, "uris" : [ "http://www.mendeley.com/documents/?uuid=ad36092f-ec62-4167-819a-af607d65f56b", "http://www.mendeley.com/documents/?uuid=5943033b-4a57-4924-9e5e-9c20df155012" ] } ], "mendeley" : { "formattedCitation" : "&lt;sup&gt;159&lt;/sup&gt;", "plainTextFormattedCitation" : "159", "previouslyFormattedCitation" : "&lt;sup&gt;158&lt;/sup&gt;"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159</w:t>
      </w:r>
      <w:r w:rsidR="009F252C" w:rsidRPr="00610A40">
        <w:rPr>
          <w:color w:val="auto"/>
          <w:szCs w:val="24"/>
        </w:rPr>
        <w:fldChar w:fldCharType="end"/>
      </w:r>
      <w:r w:rsidR="009F252C" w:rsidRPr="00610A40">
        <w:rPr>
          <w:color w:val="auto"/>
          <w:szCs w:val="24"/>
        </w:rPr>
        <w:t xml:space="preserve">, poly (L)-lactic acid with </w:t>
      </w:r>
      <w:proofErr w:type="spellStart"/>
      <w:r w:rsidR="009F252C" w:rsidRPr="00610A40">
        <w:rPr>
          <w:color w:val="auto"/>
          <w:szCs w:val="24"/>
        </w:rPr>
        <w:t>trimethylene</w:t>
      </w:r>
      <w:proofErr w:type="spellEnd"/>
      <w:r w:rsidR="009F252C" w:rsidRPr="00610A40">
        <w:rPr>
          <w:color w:val="auto"/>
          <w:szCs w:val="24"/>
        </w:rPr>
        <w:t xml:space="preserve"> carbonate (P(L)LA-co-TMC)</w:t>
      </w:r>
      <w:r w:rsidR="009F252C" w:rsidRPr="00610A40">
        <w:rPr>
          <w:color w:val="auto"/>
          <w:szCs w:val="24"/>
        </w:rPr>
        <w:fldChar w:fldCharType="begin" w:fldLock="1"/>
      </w:r>
      <w:r w:rsidR="00565E2A" w:rsidRPr="00610A40">
        <w:rPr>
          <w:color w:val="auto"/>
          <w:szCs w:val="24"/>
        </w:rPr>
        <w:instrText>ADDIN CSL_CITATION { "citationItems" : [ { "id" : "ITEM-1", "itemData" : { "DOI" : "10.1007/s10856-011-4351-2", "ISBN" : "0957-4530", "ISSN" : "09574530", "PMID" : "21617996", "abstract" : "... Abstract In myocardial tissue engineering the use of synthetically bioengineered flexible patches implanted in the infarcted area ... M, Feinberg MS, Holbova R, Cohen S, Leor J. Evaluation of a peritoneal-generated cardiac  patch in a rat model of heterotopic heart transplantation ... \\n", "author" : [ { "dropping-particle" : "", "family" : "Mukherjee", "given" : "Shayanti", "non-dropping-particle" : "", "parse-names" : false, "suffix" : "" }, { "dropping-particle" : "", "family" : "Gualandi", "given" : "Chiara", "non-dropping-particle" : "", "parse-names" : false, "suffix" : "" }, { "dropping-particle" : "", "family" : "Focarete", "given" : "Maria Letizia", "non-dropping-particle" : "", "parse-names" : false, "suffix" : "" }, { "dropping-particle" : "", "family" : "Ravichandran", "given" : "Rajeswari", "non-dropping-particle" : "", "parse-names" : false, "suffix" : "" }, { "dropping-particle" : "", "family" : "Venugopal", "given" : "Jayarama Reddy", "non-dropping-particle" : "", "parse-names" : false, "suffix" : "" }, { "dropping-particle" : "", "family" : "Raghunath", "given" : "Michael", "non-dropping-particle" : "", "parse-names" : false, "suffix" : "" }, { "dropping-particle" : "", "family" : "Ramakrishna", "given" : "Seeram", "non-dropping-particle" : "", "parse-names" : false, "suffix" : "" } ], "container-title" : "Journal of Materials Science: Materials in Medicine", "id" : "ITEM-1", "issue" : "7", "issued" : { "date-parts" : [ [ "2011" ] ] }, "page" : "1689-1699", "title" : "Elastomeric electrospun scaffolds of poly(l-lactide-co-trimethylene carbonate) for myocardial tissue engineering", "type" : "article-journal", "volume" : "22" }, "uris" : [ "http://www.mendeley.com/documents/?uuid=78d23e6a-7ae0-4cba-a0ad-48ea605509ac", "http://www.mendeley.com/documents/?uuid=060de715-93e2-4c18-b549-836cd3128308" ] } ], "mendeley" : { "formattedCitation" : "&lt;sup&gt;160&lt;/sup&gt;", "plainTextFormattedCitation" : "160", "previouslyFormattedCitation" : "&lt;sup&gt;159&lt;/sup&gt;"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160</w:t>
      </w:r>
      <w:r w:rsidR="009F252C" w:rsidRPr="00610A40">
        <w:rPr>
          <w:color w:val="auto"/>
          <w:szCs w:val="24"/>
        </w:rPr>
        <w:fldChar w:fldCharType="end"/>
      </w:r>
      <w:r w:rsidR="009F252C" w:rsidRPr="00610A40">
        <w:rPr>
          <w:color w:val="auto"/>
          <w:szCs w:val="24"/>
        </w:rPr>
        <w:t>, poly[1,8-octanediol-co-(citric acid)-co-(</w:t>
      </w:r>
      <w:proofErr w:type="spellStart"/>
      <w:r w:rsidR="009F252C" w:rsidRPr="00610A40">
        <w:rPr>
          <w:color w:val="auto"/>
          <w:szCs w:val="24"/>
        </w:rPr>
        <w:t>sebacic</w:t>
      </w:r>
      <w:proofErr w:type="spellEnd"/>
      <w:r w:rsidR="009F252C" w:rsidRPr="00610A40">
        <w:rPr>
          <w:color w:val="auto"/>
          <w:szCs w:val="24"/>
        </w:rPr>
        <w:t xml:space="preserve"> acid)] (POCS)</w:t>
      </w:r>
      <w:r w:rsidR="009F252C" w:rsidRPr="00610A40">
        <w:rPr>
          <w:color w:val="auto"/>
          <w:szCs w:val="24"/>
        </w:rPr>
        <w:fldChar w:fldCharType="begin" w:fldLock="1"/>
      </w:r>
      <w:r w:rsidR="00565E2A" w:rsidRPr="00610A40">
        <w:rPr>
          <w:color w:val="auto"/>
          <w:szCs w:val="24"/>
        </w:rPr>
        <w:instrText>ADDIN CSL_CITATION { "citationItems" : [ { "id" : "ITEM-1", "itemData" : { "DOI" : "10.1039/C5RA20322H", "ISSN" : "2046-2069", "abstract" : "In this study, a mixture of elastomeric polymer poly[1,8-octanediol-co-(citric acid)-co-(sebacic acid)] or POCS and fibrinogen (FBN) was used to prepare electrospun nanofibrous scaffolds. POCS and FBN concentrations were varied; POCS : FBN: 0 : 100 as a control, POCS : FBN: 25 : 75 and POCS : FBN: 50 : 50. All the scaffolds were characterized by contact angle measurements, scanning electron microscopy (SEM), FTIR spectroscopy, mechanical tests, and cell proliferation studies. The contact angle measurements confirmed that the POCS : FBN: 50 : 50 scaffolds were hydrophilic. The scaffold diameters were confirmed by SEM to be in the range of 440 AE 120 nm. From FT-IR spectroscopy, a highly intense peak was observed at 1738 cm \u00c01 for the scaffolds, POCS : FBN: 25 : 75 and POCS : FBN: 50 : 50, which were attributed to \u2013C]O vibrations of an ester and confirmed the presence of polyester. The Young's modulus for the POCS : FBN: 50 : 50 scaffold was 0.27 AE 0.07 MPa and was comparable to native human myocardium. Cell proliferation studies by means of MTS [3-(4,5-dimethylthiazol-2-yl)-5-(3-carboxymethoxyphenyl)-2-(4-sulfophenyl)-2H-tetrazolium, inner salt] assay were carried out on scaffolds. Human cardiomyocytes (HCMs) were seeded on the scaffolds and the interactions of the cell\u2013 scaffold constructs were evaluated. The proliferation of cardiomyocytes (CMs) on the scaffold was observed. The interactions between the cells and substrate were analyzed using confocal microscopy. The electrospun composite scaffolds of POCS/FBN showed flexibility and biodegradability. From the in vitro biocompatibility studies, it is anticipated that the scaffold POCS : FBN: 50 : 50 has potential for cardiac tissue regeneration.", "author" : [ { "dropping-particle" : "", "family" : "Sireesha", "given" : "Merum", "non-dropping-particle" : "", "parse-names" : false, "suffix" : "" }, { "dropping-particle" : "", "family" : "Jagadeesh Babu", "given" : "Veluru", "non-dropping-particle" : "", "parse-names" : false, "suffix" : "" }, { "dropping-particle" : "", "family" : "Ramakrishna", "given" : "Seeram", "non-dropping-particle" : "", "parse-names" : false, "suffix" : "" } ], "container-title" : "RSC Adv.", "id" : "ITEM-1", "issue" : "125", "issued" : { "date-parts" : [ [ "2015" ] ] }, "page" : "103308-103314", "publisher" : "Royal Society of Chemistry", "title" : "Biocompatible and biodegradable elastomer/fibrinogen composite electrospun scaffolds for cardiac tissue regeneration", "type" : "article-journal", "volume" : "5" }, "uris" : [ "http://www.mendeley.com/documents/?uuid=75893663-983a-4f2b-a77c-b72074bcac9a", "http://www.mendeley.com/documents/?uuid=58fe8441-c00b-4394-a384-dcbceeb08c13" ] } ], "mendeley" : { "formattedCitation" : "&lt;sup&gt;161&lt;/sup&gt;", "plainTextFormattedCitation" : "161", "previouslyFormattedCitation" : "&lt;sup&gt;160&lt;/sup&gt;"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161</w:t>
      </w:r>
      <w:r w:rsidR="009F252C" w:rsidRPr="00610A40">
        <w:rPr>
          <w:color w:val="auto"/>
          <w:szCs w:val="24"/>
        </w:rPr>
        <w:fldChar w:fldCharType="end"/>
      </w:r>
      <w:r w:rsidR="009F252C" w:rsidRPr="00610A40">
        <w:rPr>
          <w:color w:val="auto"/>
          <w:szCs w:val="24"/>
        </w:rPr>
        <w:t xml:space="preserve">, </w:t>
      </w:r>
      <w:proofErr w:type="spellStart"/>
      <w:r w:rsidR="009F252C" w:rsidRPr="00610A40">
        <w:rPr>
          <w:color w:val="auto"/>
          <w:szCs w:val="24"/>
        </w:rPr>
        <w:t>polyglycol</w:t>
      </w:r>
      <w:proofErr w:type="spellEnd"/>
      <w:r w:rsidR="009F252C" w:rsidRPr="00610A40">
        <w:rPr>
          <w:color w:val="auto"/>
          <w:szCs w:val="24"/>
        </w:rPr>
        <w:t xml:space="preserve"> sebacate</w:t>
      </w:r>
      <w:r w:rsidR="009F252C" w:rsidRPr="00610A40">
        <w:rPr>
          <w:color w:val="auto"/>
          <w:szCs w:val="24"/>
        </w:rPr>
        <w:fldChar w:fldCharType="begin" w:fldLock="1"/>
      </w:r>
      <w:r w:rsidR="00565E2A" w:rsidRPr="00610A40">
        <w:rPr>
          <w:color w:val="auto"/>
          <w:szCs w:val="24"/>
        </w:rPr>
        <w:instrText>ADDIN CSL_CITATION { "citationItems" : [ { "id" : "ITEM-1", "itemData" : { "DOI" : "10.1016/j.biomaterials.2010.01.108", "ISBN" : "1878-5905 (Electronic)\\r0142-9612 (Linking)", "ISSN" : "01429612", "PMID" : "20153041", "abstract" : "We hypothesize that a combinatorial approach of ventricle constraint and stem cell therapy would offer a greater benefit for the treatment of heart failure than either strategy alone. A heart patch would serve two therapeutic purposes: biomechanical support and cell delivery. In this study, we describe a hybrid heart patch engineered from a synthetic elastomer, poly(glycerol sebacate) (PGS), supplemented with cardiomyocytes differentiated from human embryonic stem cells (hESCs). In line with two therapeutically relevant considerations, i.e. biocompatibility and cell delivery efficiency, the PGS was (a) pre-conditioned in culture medium for 6 days, and (b) prepared without gelatin coatings to facilitate detachment and delivery of cardiomyocytes following patch implantation. Following pre-conditioning under physiological conditions, the PGS patch material without gelatin coating was found to satisfactorily support cardiomyocyte viability and attachment, with active cell beating for periods of longer than 3 months until interrupted. Dynamic culture studies revealed that cells detached more efficiently from the uncoated surface of PGS than from gelatin-coated PGS. No significant differences were detected between the beating rates of human embryonic stem cell-derived cardiomyocytes on tissue culture plate and the pre-conditioned and gelatin-uncoated PGS. PGS patches sutured over the left ventricle of rats in vivo remained intact over a 2 week period without any deleterious effects on ventricular function. We conclude that PGS is a suitable biomaterial for stem cell-based regeneration strategies to restore cardiomyocyte function, and the hybrid heart patch engineered under optimal conditions would be a promising support device for the cardiac repair. ?? 2010 Elsevier Ltd.", "author" : [ { "dropping-particle" : "", "family" : "Chen", "given" : "Qi Zhi", "non-dropping-particle" : "", "parse-names" : false, "suffix" : "" }, { "dropping-particle" : "", "family" : "Ishii", "given" : "Hikaru", "non-dropping-particle" : "", "parse-names" : false, "suffix" : "" }, { "dropping-particle" : "", "family" : "Thouas", "given" : "George A.", "non-dropping-particle" : "", "parse-names" : false, "suffix" : "" }, { "dropping-particle" : "", "family" : "Lyon", "given" : "Alexander R.", "non-dropping-particle" : "", "parse-names" : false, "suffix" : "" }, { "dropping-particle" : "", "family" : "Wright", "given" : "Jamie S.", "non-dropping-particle" : "", "parse-names" : false, "suffix" : "" }, { "dropping-particle" : "", "family" : "Blaker", "given" : "Jonny J.", "non-dropping-particle" : "", "parse-names" : false, "suffix" : "" }, { "dropping-particle" : "", "family" : "Chrzanowski", "given" : "Wojciech", "non-dropping-particle" : "", "parse-names" : false, "suffix" : "" }, { "dropping-particle" : "", "family" : "Boccaccini", "given" : "Aldo R.", "non-dropping-particle" : "", "parse-names" : false, "suffix" : "" }, { "dropping-particle" : "", "family" : "Ali", "given" : "Nadire N.", "non-dropping-particle" : "", "parse-names" : false, "suffix" : "" }, { "dropping-particle" : "", "family" : "Knowles", "given" : "Jonathan C.", "non-dropping-particle" : "", "parse-names" : false, "suffix" : "" }, { "dropping-particle" : "", "family" : "Harding", "given" : "Si??n E.", "non-dropping-particle" : "", "parse-names" : false, "suffix" : "" } ], "container-title" : "Biomaterials", "id" : "ITEM-1", "issue" : "14", "issued" : { "date-parts" : [ [ "2010" ] ] }, "page" : "3885-3893", "publisher" : "Elsevier Ltd", "title" : "An elastomeric patch derived from poly(glycerol sebacate) for delivery of embryonic stem cells to the heart", "type" : "article-journal", "volume" : "31" }, "uris" : [ "http://www.mendeley.com/documents/?uuid=d8c3080f-85ed-4697-a740-54ab12bc356b", "http://www.mendeley.com/documents/?uuid=63704da1-5bbb-4bd1-bb40-9e172b1f0d55" ] } ], "mendeley" : { "formattedCitation" : "&lt;sup&gt;142&lt;/sup&gt;", "plainTextFormattedCitation" : "142", "previouslyFormattedCitation" : "&lt;sup&gt;141&lt;/sup&gt;"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142</w:t>
      </w:r>
      <w:r w:rsidR="009F252C" w:rsidRPr="00610A40">
        <w:rPr>
          <w:color w:val="auto"/>
          <w:szCs w:val="24"/>
        </w:rPr>
        <w:fldChar w:fldCharType="end"/>
      </w:r>
      <w:r w:rsidR="009F252C" w:rsidRPr="00610A40">
        <w:rPr>
          <w:color w:val="auto"/>
          <w:szCs w:val="24"/>
          <w:vertAlign w:val="superscript"/>
        </w:rPr>
        <w:t>,</w:t>
      </w:r>
      <w:r w:rsidR="009F252C" w:rsidRPr="00610A40">
        <w:rPr>
          <w:color w:val="auto"/>
          <w:szCs w:val="24"/>
        </w:rPr>
        <w:fldChar w:fldCharType="begin" w:fldLock="1"/>
      </w:r>
      <w:r w:rsidR="00565E2A" w:rsidRPr="00610A40">
        <w:rPr>
          <w:color w:val="auto"/>
          <w:szCs w:val="24"/>
        </w:rPr>
        <w:instrText>ADDIN CSL_CITATION { "citationItems" : [ { "id" : "ITEM-1", "itemData" : { "DOI" : "10.1016/j.biomaterials.2007.09.010", "ISBN" : "0142-9612", "ISSN" : "01429612", "PMID" : "17915309", "abstract" : "The myocardial tissue lacks significant intrinsic regenerative capability to replace the lost cells. Therefore, the heart is a major target of research within the field of tissue engineering, which aims to replace infarcted myocardium and enhance cardiac function. The primary objective of this work was to develop a biocompatible, degradable and superelastic heart patch from poly(glycerol sebacate) (PGS). PGS was synthesised at 110, 120 and 130 \u00b0C by polycondensation of glycerol and sebacic acid with a mole ratio of 1:1. The investigation was focused on the mechanical and biodegrading behaviours of the developed PGS. PGS materials synthesised at 110, 120 and 130 \u00b0C have Young's moduli of 0.056, 0.22 and 1.2 MPa, respectively, which satisfy the mechanical requirements on the materials applied for the heart patch and 3D myocardial tissue engineering construction. Degradation assessment in phosphate buffered saline and Knockout\u2122 DMEM culture medium has demonstrated that the PGS has a wide range of degradability, from being degradable in a couple of weeks to being nearly inert. The matching of physical characteristics to those of the heart, the ability to fine tune degradation rates in biologically relevant media and initial data showing biocompatibility indicate that this material has promise for cardiac tissue engineering applications. \u00a9 2007 Elsevier Ltd. All rights reserved.", "author" : [ { "dropping-particle" : "", "family" : "Chen", "given" : "Qi Zhi", "non-dropping-particle" : "", "parse-names" : false, "suffix" : "" }, { "dropping-particle" : "", "family" : "Bismarck", "given" : "Alexander", "non-dropping-particle" : "", "parse-names" : false, "suffix" : "" }, { "dropping-particle" : "", "family" : "Hansen", "given" : "Ulrich", "non-dropping-particle" : "", "parse-names" : false, "suffix" : "" }, { "dropping-particle" : "", "family" : "Junaid", "given" : "Sarah", "non-dropping-particle" : "", "parse-names" : false, "suffix" : "" }, { "dropping-particle" : "", "family" : "Tran", "given" : "Michael Q.", "non-dropping-particle" : "", "parse-names" : false, "suffix" : "" }, { "dropping-particle" : "", "family" : "Harding", "given" : "Si\u00e2n E.", "non-dropping-particle" : "", "parse-names" : false, "suffix" : "" }, { "dropping-particle" : "", "family" : "Ali", "given" : "Nadire N.", "non-dropping-particle" : "", "parse-names" : false, "suffix" : "" }, { "dropping-particle" : "", "family" : "Boccaccini", "given" : "Aldo R.", "non-dropping-particle" : "", "parse-names" : false, "suffix" : "" } ], "container-title" : "Biomaterials", "id" : "ITEM-1", "issue" : "1", "issued" : { "date-parts" : [ [ "2008" ] ] }, "page" : "47-57", "title" : "Characterisation of a soft elastomer poly(glycerol sebacate) designed to match the mechanical properties of myocardial tissue", "type" : "article-journal", "volume" : "29" }, "uris" : [ "http://www.mendeley.com/documents/?uuid=6841d177-f26e-4e80-93df-49ec67a3886e", "http://www.mendeley.com/documents/?uuid=6dd12a99-aaeb-45cd-866f-077b99f5ee24" ] } ], "mendeley" : { "formattedCitation" : "&lt;sup&gt;149&lt;/sup&gt;", "plainTextFormattedCitation" : "149", "previouslyFormattedCitation" : "&lt;sup&gt;148&lt;/sup&gt;"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149</w:t>
      </w:r>
      <w:r w:rsidR="009F252C" w:rsidRPr="00610A40">
        <w:rPr>
          <w:color w:val="auto"/>
          <w:szCs w:val="24"/>
        </w:rPr>
        <w:fldChar w:fldCharType="end"/>
      </w:r>
      <w:r w:rsidR="009F252C" w:rsidRPr="00610A40">
        <w:rPr>
          <w:color w:val="auto"/>
          <w:szCs w:val="24"/>
          <w:vertAlign w:val="superscript"/>
        </w:rPr>
        <w:t>,</w:t>
      </w:r>
      <w:r w:rsidR="009F252C" w:rsidRPr="00610A40">
        <w:rPr>
          <w:color w:val="auto"/>
          <w:szCs w:val="24"/>
        </w:rPr>
        <w:fldChar w:fldCharType="begin" w:fldLock="1"/>
      </w:r>
      <w:r w:rsidR="00565E2A" w:rsidRPr="00610A40">
        <w:rPr>
          <w:color w:val="auto"/>
          <w:szCs w:val="24"/>
        </w:rPr>
        <w:instrText>ADDIN CSL_CITATION { "citationItems" : [ { "id" : "ITEM-1", "itemData" : { "DOI" : "10.1038/nmat2316.Accordion-Like", "author" : [ { "dropping-particle" : "", "family" : "Jr", "given" : "George C Engelmayr", "non-dropping-particle" : "", "parse-names" : false, "suffix" : "" }, { "dropping-particle" : "", "family" : "Cheng", "given" : "Mingyu", "non-dropping-particle" : "", "parse-names" : false, "suffix" : "" }, { "dropping-particle" : "", "family" : "Bettinger", "given" : "Christopher J", "non-dropping-particle" : "", "parse-names" : false, "suffix" : "" }, { "dropping-particle" : "", "family" : "T", "given" : "Jeffrey", "non-dropping-particle" : "", "parse-names" : false, "suffix" : "" }, { "dropping-particle" : "", "family" : "Langer", "given" : "Robert", "non-dropping-particle" : "", "parse-names" : false, "suffix" : "" }, { "dropping-particle" : "", "family" : "Freed", "given" : "Lisa E", "non-dropping-particle" : "", "parse-names" : false, "suffix" : "" } ], "id" : "ITEM-1", "issue" : "12", "issued" : { "date-parts" : [ [ "2009" ] ] }, "page" : "1003-1010", "title" : "Accordion-Like Honeycombs for Tissue Engineering of Cardiac Anisotropy", "type" : "article-journal", "volume" : "7" }, "uris" : [ "http://www.mendeley.com/documents/?uuid=303b78a4-2b2a-4e95-bd7b-6c9f9a2aedca", "http://www.mendeley.com/documents/?uuid=8b9e23e4-e5ba-413d-b505-32e3224a7a79" ] } ], "mendeley" : { "formattedCitation" : "&lt;sup&gt;153&lt;/sup&gt;", "plainTextFormattedCitation" : "153", "previouslyFormattedCitation" : "&lt;sup&gt;152&lt;/sup&gt;"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153</w:t>
      </w:r>
      <w:r w:rsidR="009F252C" w:rsidRPr="00610A40">
        <w:rPr>
          <w:color w:val="auto"/>
          <w:szCs w:val="24"/>
        </w:rPr>
        <w:fldChar w:fldCharType="end"/>
      </w:r>
      <w:r w:rsidR="009F252C" w:rsidRPr="00610A40">
        <w:rPr>
          <w:color w:val="auto"/>
          <w:szCs w:val="24"/>
        </w:rPr>
        <w:t>, poly(</w:t>
      </w:r>
      <w:proofErr w:type="spellStart"/>
      <w:r w:rsidR="009F252C" w:rsidRPr="00610A40">
        <w:rPr>
          <w:color w:val="auto"/>
          <w:szCs w:val="24"/>
        </w:rPr>
        <w:t>ocatamethylene</w:t>
      </w:r>
      <w:proofErr w:type="spellEnd"/>
      <w:r w:rsidR="009F252C" w:rsidRPr="00610A40">
        <w:rPr>
          <w:color w:val="auto"/>
          <w:szCs w:val="24"/>
        </w:rPr>
        <w:t xml:space="preserve"> maleate(</w:t>
      </w:r>
      <w:proofErr w:type="spellStart"/>
      <w:r w:rsidR="009F252C" w:rsidRPr="00610A40">
        <w:rPr>
          <w:color w:val="auto"/>
          <w:szCs w:val="24"/>
        </w:rPr>
        <w:t>anyhydride</w:t>
      </w:r>
      <w:proofErr w:type="spellEnd"/>
      <w:r w:rsidR="009F252C" w:rsidRPr="00610A40">
        <w:rPr>
          <w:color w:val="auto"/>
          <w:szCs w:val="24"/>
        </w:rPr>
        <w:t>)citrate) (</w:t>
      </w:r>
      <w:proofErr w:type="spellStart"/>
      <w:r w:rsidR="009F252C" w:rsidRPr="00610A40">
        <w:rPr>
          <w:color w:val="auto"/>
          <w:szCs w:val="24"/>
        </w:rPr>
        <w:t>POMaC</w:t>
      </w:r>
      <w:proofErr w:type="spellEnd"/>
      <w:r w:rsidR="009F252C" w:rsidRPr="00610A40">
        <w:rPr>
          <w:color w:val="auto"/>
          <w:szCs w:val="24"/>
        </w:rPr>
        <w:t>)</w:t>
      </w:r>
      <w:r w:rsidR="009F252C" w:rsidRPr="00610A40">
        <w:rPr>
          <w:color w:val="auto"/>
          <w:szCs w:val="24"/>
        </w:rPr>
        <w:fldChar w:fldCharType="begin" w:fldLock="1"/>
      </w:r>
      <w:r w:rsidR="00565E2A" w:rsidRPr="00610A40">
        <w:rPr>
          <w:color w:val="auto"/>
          <w:szCs w:val="24"/>
        </w:rPr>
        <w:instrText>ADDIN CSL_CITATION { "citationItems" : [ { "id" : "ITEM-1", "itemData" : { "DOI" : "10.1126/sciadv.1500423", "ISSN" : "2375-2548", "PMID" : "26601234", "abstract" : "Engineering mature tissues requires a guided assembly of cells into organized three-dimensional (3D) structures with multiple cell types. Guidance is usually achieved by microtopographical scaffold cues or by cell-gel compaction. The assembly of individual units into functional 3D tissues is often time-consuming, relying on cell ingrowth and matrix remodeling, whereas disassembly requires an invasive method that includes either matrix dissolution or mechanical cutting. We invented Tissue-Velcro, a bio-scaffold with a microfabricated hook and loop system. The assembly of Tissue-Velcro preserved the guided cell alignment realized by the topographical features in the 2D scaffold mesh and allowed for the instant establishment of coculture conditions by spatially defined stacking of cardiac cell layers or through endothelial cell coating. The assembled cardiac 3D tissue constructs were immediately functional as measured by their ability to contract in response to electrical field stimulation. Facile, on-demand tissue disassembly was demonstrated while preserving the structure, physical integrity, and beating function of individual layers.", "author" : [ { "dropping-particle" : "", "family" : "Zhang", "given" : "B.", "non-dropping-particle" : "", "parse-names" : false, "suffix" : "" }, { "dropping-particle" : "", "family" : "Montgomery", "given" : "M.", "non-dropping-particle" : "", "parse-names" : false, "suffix" : "" }, { "dropping-particle" : "", "family" : "Davenport-Huyer", "given" : "L.", "non-dropping-particle" : "", "parse-names" : false, "suffix" : "" }, { "dropping-particle" : "", "family" : "Korolj", "given" : "A.", "non-dropping-particle" : "", "parse-names" : false, "suffix" : "" }, { "dropping-particle" : "", "family" : "Radisic", "given" : "M.", "non-dropping-particle" : "", "parse-names" : false, "suffix" : "" } ], "container-title" : "Science Advances", "id" : "ITEM-1", "issue" : "7", "issued" : { "date-parts" : [ [ "2015" ] ] }, "page" : "e1500423-e1500423", "title" : "Platform technology for scalable assembly of instantaneously functional mosaic tissues", "type" : "article-journal", "volume" : "1" }, "uris" : [ "http://www.mendeley.com/documents/?uuid=3df52aad-9750-495f-8086-b67ec7dd5cd7", "http://www.mendeley.com/documents/?uuid=42854309-a4c1-4b56-ae95-4980d3ba7ce7" ] } ], "mendeley" : { "formattedCitation" : "&lt;sup&gt;154&lt;/sup&gt;", "plainTextFormattedCitation" : "154", "previouslyFormattedCitation" : "&lt;sup&gt;153&lt;/sup&gt;"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154</w:t>
      </w:r>
      <w:r w:rsidR="009F252C" w:rsidRPr="00610A40">
        <w:rPr>
          <w:color w:val="auto"/>
          <w:szCs w:val="24"/>
        </w:rPr>
        <w:fldChar w:fldCharType="end"/>
      </w:r>
      <w:r w:rsidR="009F252C" w:rsidRPr="00610A40">
        <w:rPr>
          <w:color w:val="auto"/>
          <w:szCs w:val="24"/>
        </w:rPr>
        <w:t>, poly(</w:t>
      </w:r>
      <w:proofErr w:type="spellStart"/>
      <w:r w:rsidR="009F252C" w:rsidRPr="00610A40">
        <w:rPr>
          <w:color w:val="auto"/>
          <w:szCs w:val="24"/>
        </w:rPr>
        <w:t>octamethylene</w:t>
      </w:r>
      <w:proofErr w:type="spellEnd"/>
      <w:r w:rsidR="009F252C" w:rsidRPr="00610A40">
        <w:rPr>
          <w:color w:val="auto"/>
          <w:szCs w:val="24"/>
        </w:rPr>
        <w:t xml:space="preserve"> maleate (anhydride) 1,2,4-butanetricarboxylate)</w:t>
      </w:r>
      <w:r w:rsidR="009F252C" w:rsidRPr="00610A40">
        <w:rPr>
          <w:color w:val="auto"/>
          <w:szCs w:val="24"/>
        </w:rPr>
        <w:fldChar w:fldCharType="begin" w:fldLock="1"/>
      </w:r>
      <w:r w:rsidR="00565E2A" w:rsidRPr="00610A40">
        <w:rPr>
          <w:color w:val="auto"/>
          <w:szCs w:val="24"/>
        </w:rPr>
        <w:instrText>ADDIN CSL_CITATION { "citationItems" : [ { "id" : "ITEM-1", "itemData" : { "DOI" : "10.1021/acsbiomaterials.5b00525", "ISSN" : "23739878", "abstract" : "Polyester biomaterials are used in tissue engineering as scaffolds for implantation of tissues developed in vitro. An ideal biodegradable elastomer for cardiac tissue engineering exhibits a relatively low Young\u2019s modulus, with high elongation and tensile strength. Here we describe a novel polyester biomaterial that exhibits improved elastic properties for cardiac tissue engineering applications. We synthesized poly(octamethylene maleate (anhydride) 1,2,4-butanetricarboxylate) (124 polymer) prepolymer gel in a one-step polycondensation reaction. The prepolymer was then molded as desired and exposed to ultraviolet (UV) light to produce a cross-linked elastomer. 124 polymer exhibited highly elastic properties under aqueous conditions that were tunable according to the UV light exposure, monomer composition, and porosity of the cured elastomer. Its elastomeric properties fell within the range of adult heart myocardium, but they could also be optimized for higher elasticity for weaker immature constructs. The polymer showed relatively stable degradation characteristics, both hydrolytically and in a cellular environment, suggesting maintenance of material properties as a scaffold support for potential tissue implants. When assessed for cell interaction, this polymer supported rat cardiac cell attachment in vitro as well as comparable acute in vivo host response when compared to poly(l-lactic acid) control. This suggests the potential applicability of this material as an elastomer for cardiac tissue engineered constructs. Polyester biomaterials are used in tissue engineering as scaffolds for implantation of tissues developed in vitro. An ideal biodegradable elastomer for cardiac tissue engineering exhibits a relatively low Young\u2019s modulus, with high elongation and tensile strength. Here we describe a novel polyester biomaterial that exhibits improved elastic properties for cardiac tissue engineering applications. We synthesized poly(octamethylene maleate (anhydride) 1,2,4-butanetricarboxylate) (124 polymer) prepolymer gel in a one-step polycondensation reaction. The prepolymer was then molded as desired and exposed to ultraviolet (UV) light to produce a cross-linked elastomer. 124 polymer exhibited highly elastic properties under aqueous conditions that were tunable according to the UV light exposure, monomer composition, and porosity of the cured elastomer. Its elastomeric properties fell within the range of adult heart myocardium, but they could also be opti\u2026", "author" : [ { "dropping-particle" : "", "family" : "Davenport Huyer", "given" : "Locke", "non-dropping-particle" : "", "parse-names" : false, "suffix" : "" }, { "dropping-particle" : "", "family" : "Zhang", "given" : "Boyang", "non-dropping-particle" : "", "parse-names" : false, "suffix" : "" }, { "dropping-particle" : "", "family" : "Korolj", "given" : "Anastasia", "non-dropping-particle" : "", "parse-names" : false, "suffix" : "" }, { "dropping-particle" : "", "family" : "Montgomery", "given" : "Miles", "non-dropping-particle" : "", "parse-names" : false, "suffix" : "" }, { "dropping-particle" : "", "family" : "Drecun", "given" : "Stasja", "non-dropping-particle" : "", "parse-names" : false, "suffix" : "" }, { "dropping-particle" : "", "family" : "Conant", "given" : "Genevieve", "non-dropping-particle" : "", "parse-names" : false, "suffix" : "" }, { "dropping-particle" : "", "family" : "Zhao", "given" : "Yimu", "non-dropping-particle" : "", "parse-names" : false, "suffix" : "" }, { "dropping-particle" : "", "family" : "Reis", "given" : "Lewis", "non-dropping-particle" : "", "parse-names" : false, "suffix" : "" }, { "dropping-particle" : "", "family" : "Radisic", "given" : "Milica", "non-dropping-particle" : "", "parse-names" : false, "suffix" : "" } ], "container-title" : "ACS Biomaterials Science and Engineering", "id" : "ITEM-1", "issue" : "5", "issued" : { "date-parts" : [ [ "2016" ] ] }, "page" : "780-788", "title" : "Highly Elastic and Moldable Polyester Biomaterial for Cardiac Tissue Engineering Applications", "type" : "article-journal", "volume" : "2" }, "uris" : [ "http://www.mendeley.com/documents/?uuid=88bbc594-f8cf-4bbd-8cd0-163ad5f8fe30", "http://www.mendeley.com/documents/?uuid=4d431bbb-5e5e-47ad-9f1b-6afb7d086204" ] } ], "mendeley" : { "formattedCitation" : "&lt;sup&gt;151&lt;/sup&gt;", "plainTextFormattedCitation" : "151", "previouslyFormattedCitation" : "&lt;sup&gt;150&lt;/sup&gt;" }, "properties" : { "noteIndex" : 0 }, "schema" : "https://github.com/citation-style-language/schema/raw/master/csl-citation.json" }</w:instrText>
      </w:r>
      <w:r w:rsidR="009F252C" w:rsidRPr="00610A40">
        <w:rPr>
          <w:color w:val="auto"/>
          <w:szCs w:val="24"/>
        </w:rPr>
        <w:fldChar w:fldCharType="separate"/>
      </w:r>
      <w:r w:rsidR="00565E2A" w:rsidRPr="00610A40">
        <w:rPr>
          <w:noProof/>
          <w:color w:val="auto"/>
          <w:szCs w:val="24"/>
          <w:vertAlign w:val="superscript"/>
        </w:rPr>
        <w:t>151</w:t>
      </w:r>
      <w:r w:rsidR="009F252C" w:rsidRPr="00610A40">
        <w:rPr>
          <w:color w:val="auto"/>
          <w:szCs w:val="24"/>
        </w:rPr>
        <w:fldChar w:fldCharType="end"/>
      </w:r>
      <w:r w:rsidR="009F252C" w:rsidRPr="00610A40">
        <w:rPr>
          <w:color w:val="auto"/>
          <w:szCs w:val="24"/>
        </w:rPr>
        <w:t xml:space="preserve">. </w:t>
      </w:r>
    </w:p>
    <w:bookmarkEnd w:id="8"/>
    <w:p w14:paraId="2FC5D9A9" w14:textId="61FACC65" w:rsidR="00C427B7" w:rsidRPr="00610A40" w:rsidRDefault="00C427B7" w:rsidP="00086775">
      <w:pPr>
        <w:rPr>
          <w:color w:val="auto"/>
          <w:szCs w:val="24"/>
        </w:rPr>
      </w:pPr>
    </w:p>
    <w:p w14:paraId="543BEB3B" w14:textId="48A5D74C" w:rsidR="008C0ADC" w:rsidRPr="00610A40" w:rsidRDefault="00007C8A" w:rsidP="008B7846">
      <w:pPr>
        <w:pStyle w:val="Heading2"/>
        <w:rPr>
          <w:sz w:val="24"/>
          <w:szCs w:val="24"/>
        </w:rPr>
      </w:pPr>
      <w:r w:rsidRPr="00610A40">
        <w:rPr>
          <w:sz w:val="24"/>
          <w:szCs w:val="24"/>
        </w:rPr>
        <w:t>5</w:t>
      </w:r>
      <w:r w:rsidR="001F12C7" w:rsidRPr="00610A40">
        <w:rPr>
          <w:sz w:val="24"/>
          <w:szCs w:val="24"/>
        </w:rPr>
        <w:t>.</w:t>
      </w:r>
      <w:r w:rsidR="00C427B7" w:rsidRPr="00610A40">
        <w:rPr>
          <w:sz w:val="24"/>
          <w:szCs w:val="24"/>
        </w:rPr>
        <w:t>2</w:t>
      </w:r>
      <w:r w:rsidR="001F12C7" w:rsidRPr="00610A40">
        <w:rPr>
          <w:sz w:val="24"/>
          <w:szCs w:val="24"/>
        </w:rPr>
        <w:t xml:space="preserve"> </w:t>
      </w:r>
      <w:r w:rsidR="008C0ADC" w:rsidRPr="00610A40">
        <w:rPr>
          <w:sz w:val="24"/>
          <w:szCs w:val="24"/>
        </w:rPr>
        <w:t xml:space="preserve">In vitro cardiac tissue engineering scaffolds </w:t>
      </w:r>
    </w:p>
    <w:p w14:paraId="19BC112D" w14:textId="5239FD0B" w:rsidR="008C0ADC" w:rsidRPr="00610A40" w:rsidRDefault="004C751B">
      <w:pPr>
        <w:rPr>
          <w:color w:val="auto"/>
          <w:szCs w:val="24"/>
        </w:rPr>
      </w:pPr>
      <w:r w:rsidRPr="00610A40">
        <w:rPr>
          <w:color w:val="auto"/>
          <w:szCs w:val="24"/>
        </w:rPr>
        <w:t xml:space="preserve">One approach to treating cardiac diseases is to culture functional cardiac tissue in vitro, before implanting it into the patient. To achieve this, an appropriate material for cardiac tissue culture would be required. </w:t>
      </w:r>
      <w:r w:rsidR="008C0ADC" w:rsidRPr="00610A40">
        <w:rPr>
          <w:color w:val="auto"/>
          <w:szCs w:val="24"/>
        </w:rPr>
        <w:t>Hard and rigid substrate</w:t>
      </w:r>
      <w:r w:rsidR="00FC27A7" w:rsidRPr="00610A40">
        <w:rPr>
          <w:color w:val="auto"/>
          <w:szCs w:val="24"/>
        </w:rPr>
        <w:t>s</w:t>
      </w:r>
      <w:r w:rsidR="008C0ADC" w:rsidRPr="00610A40">
        <w:rPr>
          <w:color w:val="auto"/>
          <w:szCs w:val="24"/>
        </w:rPr>
        <w:t xml:space="preserve"> cause the cardiac cells to de-differentiate and lose their functional abilities</w:t>
      </w:r>
      <w:r w:rsidR="008C0ADC" w:rsidRPr="00610A40">
        <w:rPr>
          <w:color w:val="auto"/>
          <w:szCs w:val="24"/>
        </w:rPr>
        <w:fldChar w:fldCharType="begin" w:fldLock="1"/>
      </w:r>
      <w:r w:rsidR="00565E2A" w:rsidRPr="00610A40">
        <w:rPr>
          <w:color w:val="auto"/>
          <w:szCs w:val="24"/>
        </w:rPr>
        <w:instrText>ADDIN CSL_CITATION { "citationItems" : [ { "id" : "ITEM-1", "itemData" : { "DOI" : "10.1242/jcs.071001", "ISBN" : "1477-9137 (Electronic) 0021-9533 (Linking)", "ISSN" : "0021-9533", "PMID" : "21172819", "abstract" : "The responses of cells to chemical signals are relatively well characterized and understood. Cells also respond to mechanical signals in the form of externally applied force and forces generated by cell-matrix and cell-cell contacts. Many features of cell function that are generally considered to be under the control of chemical stimuli, such as motility, proliferation, differentiation and survival, can also be altered by changes in the stiffness of the substrate to which the cells are adhered, even when their chemical environment remains unchanged. Many examples from clinical and whole animal studies have shown that changes in tissue stiffness are related to specific disease characteristics and that efforts to restore normal tissue mechanics have the potential to reverse or prevent cell dysfunction and disease. How cells detect stiffness is largely unknown, but the cellular structures that measure stiffness and the general principles by which they work are beginning to be revealed. This Commentary highlights selected recent reports of mechanical signaling during disease development, discusses open questions regarding the physical mechanisms by which cells sense stiffness, and examines the relationship between studies in vitro on flat substrates and the more complex three-dimensional setting in vivo.", "author" : [ { "dropping-particle" : "", "family" : "Janmey", "given" : "Paul a.", "non-dropping-particle" : "", "parse-names" : false, "suffix" : "" }, { "dropping-particle" : "", "family" : "Miller", "given" : "R. Tyler", "non-dropping-particle" : "", "parse-names" : false, "suffix" : "" } ], "container-title" : "Journal of cell science", "id" : "ITEM-1", "issue" : "Pt 1", "issued" : { "date-parts" : [ [ "2011" ] ] }, "page" : "9-18", "title" : "Mechanisms of mechanical signaling in development and disease.", "type" : "article-journal", "volume" : "124" }, "uris" : [ "http://www.mendeley.com/documents/?uuid=36f90046-e7d6-4599-9a78-51d14d4b1e1e", "http://www.mendeley.com/documents/?uuid=b1880401-6528-4c39-a74e-8135125066dd" ] } ], "mendeley" : { "formattedCitation" : "&lt;sup&gt;162&lt;/sup&gt;", "plainTextFormattedCitation" : "162", "previouslyFormattedCitation" : "&lt;sup&gt;161&lt;/sup&gt;" }, "properties" : { "noteIndex" : 0 }, "schema" : "https://github.com/citation-style-language/schema/raw/master/csl-citation.json" }</w:instrText>
      </w:r>
      <w:r w:rsidR="008C0ADC" w:rsidRPr="00610A40">
        <w:rPr>
          <w:color w:val="auto"/>
          <w:szCs w:val="24"/>
        </w:rPr>
        <w:fldChar w:fldCharType="separate"/>
      </w:r>
      <w:r w:rsidR="00565E2A" w:rsidRPr="00610A40">
        <w:rPr>
          <w:noProof/>
          <w:color w:val="auto"/>
          <w:szCs w:val="24"/>
          <w:vertAlign w:val="superscript"/>
        </w:rPr>
        <w:t>162</w:t>
      </w:r>
      <w:r w:rsidR="008C0ADC" w:rsidRPr="00610A40">
        <w:rPr>
          <w:color w:val="auto"/>
          <w:szCs w:val="24"/>
        </w:rPr>
        <w:fldChar w:fldCharType="end"/>
      </w:r>
      <w:r w:rsidR="008C0ADC" w:rsidRPr="00610A40">
        <w:rPr>
          <w:color w:val="auto"/>
          <w:szCs w:val="24"/>
        </w:rPr>
        <w:t xml:space="preserve">. </w:t>
      </w:r>
      <w:r w:rsidRPr="00610A40">
        <w:rPr>
          <w:rFonts w:cs="Times New Roman"/>
          <w:color w:val="auto"/>
          <w:szCs w:val="24"/>
        </w:rPr>
        <w:t>Generally, t</w:t>
      </w:r>
      <w:r w:rsidR="009F252C" w:rsidRPr="00610A40">
        <w:rPr>
          <w:rFonts w:cs="Times New Roman"/>
          <w:color w:val="auto"/>
          <w:szCs w:val="24"/>
        </w:rPr>
        <w:t>wo strategies are employed</w:t>
      </w:r>
      <w:r w:rsidRPr="00610A40">
        <w:rPr>
          <w:rFonts w:cs="Times New Roman"/>
          <w:color w:val="auto"/>
          <w:szCs w:val="24"/>
        </w:rPr>
        <w:t xml:space="preserve"> to match the scaffold’s mechanical properties to that of the cardiac tissue</w:t>
      </w:r>
      <w:r w:rsidR="009F252C" w:rsidRPr="00610A40">
        <w:rPr>
          <w:rFonts w:cs="Times New Roman"/>
          <w:color w:val="auto"/>
          <w:szCs w:val="24"/>
        </w:rPr>
        <w:t>: 1) by selecting materials that has</w:t>
      </w:r>
      <w:r w:rsidRPr="00610A40">
        <w:rPr>
          <w:rFonts w:cs="Times New Roman"/>
          <w:color w:val="auto"/>
          <w:szCs w:val="24"/>
        </w:rPr>
        <w:t xml:space="preserve"> inherent</w:t>
      </w:r>
      <w:r w:rsidR="009F252C" w:rsidRPr="00610A40">
        <w:rPr>
          <w:rFonts w:cs="Times New Roman"/>
          <w:color w:val="auto"/>
          <w:szCs w:val="24"/>
        </w:rPr>
        <w:t xml:space="preserve"> mechanical properties similar to that of the cardiac tissue, and/or 2) by processing materials (copolymerization, engineering porosity, electrospinning </w:t>
      </w:r>
      <w:r w:rsidR="00D5605F" w:rsidRPr="00610A40">
        <w:rPr>
          <w:rFonts w:cs="Times New Roman"/>
          <w:color w:val="auto"/>
          <w:szCs w:val="24"/>
        </w:rPr>
        <w:t>etc.</w:t>
      </w:r>
      <w:r w:rsidR="009F252C" w:rsidRPr="00610A40">
        <w:rPr>
          <w:rFonts w:cs="Times New Roman"/>
          <w:color w:val="auto"/>
          <w:szCs w:val="24"/>
        </w:rPr>
        <w:t xml:space="preserve">) such that the overall processed scaffold will exhibit mechanical properties matching that of the cardiac tissue. </w:t>
      </w:r>
    </w:p>
    <w:p w14:paraId="5EEB9D8C" w14:textId="77777777" w:rsidR="008B7846" w:rsidRPr="00610A40" w:rsidRDefault="008B7846" w:rsidP="008B7846">
      <w:pPr>
        <w:rPr>
          <w:color w:val="auto"/>
          <w:szCs w:val="24"/>
        </w:rPr>
      </w:pPr>
    </w:p>
    <w:p w14:paraId="146B6C90" w14:textId="77777777" w:rsidR="00283F86" w:rsidRPr="00610A40" w:rsidRDefault="00283F86" w:rsidP="008B7846">
      <w:pPr>
        <w:rPr>
          <w:color w:val="auto"/>
          <w:szCs w:val="24"/>
        </w:rPr>
      </w:pPr>
    </w:p>
    <w:p w14:paraId="3CC9EE0B" w14:textId="2A3A9B31" w:rsidR="008C0ADC" w:rsidRPr="00610A40" w:rsidRDefault="008C0ADC" w:rsidP="008B7846">
      <w:pPr>
        <w:rPr>
          <w:color w:val="auto"/>
          <w:szCs w:val="24"/>
        </w:rPr>
      </w:pPr>
      <w:proofErr w:type="gramStart"/>
      <w:r w:rsidRPr="00610A40">
        <w:rPr>
          <w:color w:val="auto"/>
          <w:szCs w:val="24"/>
        </w:rPr>
        <w:t>Mukherjee et.al.</w:t>
      </w:r>
      <w:proofErr w:type="gramEnd"/>
      <w:r w:rsidRPr="00610A40">
        <w:rPr>
          <w:color w:val="auto"/>
          <w:szCs w:val="24"/>
        </w:rPr>
        <w:t xml:space="preserve"> </w:t>
      </w:r>
      <w:proofErr w:type="spellStart"/>
      <w:r w:rsidRPr="00610A40">
        <w:rPr>
          <w:color w:val="auto"/>
          <w:szCs w:val="24"/>
        </w:rPr>
        <w:t>electrospun</w:t>
      </w:r>
      <w:proofErr w:type="spellEnd"/>
      <w:r w:rsidRPr="00610A40">
        <w:rPr>
          <w:color w:val="auto"/>
          <w:szCs w:val="24"/>
        </w:rPr>
        <w:t xml:space="preserve"> commercially available poly (L)-lactic acid with </w:t>
      </w:r>
      <w:proofErr w:type="spellStart"/>
      <w:r w:rsidRPr="00610A40">
        <w:rPr>
          <w:color w:val="auto"/>
          <w:szCs w:val="24"/>
        </w:rPr>
        <w:t>trimethylene</w:t>
      </w:r>
      <w:proofErr w:type="spellEnd"/>
      <w:r w:rsidRPr="00610A40">
        <w:rPr>
          <w:color w:val="auto"/>
          <w:szCs w:val="24"/>
        </w:rPr>
        <w:t xml:space="preserve"> carbonate (P(L)LA-co-TMC) into highly porous mats with micron-scale interstitial pores</w:t>
      </w:r>
      <w:r w:rsidRPr="00610A40">
        <w:rPr>
          <w:color w:val="auto"/>
          <w:szCs w:val="24"/>
        </w:rPr>
        <w:fldChar w:fldCharType="begin" w:fldLock="1"/>
      </w:r>
      <w:r w:rsidR="00565E2A" w:rsidRPr="00610A40">
        <w:rPr>
          <w:color w:val="auto"/>
          <w:szCs w:val="24"/>
        </w:rPr>
        <w:instrText>ADDIN CSL_CITATION { "citationItems" : [ { "id" : "ITEM-1", "itemData" : { "DOI" : "10.1007/s10856-011-4351-2", "ISBN" : "0957-4530", "ISSN" : "09574530", "PMID" : "21617996", "abstract" : "... Abstract In myocardial tissue engineering the use of synthetically bioengineered flexible patches implanted in the infarcted area ... M, Feinberg MS, Holbova R, Cohen S, Leor J. Evaluation of a peritoneal-generated cardiac  patch in a rat model of heterotopic heart transplantation ... \\n", "author" : [ { "dropping-particle" : "", "family" : "Mukherjee", "given" : "Shayanti", "non-dropping-particle" : "", "parse-names" : false, "suffix" : "" }, { "dropping-particle" : "", "family" : "Gualandi", "given" : "Chiara", "non-dropping-particle" : "", "parse-names" : false, "suffix" : "" }, { "dropping-particle" : "", "family" : "Focarete", "given" : "Maria Letizia", "non-dropping-particle" : "", "parse-names" : false, "suffix" : "" }, { "dropping-particle" : "", "family" : "Ravichandran", "given" : "Rajeswari", "non-dropping-particle" : "", "parse-names" : false, "suffix" : "" }, { "dropping-particle" : "", "family" : "Venugopal", "given" : "Jayarama Reddy", "non-dropping-particle" : "", "parse-names" : false, "suffix" : "" }, { "dropping-particle" : "", "family" : "Raghunath", "given" : "Michael", "non-dropping-particle" : "", "parse-names" : false, "suffix" : "" }, { "dropping-particle" : "", "family" : "Ramakrishna", "given" : "Seeram", "non-dropping-particle" : "", "parse-names" : false, "suffix" : "" } ], "container-title" : "Journal of Materials Science: Materials in Medicine", "id" : "ITEM-1", "issue" : "7", "issued" : { "date-parts" : [ [ "2011" ] ] }, "page" : "1689-1699", "title" : "Elastomeric electrospun scaffolds of poly(l-lactide-co-trimethylene carbonate) for myocardial tissue engineering", "type" : "article-journal", "volume" : "22" }, "uris" : [ "http://www.mendeley.com/documents/?uuid=060de715-93e2-4c18-b549-836cd3128308", "http://www.mendeley.com/documents/?uuid=78d23e6a-7ae0-4cba-a0ad-48ea605509ac" ] } ], "mendeley" : { "formattedCitation" : "&lt;sup&gt;160&lt;/sup&gt;", "plainTextFormattedCitation" : "160", "previouslyFormattedCitation" : "&lt;sup&gt;159&lt;/sup&gt;"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160</w:t>
      </w:r>
      <w:r w:rsidRPr="00610A40">
        <w:rPr>
          <w:color w:val="auto"/>
          <w:szCs w:val="24"/>
        </w:rPr>
        <w:fldChar w:fldCharType="end"/>
      </w:r>
      <w:r w:rsidRPr="00610A40">
        <w:rPr>
          <w:color w:val="auto"/>
          <w:szCs w:val="24"/>
        </w:rPr>
        <w:t xml:space="preserve">. The P(L)LA-co-TMC fibers </w:t>
      </w:r>
      <w:proofErr w:type="spellStart"/>
      <w:r w:rsidRPr="00610A40">
        <w:rPr>
          <w:color w:val="auto"/>
          <w:szCs w:val="24"/>
        </w:rPr>
        <w:t>electrospun</w:t>
      </w:r>
      <w:proofErr w:type="spellEnd"/>
      <w:r w:rsidRPr="00610A40">
        <w:rPr>
          <w:color w:val="auto"/>
          <w:szCs w:val="24"/>
        </w:rPr>
        <w:t xml:space="preserve"> had a diameter distribution of 530 ± 110 nm, as compared to the </w:t>
      </w:r>
      <w:proofErr w:type="spellStart"/>
      <w:r w:rsidRPr="00610A40">
        <w:rPr>
          <w:color w:val="auto"/>
          <w:szCs w:val="24"/>
        </w:rPr>
        <w:t>electrospun</w:t>
      </w:r>
      <w:proofErr w:type="spellEnd"/>
      <w:r w:rsidRPr="00610A40">
        <w:rPr>
          <w:color w:val="auto"/>
          <w:szCs w:val="24"/>
        </w:rPr>
        <w:t xml:space="preserve"> pure P(L)LA fibers of 610 ± 180 nm. The glass transition temperature of </w:t>
      </w:r>
      <w:proofErr w:type="spellStart"/>
      <w:r w:rsidRPr="00610A40">
        <w:rPr>
          <w:color w:val="auto"/>
          <w:szCs w:val="24"/>
        </w:rPr>
        <w:t>electrospun</w:t>
      </w:r>
      <w:proofErr w:type="spellEnd"/>
      <w:r w:rsidRPr="00610A40">
        <w:rPr>
          <w:color w:val="auto"/>
          <w:szCs w:val="24"/>
        </w:rPr>
        <w:t xml:space="preserve"> </w:t>
      </w:r>
      <w:proofErr w:type="gramStart"/>
      <w:r w:rsidRPr="00610A40">
        <w:rPr>
          <w:color w:val="auto"/>
          <w:szCs w:val="24"/>
        </w:rPr>
        <w:t>P(</w:t>
      </w:r>
      <w:proofErr w:type="gramEnd"/>
      <w:r w:rsidRPr="00610A40">
        <w:rPr>
          <w:color w:val="auto"/>
          <w:szCs w:val="24"/>
        </w:rPr>
        <w:t xml:space="preserve">L)LA-co-TMC mats was around 34˚C while that for P(L)LA was about 60˚C. Due </w:t>
      </w:r>
      <w:r w:rsidRPr="00610A40">
        <w:rPr>
          <w:color w:val="auto"/>
          <w:szCs w:val="24"/>
        </w:rPr>
        <w:lastRenderedPageBreak/>
        <w:t xml:space="preserve">to this difference, the tensile modulus of </w:t>
      </w:r>
      <w:proofErr w:type="gramStart"/>
      <w:r w:rsidRPr="00610A40">
        <w:rPr>
          <w:color w:val="auto"/>
          <w:szCs w:val="24"/>
        </w:rPr>
        <w:t>P(</w:t>
      </w:r>
      <w:proofErr w:type="gramEnd"/>
      <w:r w:rsidRPr="00610A40">
        <w:rPr>
          <w:color w:val="auto"/>
          <w:szCs w:val="24"/>
        </w:rPr>
        <w:t xml:space="preserve">L)LA-co-TMC mats was 19 ± 5 </w:t>
      </w:r>
      <w:proofErr w:type="spellStart"/>
      <w:r w:rsidRPr="00610A40">
        <w:rPr>
          <w:color w:val="auto"/>
          <w:szCs w:val="24"/>
        </w:rPr>
        <w:t>MPa</w:t>
      </w:r>
      <w:proofErr w:type="spellEnd"/>
      <w:r w:rsidRPr="00610A40">
        <w:rPr>
          <w:color w:val="auto"/>
          <w:szCs w:val="24"/>
        </w:rPr>
        <w:t xml:space="preserve"> </w:t>
      </w:r>
      <w:r w:rsidR="000C15DF" w:rsidRPr="00610A40">
        <w:rPr>
          <w:color w:val="auto"/>
          <w:szCs w:val="24"/>
        </w:rPr>
        <w:t xml:space="preserve">while </w:t>
      </w:r>
      <w:r w:rsidRPr="00610A40">
        <w:rPr>
          <w:color w:val="auto"/>
          <w:szCs w:val="24"/>
        </w:rPr>
        <w:t xml:space="preserve">that for P(L)LA was 126 ± 25 </w:t>
      </w:r>
      <w:proofErr w:type="spellStart"/>
      <w:r w:rsidRPr="00610A40">
        <w:rPr>
          <w:color w:val="auto"/>
          <w:szCs w:val="24"/>
        </w:rPr>
        <w:t>MPa</w:t>
      </w:r>
      <w:proofErr w:type="spellEnd"/>
      <w:r w:rsidRPr="00610A40">
        <w:rPr>
          <w:color w:val="auto"/>
          <w:szCs w:val="24"/>
        </w:rPr>
        <w:t xml:space="preserve"> at 37˚C. The </w:t>
      </w:r>
      <w:proofErr w:type="gramStart"/>
      <w:r w:rsidRPr="00610A40">
        <w:rPr>
          <w:color w:val="auto"/>
          <w:szCs w:val="24"/>
        </w:rPr>
        <w:t>P(</w:t>
      </w:r>
      <w:proofErr w:type="gramEnd"/>
      <w:r w:rsidRPr="00610A40">
        <w:rPr>
          <w:color w:val="auto"/>
          <w:szCs w:val="24"/>
        </w:rPr>
        <w:t xml:space="preserve">L)LA-co-TMC mats also demonstrated a much higher yielding strain at 37˚C due to its transition from glass to rubbery state pass its glass transition temperature. The P(L)LA-co-TMC mats exhibited complete strain recovery even after a 10% strain while the P(L)LA mats were permanently deformed after only a 3% deformation. These results showed that </w:t>
      </w:r>
      <w:proofErr w:type="gramStart"/>
      <w:r w:rsidRPr="00610A40">
        <w:rPr>
          <w:color w:val="auto"/>
          <w:szCs w:val="24"/>
        </w:rPr>
        <w:t>P(</w:t>
      </w:r>
      <w:proofErr w:type="gramEnd"/>
      <w:r w:rsidRPr="00610A40">
        <w:rPr>
          <w:color w:val="auto"/>
          <w:szCs w:val="24"/>
        </w:rPr>
        <w:t xml:space="preserve">L)LA-co-TMC mats were elastomeric and soft and therefore suitable for use as a cardiac graft. The culturing of adult rabbit </w:t>
      </w:r>
      <w:proofErr w:type="spellStart"/>
      <w:r w:rsidRPr="00610A40">
        <w:rPr>
          <w:color w:val="auto"/>
          <w:szCs w:val="24"/>
        </w:rPr>
        <w:t>cardiomyocyte</w:t>
      </w:r>
      <w:proofErr w:type="spellEnd"/>
      <w:r w:rsidRPr="00610A40">
        <w:rPr>
          <w:color w:val="auto"/>
          <w:szCs w:val="24"/>
        </w:rPr>
        <w:t xml:space="preserve"> isolates on the P(L)LA-co-TMC mats demonstrated enhanced proliferation compared to P(L)LA </w:t>
      </w:r>
      <w:proofErr w:type="spellStart"/>
      <w:r w:rsidRPr="00610A40">
        <w:rPr>
          <w:color w:val="auto"/>
          <w:szCs w:val="24"/>
        </w:rPr>
        <w:t>electrospun</w:t>
      </w:r>
      <w:proofErr w:type="spellEnd"/>
      <w:r w:rsidRPr="00610A40">
        <w:rPr>
          <w:color w:val="auto"/>
          <w:szCs w:val="24"/>
        </w:rPr>
        <w:t xml:space="preserve"> mats. These cells also developed good intercellular interactions, maintained their morphology and expressed cardiac protein marker α-</w:t>
      </w:r>
      <w:proofErr w:type="spellStart"/>
      <w:r w:rsidRPr="00610A40">
        <w:rPr>
          <w:color w:val="auto"/>
          <w:szCs w:val="24"/>
        </w:rPr>
        <w:t>actinin</w:t>
      </w:r>
      <w:proofErr w:type="spellEnd"/>
      <w:r w:rsidRPr="00610A40">
        <w:rPr>
          <w:color w:val="auto"/>
          <w:szCs w:val="24"/>
        </w:rPr>
        <w:t xml:space="preserve"> by day 14. Poly[1,8-octanediol-co-(citric acid)-co-(</w:t>
      </w:r>
      <w:proofErr w:type="spellStart"/>
      <w:r w:rsidRPr="00610A40">
        <w:rPr>
          <w:color w:val="auto"/>
          <w:szCs w:val="24"/>
        </w:rPr>
        <w:t>sebacic</w:t>
      </w:r>
      <w:proofErr w:type="spellEnd"/>
      <w:r w:rsidRPr="00610A40">
        <w:rPr>
          <w:color w:val="auto"/>
          <w:szCs w:val="24"/>
        </w:rPr>
        <w:t xml:space="preserve"> acid)] </w:t>
      </w:r>
      <w:r w:rsidR="000C15DF" w:rsidRPr="00610A40">
        <w:rPr>
          <w:color w:val="auto"/>
          <w:szCs w:val="24"/>
        </w:rPr>
        <w:t>(</w:t>
      </w:r>
      <w:r w:rsidRPr="00610A40">
        <w:rPr>
          <w:color w:val="auto"/>
          <w:szCs w:val="24"/>
        </w:rPr>
        <w:t>POCS</w:t>
      </w:r>
      <w:r w:rsidR="000C15DF" w:rsidRPr="00610A40">
        <w:rPr>
          <w:color w:val="auto"/>
          <w:szCs w:val="24"/>
        </w:rPr>
        <w:t>)</w:t>
      </w:r>
      <w:r w:rsidRPr="00610A40">
        <w:rPr>
          <w:color w:val="auto"/>
          <w:szCs w:val="24"/>
        </w:rPr>
        <w:t xml:space="preserve"> and fibrinogen (FBN) was used to prepare </w:t>
      </w:r>
      <w:proofErr w:type="spellStart"/>
      <w:r w:rsidRPr="00610A40">
        <w:rPr>
          <w:color w:val="auto"/>
          <w:szCs w:val="24"/>
        </w:rPr>
        <w:t>electrospun</w:t>
      </w:r>
      <w:proofErr w:type="spellEnd"/>
      <w:r w:rsidRPr="00610A40">
        <w:rPr>
          <w:color w:val="auto"/>
          <w:szCs w:val="24"/>
        </w:rPr>
        <w:t xml:space="preserve"> </w:t>
      </w:r>
      <w:proofErr w:type="spellStart"/>
      <w:r w:rsidRPr="00610A40">
        <w:rPr>
          <w:color w:val="auto"/>
          <w:szCs w:val="24"/>
        </w:rPr>
        <w:t>nanofibrous</w:t>
      </w:r>
      <w:proofErr w:type="spellEnd"/>
      <w:r w:rsidRPr="00610A40">
        <w:rPr>
          <w:color w:val="auto"/>
          <w:szCs w:val="24"/>
        </w:rPr>
        <w:t xml:space="preserve"> scaffolds</w:t>
      </w:r>
      <w:r w:rsidRPr="00610A40">
        <w:rPr>
          <w:color w:val="auto"/>
          <w:szCs w:val="24"/>
        </w:rPr>
        <w:fldChar w:fldCharType="begin" w:fldLock="1"/>
      </w:r>
      <w:r w:rsidR="00565E2A" w:rsidRPr="00610A40">
        <w:rPr>
          <w:color w:val="auto"/>
          <w:szCs w:val="24"/>
        </w:rPr>
        <w:instrText>ADDIN CSL_CITATION { "citationItems" : [ { "id" : "ITEM-1", "itemData" : { "DOI" : "10.1039/C5RA20322H", "ISSN" : "2046-2069", "abstract" : "In this study, a mixture of elastomeric polymer poly[1,8-octanediol-co-(citric acid)-co-(sebacic acid)] or POCS and fibrinogen (FBN) was used to prepare electrospun nanofibrous scaffolds. POCS and FBN concentrations were varied; POCS : FBN: 0 : 100 as a control, POCS : FBN: 25 : 75 and POCS : FBN: 50 : 50. All the scaffolds were characterized by contact angle measurements, scanning electron microscopy (SEM), FTIR spectroscopy, mechanical tests, and cell proliferation studies. The contact angle measurements confirmed that the POCS : FBN: 50 : 50 scaffolds were hydrophilic. The scaffold diameters were confirmed by SEM to be in the range of 440 AE 120 nm. From FT-IR spectroscopy, a highly intense peak was observed at 1738 cm \u00c01 for the scaffolds, POCS : FBN: 25 : 75 and POCS : FBN: 50 : 50, which were attributed to \u2013C]O vibrations of an ester and confirmed the presence of polyester. The Young's modulus for the POCS : FBN: 50 : 50 scaffold was 0.27 AE 0.07 MPa and was comparable to native human myocardium. Cell proliferation studies by means of MTS [3-(4,5-dimethylthiazol-2-yl)-5-(3-carboxymethoxyphenyl)-2-(4-sulfophenyl)-2H-tetrazolium, inner salt] assay were carried out on scaffolds. Human cardiomyocytes (HCMs) were seeded on the scaffolds and the interactions of the cell\u2013 scaffold constructs were evaluated. The proliferation of cardiomyocytes (CMs) on the scaffold was observed. The interactions between the cells and substrate were analyzed using confocal microscopy. The electrospun composite scaffolds of POCS/FBN showed flexibility and biodegradability. From the in vitro biocompatibility studies, it is anticipated that the scaffold POCS : FBN: 50 : 50 has potential for cardiac tissue regeneration.", "author" : [ { "dropping-particle" : "", "family" : "Sireesha", "given" : "Merum", "non-dropping-particle" : "", "parse-names" : false, "suffix" : "" }, { "dropping-particle" : "", "family" : "Jagadeesh Babu", "given" : "Veluru", "non-dropping-particle" : "", "parse-names" : false, "suffix" : "" }, { "dropping-particle" : "", "family" : "Ramakrishna", "given" : "Seeram", "non-dropping-particle" : "", "parse-names" : false, "suffix" : "" } ], "container-title" : "RSC Adv.", "id" : "ITEM-1", "issue" : "125", "issued" : { "date-parts" : [ [ "2015" ] ] }, "page" : "103308-103314", "publisher" : "Royal Society of Chemistry", "title" : "Biocompatible and biodegradable elastomer/fibrinogen composite electrospun scaffolds for cardiac tissue regeneration", "type" : "article-journal", "volume" : "5" }, "uris" : [ "http://www.mendeley.com/documents/?uuid=58fe8441-c00b-4394-a384-dcbceeb08c13", "http://www.mendeley.com/documents/?uuid=75893663-983a-4f2b-a77c-b72074bcac9a" ] } ], "mendeley" : { "formattedCitation" : "&lt;sup&gt;161&lt;/sup&gt;", "plainTextFormattedCitation" : "161", "previouslyFormattedCitation" : "&lt;sup&gt;160&lt;/sup&gt;"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161</w:t>
      </w:r>
      <w:r w:rsidRPr="00610A40">
        <w:rPr>
          <w:color w:val="auto"/>
          <w:szCs w:val="24"/>
        </w:rPr>
        <w:fldChar w:fldCharType="end"/>
      </w:r>
      <w:r w:rsidRPr="00610A40">
        <w:rPr>
          <w:color w:val="auto"/>
          <w:szCs w:val="24"/>
        </w:rPr>
        <w:t xml:space="preserve">. The Young’s modulus for the scaffold </w:t>
      </w:r>
      <w:proofErr w:type="spellStart"/>
      <w:r w:rsidRPr="00610A40">
        <w:rPr>
          <w:color w:val="auto"/>
          <w:szCs w:val="24"/>
        </w:rPr>
        <w:t>electrospun</w:t>
      </w:r>
      <w:proofErr w:type="spellEnd"/>
      <w:r w:rsidRPr="00610A40">
        <w:rPr>
          <w:color w:val="auto"/>
          <w:szCs w:val="24"/>
        </w:rPr>
        <w:t xml:space="preserve"> at a </w:t>
      </w:r>
      <w:r w:rsidR="00D5605F" w:rsidRPr="00610A40">
        <w:rPr>
          <w:color w:val="auto"/>
          <w:szCs w:val="24"/>
        </w:rPr>
        <w:t>POCS: FBN</w:t>
      </w:r>
      <w:r w:rsidRPr="00610A40">
        <w:rPr>
          <w:color w:val="auto"/>
          <w:szCs w:val="24"/>
        </w:rPr>
        <w:t xml:space="preserve"> ratio of 50:50 was measured to be 270 ± 70 </w:t>
      </w:r>
      <w:proofErr w:type="spellStart"/>
      <w:r w:rsidRPr="00610A40">
        <w:rPr>
          <w:color w:val="auto"/>
          <w:szCs w:val="24"/>
        </w:rPr>
        <w:t>kPa</w:t>
      </w:r>
      <w:proofErr w:type="spellEnd"/>
      <w:r w:rsidRPr="00610A40">
        <w:rPr>
          <w:color w:val="auto"/>
          <w:szCs w:val="24"/>
        </w:rPr>
        <w:t xml:space="preserve">, which is similar to that of human myocardium. This scaffold also demonstrated the ability to allow for proliferation and expression of cardiac markers of human </w:t>
      </w:r>
      <w:proofErr w:type="spellStart"/>
      <w:r w:rsidRPr="00610A40">
        <w:rPr>
          <w:color w:val="auto"/>
          <w:szCs w:val="24"/>
        </w:rPr>
        <w:t>cardiomyocytes</w:t>
      </w:r>
      <w:proofErr w:type="spellEnd"/>
      <w:r w:rsidRPr="00610A40">
        <w:rPr>
          <w:color w:val="auto"/>
          <w:szCs w:val="24"/>
        </w:rPr>
        <w:t xml:space="preserve">. In vitro degradation experiments showed that the scaffold lost its nanostructures in approximately 30 days. Although most of these scaffolds have mechanical properties comparable with that of native cardiac tissue, they lack the </w:t>
      </w:r>
      <w:r w:rsidR="00235934" w:rsidRPr="00610A40">
        <w:rPr>
          <w:color w:val="auto"/>
          <w:szCs w:val="24"/>
        </w:rPr>
        <w:t xml:space="preserve">mechanical </w:t>
      </w:r>
      <w:r w:rsidRPr="00610A40">
        <w:rPr>
          <w:color w:val="auto"/>
          <w:szCs w:val="24"/>
        </w:rPr>
        <w:t>anisotropy that is present in natural cardiac tissues.</w:t>
      </w:r>
      <w:r w:rsidR="00235934" w:rsidRPr="00610A40">
        <w:rPr>
          <w:color w:val="auto"/>
          <w:szCs w:val="24"/>
        </w:rPr>
        <w:t xml:space="preserve"> For instance, specimens of adult rat right (RV) and left (LV) ventricular myocardium were tested in the circumferential (CIRC) and longitudinal (LONG) directions, and effective stiffness (E</w:t>
      </w:r>
      <w:r w:rsidR="00235934" w:rsidRPr="00610A40">
        <w:rPr>
          <w:color w:val="auto"/>
          <w:szCs w:val="24"/>
          <w:vertAlign w:val="subscript"/>
        </w:rPr>
        <w:t>CIRC</w:t>
      </w:r>
      <w:r w:rsidR="00235934" w:rsidRPr="00610A40">
        <w:rPr>
          <w:color w:val="auto"/>
          <w:szCs w:val="24"/>
        </w:rPr>
        <w:t>, E</w:t>
      </w:r>
      <w:r w:rsidR="00235934" w:rsidRPr="00610A40">
        <w:rPr>
          <w:color w:val="auto"/>
          <w:szCs w:val="24"/>
          <w:vertAlign w:val="subscript"/>
        </w:rPr>
        <w:t>LONG</w:t>
      </w:r>
      <w:r w:rsidR="00235934" w:rsidRPr="00610A40">
        <w:rPr>
          <w:color w:val="auto"/>
          <w:szCs w:val="24"/>
        </w:rPr>
        <w:t>) w</w:t>
      </w:r>
      <w:r w:rsidR="00D5605F" w:rsidRPr="00610A40">
        <w:rPr>
          <w:color w:val="auto"/>
          <w:szCs w:val="24"/>
        </w:rPr>
        <w:t>as</w:t>
      </w:r>
      <w:r w:rsidR="00235934" w:rsidRPr="00610A40">
        <w:rPr>
          <w:color w:val="auto"/>
          <w:szCs w:val="24"/>
        </w:rPr>
        <w:t xml:space="preserve"> obtained</w:t>
      </w:r>
      <w:r w:rsidR="00235934" w:rsidRPr="00610A40">
        <w:rPr>
          <w:color w:val="auto"/>
          <w:szCs w:val="24"/>
        </w:rPr>
        <w:fldChar w:fldCharType="begin" w:fldLock="1"/>
      </w:r>
      <w:r w:rsidR="00565E2A" w:rsidRPr="00610A40">
        <w:rPr>
          <w:color w:val="auto"/>
          <w:szCs w:val="24"/>
        </w:rPr>
        <w:instrText>ADDIN CSL_CITATION { "citationItems" : [ { "id" : "ITEM-1", "itemData" : { "DOI" : "10.1038/nmat2316", "ISBN" : "1476-1122", "ISSN" : "1476-1122", "PMID" : "18978786", "abstract" : "Tissue-engineered grafts may be useful in myocardial repair; however, previous scaffolds have been structurally incompatible with recapitulating cardiac anisotropy. Here, we use microfabrication techniques to create an accordion-like honeycomb microstructure in poly(glycerol sebacate), which yields porous, elastomeric three-dimensional (3D) scaffolds with controllable stiffness and anisotropy. Accordion-like honeycomb scaffolds with cultured neonatal rat heart cells demonstrated utility through: (1) closely matched mechanical properties compared to native adult rat right ventricular myocardium, with stiffnesses controlled by polymer curing time; (2) heart cell contractility inducible by electric field stimulation with directionally dependent electrical excitation thresholds (p&lt;0.05); and (3) greater heart cell alignment (p&lt;0.0001) than isotropic control scaffolds. Prototype bilaminar scaffolds with 3D interconnected pore networks yielded electrically excitable grafts with multi-layered neonatal rat heart cells. Accordion-like honeycombs can thus overcome principal structural-mechanical limitations of previous scaffolds, promoting the formation of grafts with aligned heart cells and mechanical properties more closely resembling native myocardium.", "author" : [ { "dropping-particle" : "", "family" : "Engelmayr", "given" : "George C", "non-dropping-particle" : "", "parse-names" : false, "suffix" : "" }, { "dropping-particle" : "", "family" : "Cheng", "given" : "Mingyu", "non-dropping-particle" : "", "parse-names" : false, "suffix" : "" }, { "dropping-particle" : "", "family" : "Bettinger", "given" : "Christopher J", "non-dropping-particle" : "", "parse-names" : false, "suffix" : "" }, { "dropping-particle" : "", "family" : "Borenstein", "given" : "Jeffrey T", "non-dropping-particle" : "", "parse-names" : false, "suffix" : "" }, { "dropping-particle" : "", "family" : "Langer", "given" : "Robert", "non-dropping-particle" : "", "parse-names" : false, "suffix" : "" }, { "dropping-particle" : "", "family" : "Freed", "given" : "Lisa E", "non-dropping-particle" : "", "parse-names" : false, "suffix" : "" } ], "container-title" : "Nature materials", "id" : "ITEM-1", "issue" : "12", "issued" : { "date-parts" : [ [ "2008" ] ] }, "page" : "1003-1010", "title" : "Accordion-like honeycombs for tissue engineering of cardiac anisotropy.", "type" : "article-journal", "volume" : "7" }, "uris" : [ "http://www.mendeley.com/documents/?uuid=fa020a1d-fa59-4a3c-beb8-a9d4b2504d26" ] } ], "mendeley" : { "formattedCitation" : "&lt;sup&gt;130&lt;/sup&gt;", "plainTextFormattedCitation" : "130", "previouslyFormattedCitation" : "&lt;sup&gt;129&lt;/sup&gt;" }, "properties" : { "noteIndex" : 0 }, "schema" : "https://github.com/citation-style-language/schema/raw/master/csl-citation.json" }</w:instrText>
      </w:r>
      <w:r w:rsidR="00235934" w:rsidRPr="00610A40">
        <w:rPr>
          <w:color w:val="auto"/>
          <w:szCs w:val="24"/>
        </w:rPr>
        <w:fldChar w:fldCharType="separate"/>
      </w:r>
      <w:r w:rsidR="00565E2A" w:rsidRPr="00610A40">
        <w:rPr>
          <w:noProof/>
          <w:color w:val="auto"/>
          <w:szCs w:val="24"/>
          <w:vertAlign w:val="superscript"/>
        </w:rPr>
        <w:t>130</w:t>
      </w:r>
      <w:r w:rsidR="00235934" w:rsidRPr="00610A40">
        <w:rPr>
          <w:color w:val="auto"/>
          <w:szCs w:val="24"/>
        </w:rPr>
        <w:fldChar w:fldCharType="end"/>
      </w:r>
      <w:r w:rsidR="00235934" w:rsidRPr="00610A40">
        <w:rPr>
          <w:color w:val="auto"/>
          <w:szCs w:val="24"/>
        </w:rPr>
        <w:t>. Adult rat RV myocardium had an E</w:t>
      </w:r>
      <w:r w:rsidR="00235934" w:rsidRPr="00610A40">
        <w:rPr>
          <w:color w:val="auto"/>
          <w:szCs w:val="24"/>
          <w:vertAlign w:val="subscript"/>
        </w:rPr>
        <w:t xml:space="preserve">CIRC </w:t>
      </w:r>
      <w:r w:rsidR="00235934" w:rsidRPr="00610A40">
        <w:rPr>
          <w:color w:val="auto"/>
          <w:szCs w:val="24"/>
        </w:rPr>
        <w:t xml:space="preserve">of 54 ± 8 </w:t>
      </w:r>
      <w:proofErr w:type="spellStart"/>
      <w:r w:rsidR="00235934" w:rsidRPr="00610A40">
        <w:rPr>
          <w:color w:val="auto"/>
          <w:szCs w:val="24"/>
        </w:rPr>
        <w:t>kPa</w:t>
      </w:r>
      <w:proofErr w:type="spellEnd"/>
      <w:r w:rsidR="00235934" w:rsidRPr="00610A40">
        <w:rPr>
          <w:color w:val="auto"/>
          <w:szCs w:val="24"/>
        </w:rPr>
        <w:t>, E</w:t>
      </w:r>
      <w:r w:rsidR="00235934" w:rsidRPr="00610A40">
        <w:rPr>
          <w:color w:val="auto"/>
          <w:szCs w:val="24"/>
          <w:vertAlign w:val="subscript"/>
        </w:rPr>
        <w:t>LONG</w:t>
      </w:r>
      <w:r w:rsidR="00235934" w:rsidRPr="00610A40">
        <w:rPr>
          <w:color w:val="auto"/>
          <w:szCs w:val="24"/>
        </w:rPr>
        <w:t xml:space="preserve"> of 20 ± 4, p &lt; 0.01, and E</w:t>
      </w:r>
      <w:r w:rsidR="00235934" w:rsidRPr="00610A40">
        <w:rPr>
          <w:color w:val="auto"/>
          <w:szCs w:val="24"/>
          <w:vertAlign w:val="subscript"/>
        </w:rPr>
        <w:t>CIRC</w:t>
      </w:r>
      <w:r w:rsidR="00235934" w:rsidRPr="00610A40">
        <w:rPr>
          <w:color w:val="auto"/>
          <w:szCs w:val="24"/>
        </w:rPr>
        <w:t>/E</w:t>
      </w:r>
      <w:r w:rsidR="00235934" w:rsidRPr="00610A40">
        <w:rPr>
          <w:color w:val="auto"/>
          <w:szCs w:val="24"/>
          <w:vertAlign w:val="subscript"/>
        </w:rPr>
        <w:t>LONG</w:t>
      </w:r>
      <w:r w:rsidR="00235934" w:rsidRPr="00610A40">
        <w:rPr>
          <w:color w:val="auto"/>
          <w:szCs w:val="24"/>
        </w:rPr>
        <w:t xml:space="preserve"> of 2.8 ± 0.5.  Adult rat LV myocardium has an E</w:t>
      </w:r>
      <w:r w:rsidR="00235934" w:rsidRPr="00610A40">
        <w:rPr>
          <w:color w:val="auto"/>
          <w:szCs w:val="24"/>
          <w:vertAlign w:val="subscript"/>
        </w:rPr>
        <w:t>CIRC</w:t>
      </w:r>
      <w:r w:rsidR="00235934" w:rsidRPr="00610A40">
        <w:rPr>
          <w:color w:val="auto"/>
          <w:szCs w:val="24"/>
        </w:rPr>
        <w:t xml:space="preserve"> of 157 ± 14 </w:t>
      </w:r>
      <w:proofErr w:type="spellStart"/>
      <w:r w:rsidR="00235934" w:rsidRPr="00610A40">
        <w:rPr>
          <w:color w:val="auto"/>
          <w:szCs w:val="24"/>
        </w:rPr>
        <w:t>kPa</w:t>
      </w:r>
      <w:proofErr w:type="spellEnd"/>
      <w:r w:rsidR="00235934" w:rsidRPr="00610A40">
        <w:rPr>
          <w:color w:val="auto"/>
          <w:szCs w:val="24"/>
        </w:rPr>
        <w:t>, E</w:t>
      </w:r>
      <w:r w:rsidR="00235934" w:rsidRPr="00610A40">
        <w:rPr>
          <w:color w:val="auto"/>
          <w:szCs w:val="24"/>
          <w:vertAlign w:val="subscript"/>
        </w:rPr>
        <w:t>LONG</w:t>
      </w:r>
      <w:r w:rsidR="00235934" w:rsidRPr="00610A40">
        <w:rPr>
          <w:color w:val="auto"/>
          <w:szCs w:val="24"/>
        </w:rPr>
        <w:t xml:space="preserve"> of 84 ± 8, p &lt; 0.01, and E</w:t>
      </w:r>
      <w:r w:rsidR="00235934" w:rsidRPr="00610A40">
        <w:rPr>
          <w:color w:val="auto"/>
          <w:szCs w:val="24"/>
          <w:vertAlign w:val="subscript"/>
        </w:rPr>
        <w:t>CIRC</w:t>
      </w:r>
      <w:r w:rsidR="00235934" w:rsidRPr="00610A40">
        <w:rPr>
          <w:color w:val="auto"/>
          <w:szCs w:val="24"/>
        </w:rPr>
        <w:t>/ E</w:t>
      </w:r>
      <w:r w:rsidR="00235934" w:rsidRPr="00610A40">
        <w:rPr>
          <w:color w:val="auto"/>
          <w:szCs w:val="24"/>
          <w:vertAlign w:val="subscript"/>
        </w:rPr>
        <w:t>LONG</w:t>
      </w:r>
      <w:r w:rsidR="009C1222" w:rsidRPr="00610A40">
        <w:rPr>
          <w:color w:val="auto"/>
          <w:szCs w:val="24"/>
        </w:rPr>
        <w:t xml:space="preserve"> of 2.1 ± 0.4.  </w:t>
      </w:r>
      <w:r w:rsidRPr="00610A40">
        <w:rPr>
          <w:color w:val="auto"/>
          <w:szCs w:val="24"/>
        </w:rPr>
        <w:t xml:space="preserve">To </w:t>
      </w:r>
      <w:r w:rsidR="00235934" w:rsidRPr="00610A40">
        <w:rPr>
          <w:color w:val="auto"/>
          <w:szCs w:val="24"/>
        </w:rPr>
        <w:t>match the mechanical anisotropy</w:t>
      </w:r>
      <w:r w:rsidRPr="00610A40">
        <w:rPr>
          <w:color w:val="auto"/>
          <w:szCs w:val="24"/>
        </w:rPr>
        <w:t xml:space="preserve">, </w:t>
      </w:r>
      <w:r w:rsidR="00BD4CA7" w:rsidRPr="00610A40">
        <w:rPr>
          <w:color w:val="auto"/>
          <w:szCs w:val="24"/>
        </w:rPr>
        <w:t xml:space="preserve">Langer’s </w:t>
      </w:r>
      <w:r w:rsidRPr="00610A40">
        <w:rPr>
          <w:color w:val="auto"/>
          <w:szCs w:val="24"/>
        </w:rPr>
        <w:t xml:space="preserve">group patterned PGS into an accordion-like </w:t>
      </w:r>
      <w:r w:rsidRPr="00610A40">
        <w:rPr>
          <w:color w:val="auto"/>
          <w:szCs w:val="24"/>
        </w:rPr>
        <w:lastRenderedPageBreak/>
        <w:t>honeycomb structure as a cardiac tissue engineering scaffold</w:t>
      </w:r>
      <w:r w:rsidRPr="00610A40">
        <w:rPr>
          <w:color w:val="auto"/>
          <w:szCs w:val="24"/>
        </w:rPr>
        <w:fldChar w:fldCharType="begin" w:fldLock="1"/>
      </w:r>
      <w:r w:rsidR="00565E2A" w:rsidRPr="00610A40">
        <w:rPr>
          <w:color w:val="auto"/>
          <w:szCs w:val="24"/>
        </w:rPr>
        <w:instrText>ADDIN CSL_CITATION { "citationItems" : [ { "id" : "ITEM-1", "itemData" : { "DOI" : "10.1038/nmat2316.Accordion-Like", "author" : [ { "dropping-particle" : "", "family" : "Jr", "given" : "George C Engelmayr", "non-dropping-particle" : "", "parse-names" : false, "suffix" : "" }, { "dropping-particle" : "", "family" : "Cheng", "given" : "Mingyu", "non-dropping-particle" : "", "parse-names" : false, "suffix" : "" }, { "dropping-particle" : "", "family" : "Bettinger", "given" : "Christopher J", "non-dropping-particle" : "", "parse-names" : false, "suffix" : "" }, { "dropping-particle" : "", "family" : "T", "given" : "Jeffrey", "non-dropping-particle" : "", "parse-names" : false, "suffix" : "" }, { "dropping-particle" : "", "family" : "Langer", "given" : "Robert", "non-dropping-particle" : "", "parse-names" : false, "suffix" : "" }, { "dropping-particle" : "", "family" : "Freed", "given" : "Lisa E", "non-dropping-particle" : "", "parse-names" : false, "suffix" : "" } ], "id" : "ITEM-1", "issue" : "12", "issued" : { "date-parts" : [ [ "2009" ] ] }, "page" : "1003-1010", "title" : "Accordion-Like Honeycombs for Tissue Engineering of Cardiac Anisotropy", "type" : "article-journal", "volume" : "7" }, "uris" : [ "http://www.mendeley.com/documents/?uuid=303b78a4-2b2a-4e95-bd7b-6c9f9a2aedca", "http://www.mendeley.com/documents/?uuid=8b9e23e4-e5ba-413d-b505-32e3224a7a79" ] } ], "mendeley" : { "formattedCitation" : "&lt;sup&gt;153&lt;/sup&gt;", "plainTextFormattedCitation" : "153", "previouslyFormattedCitation" : "&lt;sup&gt;152&lt;/sup&gt;"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153</w:t>
      </w:r>
      <w:r w:rsidRPr="00610A40">
        <w:rPr>
          <w:color w:val="auto"/>
          <w:szCs w:val="24"/>
        </w:rPr>
        <w:fldChar w:fldCharType="end"/>
      </w:r>
      <w:r w:rsidRPr="00610A40">
        <w:rPr>
          <w:color w:val="auto"/>
          <w:szCs w:val="24"/>
        </w:rPr>
        <w:t xml:space="preserve">. </w:t>
      </w:r>
      <w:r w:rsidR="00283F86" w:rsidRPr="00610A40">
        <w:rPr>
          <w:color w:val="auto"/>
          <w:szCs w:val="24"/>
        </w:rPr>
        <w:t xml:space="preserve">The accordion honeycomb pattern was chosen so that the scaffold exhibited spring-like elasticity, topographical cues for cell alignment, and anisotropic stiffness in the XY-plane. </w:t>
      </w:r>
      <w:r w:rsidRPr="00610A40">
        <w:rPr>
          <w:color w:val="auto"/>
          <w:szCs w:val="24"/>
        </w:rPr>
        <w:t xml:space="preserve">The structure was designed by overlapping two 200 </w:t>
      </w:r>
      <w:proofErr w:type="spellStart"/>
      <w:r w:rsidRPr="00610A40">
        <w:rPr>
          <w:rFonts w:ascii="Calibri" w:hAnsi="Calibri"/>
          <w:color w:val="auto"/>
          <w:szCs w:val="24"/>
        </w:rPr>
        <w:t>μ</w:t>
      </w:r>
      <w:r w:rsidRPr="00610A40">
        <w:rPr>
          <w:color w:val="auto"/>
          <w:szCs w:val="24"/>
        </w:rPr>
        <w:t>m</w:t>
      </w:r>
      <w:proofErr w:type="spellEnd"/>
      <w:r w:rsidRPr="00610A40">
        <w:rPr>
          <w:color w:val="auto"/>
          <w:szCs w:val="24"/>
        </w:rPr>
        <w:t xml:space="preserve"> x 200 </w:t>
      </w:r>
      <w:proofErr w:type="spellStart"/>
      <w:r w:rsidRPr="00610A40">
        <w:rPr>
          <w:rFonts w:ascii="Calibri" w:hAnsi="Calibri"/>
          <w:color w:val="auto"/>
          <w:szCs w:val="24"/>
        </w:rPr>
        <w:t>μ</w:t>
      </w:r>
      <w:r w:rsidRPr="00610A40">
        <w:rPr>
          <w:color w:val="auto"/>
          <w:szCs w:val="24"/>
        </w:rPr>
        <w:t>m</w:t>
      </w:r>
      <w:proofErr w:type="spellEnd"/>
      <w:r w:rsidRPr="00610A40">
        <w:rPr>
          <w:color w:val="auto"/>
          <w:szCs w:val="24"/>
        </w:rPr>
        <w:t xml:space="preserve"> squares at 45 degrees, with 50 </w:t>
      </w:r>
      <w:proofErr w:type="spellStart"/>
      <w:r w:rsidRPr="00610A40">
        <w:rPr>
          <w:rFonts w:ascii="Calibri" w:hAnsi="Calibri"/>
          <w:color w:val="auto"/>
          <w:szCs w:val="24"/>
        </w:rPr>
        <w:t>μ</w:t>
      </w:r>
      <w:r w:rsidRPr="00610A40">
        <w:rPr>
          <w:color w:val="auto"/>
          <w:szCs w:val="24"/>
        </w:rPr>
        <w:t>m</w:t>
      </w:r>
      <w:proofErr w:type="spellEnd"/>
      <w:r w:rsidRPr="00610A40">
        <w:rPr>
          <w:color w:val="auto"/>
          <w:szCs w:val="24"/>
        </w:rPr>
        <w:t xml:space="preserve"> wide struts (</w:t>
      </w:r>
      <w:r w:rsidR="00944C77" w:rsidRPr="00610A40">
        <w:rPr>
          <w:color w:val="auto"/>
          <w:szCs w:val="24"/>
        </w:rPr>
        <w:fldChar w:fldCharType="begin"/>
      </w:r>
      <w:r w:rsidR="00944C77" w:rsidRPr="00610A40">
        <w:rPr>
          <w:color w:val="auto"/>
          <w:szCs w:val="24"/>
        </w:rPr>
        <w:instrText xml:space="preserve"> REF _Ref489036333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7</w:t>
      </w:r>
      <w:r w:rsidR="00944C77" w:rsidRPr="00610A40">
        <w:rPr>
          <w:color w:val="auto"/>
          <w:szCs w:val="24"/>
        </w:rPr>
        <w:fldChar w:fldCharType="end"/>
      </w:r>
      <w:r w:rsidR="00944C77" w:rsidRPr="00610A40">
        <w:rPr>
          <w:color w:val="auto"/>
          <w:szCs w:val="24"/>
        </w:rPr>
        <w:t xml:space="preserve"> A</w:t>
      </w:r>
      <w:r w:rsidRPr="00610A40">
        <w:rPr>
          <w:color w:val="auto"/>
          <w:szCs w:val="24"/>
        </w:rPr>
        <w:t xml:space="preserve">). Such a structure exhibited distinct preferred (PD) and orthogonal, cross-preferred (XD) directions which could achieve: (1) close matching of mechanical properties of an native adult rat right ventricular myocardium, (2) induce </w:t>
      </w:r>
      <w:proofErr w:type="spellStart"/>
      <w:r w:rsidRPr="00610A40">
        <w:rPr>
          <w:color w:val="auto"/>
          <w:szCs w:val="24"/>
        </w:rPr>
        <w:t>cardiomyocyte</w:t>
      </w:r>
      <w:proofErr w:type="spellEnd"/>
      <w:r w:rsidRPr="00610A40">
        <w:rPr>
          <w:color w:val="auto"/>
          <w:szCs w:val="24"/>
        </w:rPr>
        <w:t xml:space="preserve"> contractility by electric field stimulation with directional dependence and (3) better </w:t>
      </w:r>
      <w:proofErr w:type="spellStart"/>
      <w:r w:rsidRPr="00610A40">
        <w:rPr>
          <w:color w:val="auto"/>
          <w:szCs w:val="24"/>
        </w:rPr>
        <w:t>cardiomyocyte</w:t>
      </w:r>
      <w:proofErr w:type="spellEnd"/>
      <w:r w:rsidRPr="00610A40">
        <w:rPr>
          <w:color w:val="auto"/>
          <w:szCs w:val="24"/>
        </w:rPr>
        <w:t xml:space="preserve"> alignment than the more common isotropic scaffolds</w:t>
      </w:r>
      <w:r w:rsidRPr="00610A40">
        <w:rPr>
          <w:color w:val="auto"/>
          <w:szCs w:val="24"/>
        </w:rPr>
        <w:fldChar w:fldCharType="begin" w:fldLock="1"/>
      </w:r>
      <w:r w:rsidR="00565E2A" w:rsidRPr="00610A40">
        <w:rPr>
          <w:color w:val="auto"/>
          <w:szCs w:val="24"/>
        </w:rPr>
        <w:instrText>ADDIN CSL_CITATION { "citationItems" : [ { "id" : "ITEM-1", "itemData" : { "DOI" : "10.1038/nmat2316", "ISBN" : "1476-1122", "ISSN" : "1476-1122", "PMID" : "18978786", "abstract" : "Tissue-engineered grafts may be useful in myocardial repair; however, previous scaffolds have been structurally incompatible with recapitulating cardiac anisotropy. Here, we use microfabrication techniques to create an accordion-like honeycomb microstructure in poly(glycerol sebacate), which yields porous, elastomeric three-dimensional (3D) scaffolds with controllable stiffness and anisotropy. Accordion-like honeycomb scaffolds with cultured neonatal rat heart cells demonstrated utility through: (1) closely matched mechanical properties compared to native adult rat right ventricular myocardium, with stiffnesses controlled by polymer curing time; (2) heart cell contractility inducible by electric field stimulation with directionally dependent electrical excitation thresholds (p&lt;0.05); and (3) greater heart cell alignment (p&lt;0.0001) than isotropic control scaffolds. Prototype bilaminar scaffolds with 3D interconnected pore networks yielded electrically excitable grafts with multi-layered neonatal rat heart cells. Accordion-like honeycombs can thus overcome principal structural-mechanical limitations of previous scaffolds, promoting the formation of grafts with aligned heart cells and mechanical properties more closely resembling native myocardium.", "author" : [ { "dropping-particle" : "", "family" : "Engelmayr", "given" : "George C", "non-dropping-particle" : "", "parse-names" : false, "suffix" : "" }, { "dropping-particle" : "", "family" : "Cheng", "given" : "Mingyu", "non-dropping-particle" : "", "parse-names" : false, "suffix" : "" }, { "dropping-particle" : "", "family" : "Bettinger", "given" : "Christopher J", "non-dropping-particle" : "", "parse-names" : false, "suffix" : "" }, { "dropping-particle" : "", "family" : "Borenstein", "given" : "Jeffrey T", "non-dropping-particle" : "", "parse-names" : false, "suffix" : "" }, { "dropping-particle" : "", "family" : "Langer", "given" : "Robert", "non-dropping-particle" : "", "parse-names" : false, "suffix" : "" }, { "dropping-particle" : "", "family" : "Freed", "given" : "Lisa E", "non-dropping-particle" : "", "parse-names" : false, "suffix" : "" } ], "container-title" : "Nature materials", "id" : "ITEM-1", "issue" : "12", "issued" : { "date-parts" : [ [ "2008" ] ] }, "page" : "1003-1010", "title" : "Accordion-like honeycombs for tissue engineering of cardiac anisotropy.", "type" : "article-journal", "volume" : "7" }, "uris" : [ "http://www.mendeley.com/documents/?uuid=fa020a1d-fa59-4a3c-beb8-a9d4b2504d26" ] } ], "mendeley" : { "formattedCitation" : "&lt;sup&gt;130&lt;/sup&gt;", "plainTextFormattedCitation" : "130", "previouslyFormattedCitation" : "&lt;sup&gt;129&lt;/sup&gt;"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130</w:t>
      </w:r>
      <w:r w:rsidRPr="00610A40">
        <w:rPr>
          <w:color w:val="auto"/>
          <w:szCs w:val="24"/>
        </w:rPr>
        <w:fldChar w:fldCharType="end"/>
      </w:r>
      <w:r w:rsidRPr="00610A40">
        <w:rPr>
          <w:color w:val="auto"/>
          <w:szCs w:val="24"/>
        </w:rPr>
        <w:t xml:space="preserve">. The accordion-like structure was chosen as it demonstrated the highest degree of anisotropy compared to rectangular or square structures. The PGS accordion-like honeycomb structures were fabricated by soft lithography, by </w:t>
      </w:r>
      <w:proofErr w:type="spellStart"/>
      <w:r w:rsidRPr="00610A40">
        <w:rPr>
          <w:color w:val="auto"/>
          <w:szCs w:val="24"/>
        </w:rPr>
        <w:t>excimer</w:t>
      </w:r>
      <w:proofErr w:type="spellEnd"/>
      <w:r w:rsidRPr="00610A40">
        <w:rPr>
          <w:color w:val="auto"/>
          <w:szCs w:val="24"/>
        </w:rPr>
        <w:t xml:space="preserve"> laser </w:t>
      </w:r>
      <w:proofErr w:type="spellStart"/>
      <w:r w:rsidRPr="00610A40">
        <w:rPr>
          <w:color w:val="auto"/>
          <w:szCs w:val="24"/>
        </w:rPr>
        <w:t>microablation</w:t>
      </w:r>
      <w:proofErr w:type="spellEnd"/>
      <w:r w:rsidRPr="00610A40">
        <w:rPr>
          <w:color w:val="auto"/>
          <w:szCs w:val="24"/>
        </w:rPr>
        <w:t xml:space="preserve"> of PGS membranes of 250 </w:t>
      </w:r>
      <w:proofErr w:type="spellStart"/>
      <w:r w:rsidRPr="00610A40">
        <w:rPr>
          <w:rFonts w:ascii="Calibri" w:hAnsi="Calibri"/>
          <w:color w:val="auto"/>
          <w:szCs w:val="24"/>
        </w:rPr>
        <w:t>μ</w:t>
      </w:r>
      <w:r w:rsidRPr="00610A40">
        <w:rPr>
          <w:color w:val="auto"/>
          <w:szCs w:val="24"/>
        </w:rPr>
        <w:t>m</w:t>
      </w:r>
      <w:proofErr w:type="spellEnd"/>
      <w:r w:rsidRPr="00610A40">
        <w:rPr>
          <w:color w:val="auto"/>
          <w:szCs w:val="24"/>
        </w:rPr>
        <w:t xml:space="preserve"> thick. This thickness was chosen to minimize mass transport hindrance. By adjusting the curing time of PGS, the group was able to fabricate a scaffold with a stiffness of 83 ± 2 </w:t>
      </w:r>
      <w:proofErr w:type="spellStart"/>
      <w:r w:rsidRPr="00610A40">
        <w:rPr>
          <w:color w:val="auto"/>
          <w:szCs w:val="24"/>
        </w:rPr>
        <w:t>kPa</w:t>
      </w:r>
      <w:proofErr w:type="spellEnd"/>
      <w:r w:rsidRPr="00610A40">
        <w:rPr>
          <w:color w:val="auto"/>
          <w:szCs w:val="24"/>
        </w:rPr>
        <w:t xml:space="preserve"> in the PD direction and 31 ± 1 </w:t>
      </w:r>
      <w:proofErr w:type="spellStart"/>
      <w:r w:rsidRPr="00610A40">
        <w:rPr>
          <w:color w:val="auto"/>
          <w:szCs w:val="24"/>
        </w:rPr>
        <w:t>kPa</w:t>
      </w:r>
      <w:proofErr w:type="spellEnd"/>
      <w:r w:rsidRPr="00610A40">
        <w:rPr>
          <w:color w:val="auto"/>
          <w:szCs w:val="24"/>
        </w:rPr>
        <w:t xml:space="preserve"> (p &lt; 0.0002) in the XD direction, and E</w:t>
      </w:r>
      <w:r w:rsidRPr="00610A40">
        <w:rPr>
          <w:color w:val="auto"/>
          <w:szCs w:val="24"/>
          <w:vertAlign w:val="subscript"/>
        </w:rPr>
        <w:t>PD</w:t>
      </w:r>
      <w:r w:rsidRPr="00610A40">
        <w:rPr>
          <w:color w:val="auto"/>
          <w:szCs w:val="24"/>
        </w:rPr>
        <w:t>/E</w:t>
      </w:r>
      <w:r w:rsidRPr="00610A40">
        <w:rPr>
          <w:color w:val="auto"/>
          <w:szCs w:val="24"/>
          <w:vertAlign w:val="subscript"/>
        </w:rPr>
        <w:t xml:space="preserve">XD </w:t>
      </w:r>
      <w:r w:rsidRPr="00610A40">
        <w:rPr>
          <w:color w:val="auto"/>
          <w:szCs w:val="24"/>
        </w:rPr>
        <w:t xml:space="preserve">ratio of 2.7 ± 0.1 </w:t>
      </w:r>
      <w:proofErr w:type="spellStart"/>
      <w:r w:rsidRPr="00610A40">
        <w:rPr>
          <w:color w:val="auto"/>
          <w:szCs w:val="24"/>
        </w:rPr>
        <w:t>kPa</w:t>
      </w:r>
      <w:proofErr w:type="spellEnd"/>
      <w:r w:rsidRPr="00610A40">
        <w:rPr>
          <w:color w:val="auto"/>
          <w:szCs w:val="24"/>
        </w:rPr>
        <w:t xml:space="preserve"> after wetting the PGS scaffold for 24 hours. </w:t>
      </w:r>
    </w:p>
    <w:p w14:paraId="6FE4DE7A" w14:textId="2D0FBFFE" w:rsidR="009441D5" w:rsidRPr="00610A40" w:rsidRDefault="009441D5" w:rsidP="00086775">
      <w:pPr>
        <w:keepNext/>
        <w:rPr>
          <w:color w:val="auto"/>
          <w:szCs w:val="24"/>
        </w:rPr>
      </w:pPr>
      <w:r w:rsidRPr="00610A40">
        <w:rPr>
          <w:color w:val="auto"/>
          <w:szCs w:val="24"/>
        </w:rPr>
        <w:lastRenderedPageBreak/>
        <w:t>A</w:t>
      </w:r>
      <w:r w:rsidRPr="00610A40">
        <w:rPr>
          <w:noProof/>
          <w:color w:val="auto"/>
          <w:szCs w:val="24"/>
        </w:rPr>
        <w:drawing>
          <wp:inline distT="0" distB="0" distL="0" distR="0" wp14:anchorId="78810860" wp14:editId="49749AB2">
            <wp:extent cx="3009900" cy="2628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9900" cy="2628900"/>
                    </a:xfrm>
                    <a:prstGeom prst="rect">
                      <a:avLst/>
                    </a:prstGeom>
                    <a:noFill/>
                    <a:ln>
                      <a:noFill/>
                    </a:ln>
                  </pic:spPr>
                </pic:pic>
              </a:graphicData>
            </a:graphic>
          </wp:inline>
        </w:drawing>
      </w:r>
      <w:r w:rsidRPr="00610A40">
        <w:rPr>
          <w:color w:val="auto"/>
          <w:szCs w:val="24"/>
        </w:rPr>
        <w:t xml:space="preserve"> B </w:t>
      </w:r>
      <w:r w:rsidRPr="00610A40">
        <w:rPr>
          <w:noProof/>
          <w:color w:val="auto"/>
          <w:szCs w:val="24"/>
        </w:rPr>
        <w:drawing>
          <wp:inline distT="0" distB="0" distL="0" distR="0" wp14:anchorId="1B8C2D97" wp14:editId="15A4326B">
            <wp:extent cx="2430780" cy="24612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0780" cy="2461260"/>
                    </a:xfrm>
                    <a:prstGeom prst="rect">
                      <a:avLst/>
                    </a:prstGeom>
                    <a:noFill/>
                    <a:ln>
                      <a:noFill/>
                    </a:ln>
                  </pic:spPr>
                </pic:pic>
              </a:graphicData>
            </a:graphic>
          </wp:inline>
        </w:drawing>
      </w:r>
    </w:p>
    <w:p w14:paraId="29BDFD41" w14:textId="2E7F2FE9" w:rsidR="00283F86" w:rsidRPr="00610A40" w:rsidRDefault="009441D5" w:rsidP="00086775">
      <w:pPr>
        <w:pStyle w:val="Caption"/>
        <w:rPr>
          <w:sz w:val="24"/>
          <w:szCs w:val="24"/>
        </w:rPr>
      </w:pPr>
      <w:bookmarkStart w:id="9" w:name="_Ref489036333"/>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7</w:t>
      </w:r>
      <w:r w:rsidR="00004924" w:rsidRPr="00610A40">
        <w:rPr>
          <w:noProof/>
          <w:sz w:val="24"/>
          <w:szCs w:val="24"/>
        </w:rPr>
        <w:fldChar w:fldCharType="end"/>
      </w:r>
      <w:bookmarkEnd w:id="9"/>
      <w:r w:rsidRPr="00610A40">
        <w:rPr>
          <w:sz w:val="24"/>
          <w:szCs w:val="24"/>
        </w:rPr>
        <w:t xml:space="preserve"> A. Scanning electron microscope image of the accordion-like honeycomb PGS scaffold fabricated using </w:t>
      </w:r>
      <w:proofErr w:type="spellStart"/>
      <w:r w:rsidRPr="00610A40">
        <w:rPr>
          <w:sz w:val="24"/>
          <w:szCs w:val="24"/>
        </w:rPr>
        <w:t>excimer</w:t>
      </w:r>
      <w:proofErr w:type="spellEnd"/>
      <w:r w:rsidRPr="00610A40">
        <w:rPr>
          <w:sz w:val="24"/>
          <w:szCs w:val="24"/>
        </w:rPr>
        <w:t xml:space="preserve"> laser </w:t>
      </w:r>
      <w:proofErr w:type="spellStart"/>
      <w:r w:rsidRPr="00610A40">
        <w:rPr>
          <w:sz w:val="24"/>
          <w:szCs w:val="24"/>
        </w:rPr>
        <w:t>microablation</w:t>
      </w:r>
      <w:proofErr w:type="spellEnd"/>
      <w:r w:rsidRPr="00610A40">
        <w:rPr>
          <w:sz w:val="24"/>
          <w:szCs w:val="24"/>
        </w:rPr>
        <w:t xml:space="preserve"> technique. B. Confocal microscope image of fluorescently stained neonatal rat heart cells cultured in the accordion-like honeycomb PGS scaffold over 1 week (green for actin filaments, counterstained blue for cell nucleus).</w:t>
      </w:r>
      <w:r w:rsidR="00B83F1B" w:rsidRPr="00610A40">
        <w:rPr>
          <w:sz w:val="24"/>
          <w:szCs w:val="24"/>
        </w:rPr>
        <w:t xml:space="preserve"> </w:t>
      </w:r>
      <w:r w:rsidR="00610A40">
        <w:rPr>
          <w:sz w:val="24"/>
          <w:szCs w:val="24"/>
        </w:rPr>
        <w:t xml:space="preserve"> </w:t>
      </w:r>
      <w:r w:rsidR="00610A40" w:rsidRPr="00610A40">
        <w:rPr>
          <w:sz w:val="24"/>
          <w:szCs w:val="24"/>
        </w:rPr>
        <w:t xml:space="preserve">Reproduced from ref. </w:t>
      </w:r>
      <w:r w:rsidR="00610A40">
        <w:rPr>
          <w:sz w:val="24"/>
          <w:szCs w:val="24"/>
        </w:rPr>
        <w:t>153</w:t>
      </w:r>
      <w:r w:rsidR="00610A40" w:rsidRPr="00610A40">
        <w:rPr>
          <w:sz w:val="24"/>
          <w:szCs w:val="24"/>
        </w:rPr>
        <w:t xml:space="preserve"> with permission from the </w:t>
      </w:r>
      <w:r w:rsidR="00610A40">
        <w:rPr>
          <w:sz w:val="24"/>
          <w:szCs w:val="24"/>
        </w:rPr>
        <w:t>Nature Publishing Group</w:t>
      </w:r>
      <w:r w:rsidR="00610A40" w:rsidRPr="00610A40">
        <w:rPr>
          <w:sz w:val="24"/>
          <w:szCs w:val="24"/>
        </w:rPr>
        <w:t xml:space="preserve">, copyright </w:t>
      </w:r>
      <w:r w:rsidR="00610A40">
        <w:rPr>
          <w:sz w:val="24"/>
          <w:szCs w:val="24"/>
        </w:rPr>
        <w:t>2008</w:t>
      </w:r>
    </w:p>
    <w:p w14:paraId="49E02E38" w14:textId="1BDB8F19" w:rsidR="008C0ADC" w:rsidRPr="00610A40" w:rsidRDefault="008C0ADC" w:rsidP="008B7846">
      <w:pPr>
        <w:rPr>
          <w:color w:val="auto"/>
          <w:szCs w:val="24"/>
        </w:rPr>
      </w:pPr>
      <w:r w:rsidRPr="00610A40">
        <w:rPr>
          <w:color w:val="auto"/>
          <w:szCs w:val="24"/>
        </w:rPr>
        <w:t>After culturing with neonatal rat ventricular cells in vitro for one week, majority of the pore</w:t>
      </w:r>
      <w:r w:rsidR="00235934" w:rsidRPr="00610A40">
        <w:rPr>
          <w:color w:val="auto"/>
          <w:szCs w:val="24"/>
        </w:rPr>
        <w:t>s of the honeycomb structure</w:t>
      </w:r>
      <w:r w:rsidRPr="00610A40">
        <w:rPr>
          <w:color w:val="auto"/>
          <w:szCs w:val="24"/>
        </w:rPr>
        <w:t xml:space="preserve"> were filled with cells, grossly aligned in the PD direction (</w:t>
      </w:r>
      <w:r w:rsidR="00944C77" w:rsidRPr="00610A40">
        <w:rPr>
          <w:color w:val="auto"/>
          <w:szCs w:val="24"/>
        </w:rPr>
        <w:fldChar w:fldCharType="begin"/>
      </w:r>
      <w:r w:rsidR="00944C77" w:rsidRPr="00610A40">
        <w:rPr>
          <w:color w:val="auto"/>
          <w:szCs w:val="24"/>
        </w:rPr>
        <w:instrText xml:space="preserve"> REF _Ref489036333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7</w:t>
      </w:r>
      <w:r w:rsidR="00944C77" w:rsidRPr="00610A40">
        <w:rPr>
          <w:color w:val="auto"/>
          <w:szCs w:val="24"/>
        </w:rPr>
        <w:fldChar w:fldCharType="end"/>
      </w:r>
      <w:r w:rsidR="00944C77" w:rsidRPr="00610A40">
        <w:rPr>
          <w:color w:val="auto"/>
          <w:szCs w:val="24"/>
        </w:rPr>
        <w:t xml:space="preserve"> </w:t>
      </w:r>
      <w:r w:rsidR="009441D5" w:rsidRPr="00610A40">
        <w:rPr>
          <w:color w:val="auto"/>
          <w:szCs w:val="24"/>
        </w:rPr>
        <w:t>B</w:t>
      </w:r>
      <w:r w:rsidRPr="00610A40">
        <w:rPr>
          <w:color w:val="auto"/>
          <w:szCs w:val="24"/>
        </w:rPr>
        <w:t>). The seeded graft yielded a stiffness of E</w:t>
      </w:r>
      <w:r w:rsidRPr="00610A40">
        <w:rPr>
          <w:color w:val="auto"/>
          <w:szCs w:val="24"/>
          <w:vertAlign w:val="subscript"/>
        </w:rPr>
        <w:t>PD</w:t>
      </w:r>
      <w:r w:rsidRPr="00610A40">
        <w:rPr>
          <w:color w:val="auto"/>
          <w:szCs w:val="24"/>
        </w:rPr>
        <w:t xml:space="preserve"> of 32 ± 2 </w:t>
      </w:r>
      <w:proofErr w:type="spellStart"/>
      <w:r w:rsidRPr="00610A40">
        <w:rPr>
          <w:color w:val="auto"/>
          <w:szCs w:val="24"/>
        </w:rPr>
        <w:t>kPa</w:t>
      </w:r>
      <w:proofErr w:type="spellEnd"/>
      <w:r w:rsidRPr="00610A40">
        <w:rPr>
          <w:color w:val="auto"/>
          <w:szCs w:val="24"/>
        </w:rPr>
        <w:t>, E</w:t>
      </w:r>
      <w:r w:rsidRPr="00610A40">
        <w:rPr>
          <w:color w:val="auto"/>
          <w:szCs w:val="24"/>
          <w:vertAlign w:val="subscript"/>
        </w:rPr>
        <w:t>XD</w:t>
      </w:r>
      <w:r w:rsidRPr="00610A40">
        <w:rPr>
          <w:color w:val="auto"/>
          <w:szCs w:val="24"/>
        </w:rPr>
        <w:t xml:space="preserve"> of 19 ± 4 </w:t>
      </w:r>
      <w:proofErr w:type="spellStart"/>
      <w:r w:rsidRPr="00610A40">
        <w:rPr>
          <w:color w:val="auto"/>
          <w:szCs w:val="24"/>
        </w:rPr>
        <w:t>kPa</w:t>
      </w:r>
      <w:proofErr w:type="spellEnd"/>
      <w:r w:rsidRPr="00610A40">
        <w:rPr>
          <w:color w:val="auto"/>
          <w:szCs w:val="24"/>
        </w:rPr>
        <w:t xml:space="preserve"> (p&gt;0.05) and E</w:t>
      </w:r>
      <w:r w:rsidRPr="00610A40">
        <w:rPr>
          <w:color w:val="auto"/>
          <w:szCs w:val="24"/>
          <w:vertAlign w:val="subscript"/>
        </w:rPr>
        <w:t>PD</w:t>
      </w:r>
      <w:r w:rsidRPr="00610A40">
        <w:rPr>
          <w:color w:val="auto"/>
          <w:szCs w:val="24"/>
        </w:rPr>
        <w:t>/E</w:t>
      </w:r>
      <w:r w:rsidRPr="00610A40">
        <w:rPr>
          <w:color w:val="auto"/>
          <w:szCs w:val="24"/>
          <w:vertAlign w:val="subscript"/>
        </w:rPr>
        <w:t>XD</w:t>
      </w:r>
      <w:r w:rsidRPr="00610A40">
        <w:rPr>
          <w:color w:val="auto"/>
          <w:szCs w:val="24"/>
        </w:rPr>
        <w:t xml:space="preserve"> of 1.9 ± 0.3. It was suggested that cultured of heart cells experienced a significant reduction in stiffness in both directions, probably due to a combination of scaffold biodegradation in vitro and extracellular matrix deposition. These factors will need to be taken into account for future scaffold design. On a microscopic level, the neonatal rat heart cells were well-aligned in the PD direction. Electrophysiological assessment for scaffolds grafted with cardiac fibroblast and neonatal rat heart cells demonstrated synchronous contractions in as early as 4 days. The graft was capable of being paced by electrical field stimulation at up to 4 Hz. Excitation thresholds (ET) was found to be 12 ± 1% lower when measured with the scaffold PD oriented versus XD oriented to the applied electric field. This was consistent with reports in </w:t>
      </w:r>
      <w:r w:rsidRPr="00610A40">
        <w:rPr>
          <w:color w:val="auto"/>
          <w:szCs w:val="24"/>
        </w:rPr>
        <w:lastRenderedPageBreak/>
        <w:t xml:space="preserve">which ET for cultured adult guinea pig and canine </w:t>
      </w:r>
      <w:proofErr w:type="spellStart"/>
      <w:r w:rsidRPr="00610A40">
        <w:rPr>
          <w:color w:val="auto"/>
          <w:szCs w:val="24"/>
        </w:rPr>
        <w:t>cardiomyocytes</w:t>
      </w:r>
      <w:proofErr w:type="spellEnd"/>
      <w:r w:rsidRPr="00610A40">
        <w:rPr>
          <w:color w:val="auto"/>
          <w:szCs w:val="24"/>
        </w:rPr>
        <w:t xml:space="preserve"> exhibited a ~50% lower ET with their long cell axis parallel versus perpendicular.</w:t>
      </w:r>
      <w:r w:rsidR="00BD4CA7" w:rsidRPr="00610A40">
        <w:rPr>
          <w:color w:val="auto"/>
          <w:szCs w:val="24"/>
        </w:rPr>
        <w:t xml:space="preserve"> </w:t>
      </w:r>
      <w:r w:rsidRPr="00610A40">
        <w:rPr>
          <w:color w:val="auto"/>
          <w:szCs w:val="24"/>
        </w:rPr>
        <w:t xml:space="preserve">In order to create a full-thickness myocardium tissue, the group fabricated a 400 </w:t>
      </w:r>
      <w:proofErr w:type="spellStart"/>
      <w:r w:rsidRPr="00610A40">
        <w:rPr>
          <w:rFonts w:ascii="Calibri" w:hAnsi="Calibri"/>
          <w:color w:val="auto"/>
          <w:szCs w:val="24"/>
        </w:rPr>
        <w:t>μ</w:t>
      </w:r>
      <w:r w:rsidRPr="00610A40">
        <w:rPr>
          <w:color w:val="auto"/>
          <w:szCs w:val="24"/>
        </w:rPr>
        <w:t>m</w:t>
      </w:r>
      <w:proofErr w:type="spellEnd"/>
      <w:r w:rsidRPr="00610A40">
        <w:rPr>
          <w:color w:val="auto"/>
          <w:szCs w:val="24"/>
        </w:rPr>
        <w:t xml:space="preserve"> accordion-like honeycomb 3D scaffold and cultured neonatal rat heart cells. In vitro culturing of neonatal rat heart cells in this thicker scaffold demonstrated viability and the formation of multi-layered tissue structures. This suggests future possibility in culturing heart tissues of greater thickness by layering discrete lamina scaffolds, provided the cultured cells receive sufficient perfusion for growth. This study demonstrated the importance how the structure of an elastomeric polyester cardiac tissue scaffold could promote the preferential orientation of the cardiac cells, without external stimuli, so as to resemble the structure of myocardium more closely.</w:t>
      </w:r>
      <w:r w:rsidR="00BD4CA7" w:rsidRPr="00610A40">
        <w:rPr>
          <w:color w:val="auto"/>
          <w:szCs w:val="24"/>
        </w:rPr>
        <w:t xml:space="preserve"> </w:t>
      </w:r>
      <w:r w:rsidRPr="00610A40">
        <w:rPr>
          <w:color w:val="auto"/>
          <w:szCs w:val="24"/>
        </w:rPr>
        <w:t xml:space="preserve">Based on this accordion-like honeycomb microstructure that has demonstrated efficacy in culturing cardiac tissue cells, a couple more elastic polyesters were also patterned into this structure as a cardiac tissue engineering scaffold to achieve a similar anisotropic effect. </w:t>
      </w:r>
    </w:p>
    <w:p w14:paraId="3859E3B3" w14:textId="1338AECC" w:rsidR="008C0ADC" w:rsidRPr="00610A40" w:rsidRDefault="008C0ADC" w:rsidP="008B7846">
      <w:pPr>
        <w:rPr>
          <w:color w:val="auto"/>
          <w:szCs w:val="24"/>
        </w:rPr>
      </w:pPr>
      <w:r w:rsidRPr="00610A40">
        <w:rPr>
          <w:color w:val="auto"/>
          <w:szCs w:val="24"/>
        </w:rPr>
        <w:t>A</w:t>
      </w:r>
      <w:r w:rsidR="00BD4CA7" w:rsidRPr="00610A40">
        <w:rPr>
          <w:color w:val="auto"/>
          <w:szCs w:val="24"/>
        </w:rPr>
        <w:t>nother work showed</w:t>
      </w:r>
      <w:r w:rsidRPr="00610A40">
        <w:rPr>
          <w:color w:val="auto"/>
          <w:szCs w:val="24"/>
        </w:rPr>
        <w:t xml:space="preserve"> a method to stack layers of cardiac tissue engineering scaffolds together to form a full thickness tissue. The group, inspired by the mechanism behind the conventional Velcro system,  fabricated small T-shaped ‘hooks’ onto the top surface of each layer of accordion-like honeycomb structures, using another biodegradable polyester elastomer, poly(</w:t>
      </w:r>
      <w:proofErr w:type="spellStart"/>
      <w:r w:rsidRPr="00610A40">
        <w:rPr>
          <w:color w:val="auto"/>
          <w:szCs w:val="24"/>
        </w:rPr>
        <w:t>ocatamethylene</w:t>
      </w:r>
      <w:proofErr w:type="spellEnd"/>
      <w:r w:rsidRPr="00610A40">
        <w:rPr>
          <w:color w:val="auto"/>
          <w:szCs w:val="24"/>
        </w:rPr>
        <w:t xml:space="preserve"> maleate(</w:t>
      </w:r>
      <w:proofErr w:type="spellStart"/>
      <w:r w:rsidRPr="00610A40">
        <w:rPr>
          <w:color w:val="auto"/>
          <w:szCs w:val="24"/>
        </w:rPr>
        <w:t>anyhydride</w:t>
      </w:r>
      <w:proofErr w:type="spellEnd"/>
      <w:r w:rsidRPr="00610A40">
        <w:rPr>
          <w:color w:val="auto"/>
          <w:szCs w:val="24"/>
        </w:rPr>
        <w:t>)citrate) (</w:t>
      </w:r>
      <w:proofErr w:type="spellStart"/>
      <w:r w:rsidRPr="00610A40">
        <w:rPr>
          <w:color w:val="auto"/>
          <w:szCs w:val="24"/>
        </w:rPr>
        <w:t>POMaC</w:t>
      </w:r>
      <w:proofErr w:type="spellEnd"/>
      <w:r w:rsidRPr="00610A40">
        <w:rPr>
          <w:color w:val="auto"/>
          <w:szCs w:val="24"/>
        </w:rPr>
        <w:t>)</w:t>
      </w:r>
      <w:r w:rsidRPr="00610A40">
        <w:rPr>
          <w:color w:val="auto"/>
          <w:szCs w:val="24"/>
        </w:rPr>
        <w:fldChar w:fldCharType="begin" w:fldLock="1"/>
      </w:r>
      <w:r w:rsidR="00565E2A" w:rsidRPr="00610A40">
        <w:rPr>
          <w:color w:val="auto"/>
          <w:szCs w:val="24"/>
        </w:rPr>
        <w:instrText>ADDIN CSL_CITATION { "citationItems" : [ { "id" : "ITEM-1", "itemData" : { "DOI" : "10.1126/sciadv.1500423", "ISSN" : "2375-2548", "PMID" : "26601234", "abstract" : "Engineering mature tissues requires a guided assembly of cells into organized three-dimensional (3D) structures with multiple cell types. Guidance is usually achieved by microtopographical scaffold cues or by cell-gel compaction. The assembly of individual units into functional 3D tissues is often time-consuming, relying on cell ingrowth and matrix remodeling, whereas disassembly requires an invasive method that includes either matrix dissolution or mechanical cutting. We invented Tissue-Velcro, a bio-scaffold with a microfabricated hook and loop system. The assembly of Tissue-Velcro preserved the guided cell alignment realized by the topographical features in the 2D scaffold mesh and allowed for the instant establishment of coculture conditions by spatially defined stacking of cardiac cell layers or through endothelial cell coating. The assembled cardiac 3D tissue constructs were immediately functional as measured by their ability to contract in response to electrical field stimulation. Facile, on-demand tissue disassembly was demonstrated while preserving the structure, physical integrity, and beating function of individual layers.", "author" : [ { "dropping-particle" : "", "family" : "Zhang", "given" : "B.", "non-dropping-particle" : "", "parse-names" : false, "suffix" : "" }, { "dropping-particle" : "", "family" : "Montgomery", "given" : "M.", "non-dropping-particle" : "", "parse-names" : false, "suffix" : "" }, { "dropping-particle" : "", "family" : "Davenport-Huyer", "given" : "L.", "non-dropping-particle" : "", "parse-names" : false, "suffix" : "" }, { "dropping-particle" : "", "family" : "Korolj", "given" : "A.", "non-dropping-particle" : "", "parse-names" : false, "suffix" : "" }, { "dropping-particle" : "", "family" : "Radisic", "given" : "M.", "non-dropping-particle" : "", "parse-names" : false, "suffix" : "" } ], "container-title" : "Science Advances", "id" : "ITEM-1", "issue" : "7", "issued" : { "date-parts" : [ [ "2015" ] ] }, "page" : "e1500423-e1500423", "title" : "Platform technology for scalable assembly of instantaneously functional mosaic tissues", "type" : "article-journal", "volume" : "1" }, "uris" : [ "http://www.mendeley.com/documents/?uuid=3df52aad-9750-495f-8086-b67ec7dd5cd7", "http://www.mendeley.com/documents/?uuid=42854309-a4c1-4b56-ae95-4980d3ba7ce7" ] } ], "mendeley" : { "formattedCitation" : "&lt;sup&gt;154&lt;/sup&gt;", "plainTextFormattedCitation" : "154", "previouslyFormattedCitation" : "&lt;sup&gt;153&lt;/sup&gt;"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154</w:t>
      </w:r>
      <w:r w:rsidRPr="00610A40">
        <w:rPr>
          <w:color w:val="auto"/>
          <w:szCs w:val="24"/>
        </w:rPr>
        <w:fldChar w:fldCharType="end"/>
      </w:r>
      <w:r w:rsidRPr="00610A40">
        <w:rPr>
          <w:color w:val="auto"/>
          <w:szCs w:val="24"/>
        </w:rPr>
        <w:t xml:space="preserve">. </w:t>
      </w:r>
      <w:proofErr w:type="spellStart"/>
      <w:r w:rsidRPr="00610A40">
        <w:rPr>
          <w:color w:val="auto"/>
          <w:szCs w:val="24"/>
        </w:rPr>
        <w:t>POMaC</w:t>
      </w:r>
      <w:proofErr w:type="spellEnd"/>
      <w:r w:rsidRPr="00610A40">
        <w:rPr>
          <w:color w:val="auto"/>
          <w:szCs w:val="24"/>
        </w:rPr>
        <w:t xml:space="preserve"> had a Young’s modulus of 552kPa and was therefore selected due to its similarity to the modulus of a native cardiac tissue. They then seed cardiac cells onto each layer of the scaffold by pipetting.  Before the seeded cells could proliferate, and occupy the holes in the honeycomb structure, the scaffolds are lifted off from their seeding support (polystyrene tissue culture plates). As a result, each layer of scaffold </w:t>
      </w:r>
      <w:r w:rsidR="00D5605F" w:rsidRPr="00610A40">
        <w:rPr>
          <w:color w:val="auto"/>
          <w:szCs w:val="24"/>
        </w:rPr>
        <w:t>contains</w:t>
      </w:r>
      <w:r w:rsidRPr="00610A40">
        <w:rPr>
          <w:color w:val="auto"/>
          <w:szCs w:val="24"/>
        </w:rPr>
        <w:t xml:space="preserve"> cells growing only on the patterned </w:t>
      </w:r>
      <w:proofErr w:type="spellStart"/>
      <w:r w:rsidRPr="00610A40">
        <w:rPr>
          <w:color w:val="auto"/>
          <w:szCs w:val="24"/>
        </w:rPr>
        <w:t>POMaC</w:t>
      </w:r>
      <w:proofErr w:type="spellEnd"/>
      <w:r w:rsidRPr="00610A40">
        <w:rPr>
          <w:color w:val="auto"/>
          <w:szCs w:val="24"/>
        </w:rPr>
        <w:t>, with honeycombed holes and a T-</w:t>
      </w:r>
      <w:r w:rsidRPr="00610A40">
        <w:rPr>
          <w:color w:val="auto"/>
          <w:szCs w:val="24"/>
        </w:rPr>
        <w:lastRenderedPageBreak/>
        <w:t>shape protruding out on their top surfaces</w:t>
      </w:r>
      <w:r w:rsidR="00E62684" w:rsidRPr="00610A40">
        <w:rPr>
          <w:color w:val="auto"/>
          <w:szCs w:val="24"/>
        </w:rPr>
        <w:t xml:space="preserve"> (</w:t>
      </w:r>
      <w:r w:rsidR="00944C77" w:rsidRPr="00610A40">
        <w:rPr>
          <w:color w:val="auto"/>
          <w:szCs w:val="24"/>
        </w:rPr>
        <w:fldChar w:fldCharType="begin"/>
      </w:r>
      <w:r w:rsidR="00944C77" w:rsidRPr="00610A40">
        <w:rPr>
          <w:color w:val="auto"/>
          <w:szCs w:val="24"/>
        </w:rPr>
        <w:instrText xml:space="preserve"> REF _Ref489036373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8</w:t>
      </w:r>
      <w:r w:rsidR="00944C77" w:rsidRPr="00610A40">
        <w:rPr>
          <w:color w:val="auto"/>
          <w:szCs w:val="24"/>
        </w:rPr>
        <w:fldChar w:fldCharType="end"/>
      </w:r>
      <w:r w:rsidR="00E62684" w:rsidRPr="00610A40">
        <w:rPr>
          <w:color w:val="auto"/>
          <w:szCs w:val="24"/>
        </w:rPr>
        <w:t xml:space="preserve"> C-E)</w:t>
      </w:r>
      <w:r w:rsidRPr="00610A40">
        <w:rPr>
          <w:color w:val="auto"/>
          <w:szCs w:val="24"/>
        </w:rPr>
        <w:t xml:space="preserve">. The layers of </w:t>
      </w:r>
      <w:proofErr w:type="spellStart"/>
      <w:r w:rsidRPr="00610A40">
        <w:rPr>
          <w:color w:val="auto"/>
          <w:szCs w:val="24"/>
        </w:rPr>
        <w:t>POMaC</w:t>
      </w:r>
      <w:proofErr w:type="spellEnd"/>
      <w:r w:rsidRPr="00610A40">
        <w:rPr>
          <w:color w:val="auto"/>
          <w:szCs w:val="24"/>
        </w:rPr>
        <w:t xml:space="preserve"> are then stacked together. The T-shaped hooks of the bottom layer would go through the holes of the top layer, ‘hooking’ the bottom layer onto the top layer. These steps and the final structure</w:t>
      </w:r>
      <w:r w:rsidR="00B83F1B" w:rsidRPr="00610A40">
        <w:rPr>
          <w:color w:val="auto"/>
          <w:szCs w:val="24"/>
        </w:rPr>
        <w:t xml:space="preserve"> of the Tissue-Velcro system</w:t>
      </w:r>
      <w:r w:rsidRPr="00610A40">
        <w:rPr>
          <w:color w:val="auto"/>
          <w:szCs w:val="24"/>
        </w:rPr>
        <w:t xml:space="preserve"> </w:t>
      </w:r>
      <w:r w:rsidR="00235934" w:rsidRPr="00610A40">
        <w:rPr>
          <w:color w:val="auto"/>
          <w:szCs w:val="24"/>
        </w:rPr>
        <w:t xml:space="preserve">are </w:t>
      </w:r>
      <w:r w:rsidRPr="00610A40">
        <w:rPr>
          <w:color w:val="auto"/>
          <w:szCs w:val="24"/>
        </w:rPr>
        <w:t xml:space="preserve">illustrated in </w:t>
      </w:r>
      <w:r w:rsidR="00944C77" w:rsidRPr="00610A40">
        <w:rPr>
          <w:color w:val="auto"/>
          <w:szCs w:val="24"/>
        </w:rPr>
        <w:fldChar w:fldCharType="begin"/>
      </w:r>
      <w:r w:rsidR="00944C77" w:rsidRPr="00610A40">
        <w:rPr>
          <w:color w:val="auto"/>
          <w:szCs w:val="24"/>
        </w:rPr>
        <w:instrText xml:space="preserve"> REF _Ref489036373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8</w:t>
      </w:r>
      <w:r w:rsidR="00944C77" w:rsidRPr="00610A40">
        <w:rPr>
          <w:color w:val="auto"/>
          <w:szCs w:val="24"/>
        </w:rPr>
        <w:fldChar w:fldCharType="end"/>
      </w:r>
      <w:r w:rsidR="00944C77" w:rsidRPr="00610A40">
        <w:rPr>
          <w:color w:val="auto"/>
          <w:szCs w:val="24"/>
        </w:rPr>
        <w:t xml:space="preserve"> A</w:t>
      </w:r>
      <w:r w:rsidRPr="00610A40">
        <w:rPr>
          <w:color w:val="auto"/>
          <w:szCs w:val="24"/>
        </w:rPr>
        <w:t xml:space="preserve">. The pressure required to separate any 2 layers of the </w:t>
      </w:r>
      <w:proofErr w:type="spellStart"/>
      <w:r w:rsidRPr="00610A40">
        <w:rPr>
          <w:color w:val="auto"/>
          <w:szCs w:val="24"/>
        </w:rPr>
        <w:t>POMaC</w:t>
      </w:r>
      <w:proofErr w:type="spellEnd"/>
      <w:r w:rsidRPr="00610A40">
        <w:rPr>
          <w:color w:val="auto"/>
          <w:szCs w:val="24"/>
        </w:rPr>
        <w:t xml:space="preserve"> scaffold was 0.5 ± 0.1 </w:t>
      </w:r>
      <w:proofErr w:type="spellStart"/>
      <w:r w:rsidRPr="00610A40">
        <w:rPr>
          <w:color w:val="auto"/>
          <w:szCs w:val="24"/>
        </w:rPr>
        <w:t>kPa</w:t>
      </w:r>
      <w:proofErr w:type="spellEnd"/>
      <w:r w:rsidRPr="00610A40">
        <w:rPr>
          <w:color w:val="auto"/>
          <w:szCs w:val="24"/>
        </w:rPr>
        <w:t xml:space="preserve">, which </w:t>
      </w:r>
      <w:r w:rsidR="00235934" w:rsidRPr="00610A40">
        <w:rPr>
          <w:color w:val="auto"/>
          <w:szCs w:val="24"/>
        </w:rPr>
        <w:t xml:space="preserve">was </w:t>
      </w:r>
      <w:r w:rsidRPr="00610A40">
        <w:rPr>
          <w:color w:val="auto"/>
          <w:szCs w:val="24"/>
        </w:rPr>
        <w:t xml:space="preserve">equivalent to 82% of the hooks. In a physiological regime of 15% initial strain, this scaffold displayed anisotropic mechanical properties with a measured modulus of 7.9 ± 1.8 </w:t>
      </w:r>
      <w:proofErr w:type="spellStart"/>
      <w:r w:rsidRPr="00610A40">
        <w:rPr>
          <w:color w:val="auto"/>
          <w:szCs w:val="24"/>
        </w:rPr>
        <w:t>kPa</w:t>
      </w:r>
      <w:proofErr w:type="spellEnd"/>
      <w:r w:rsidRPr="00610A40">
        <w:rPr>
          <w:color w:val="auto"/>
          <w:szCs w:val="24"/>
        </w:rPr>
        <w:t xml:space="preserve"> along the one axis and 2.6 ± 1.2 </w:t>
      </w:r>
      <w:proofErr w:type="spellStart"/>
      <w:r w:rsidRPr="00610A40">
        <w:rPr>
          <w:color w:val="auto"/>
          <w:szCs w:val="24"/>
        </w:rPr>
        <w:t>kPa</w:t>
      </w:r>
      <w:proofErr w:type="spellEnd"/>
      <w:r w:rsidRPr="00610A40">
        <w:rPr>
          <w:color w:val="auto"/>
          <w:szCs w:val="24"/>
        </w:rPr>
        <w:t xml:space="preserve"> along the other axis, an anisotropy ratio of 3.1 ± 1.6. This is approximately 1 to 2 orders of magnitude lower than the scaffold fabricated with PGS, as well as that of both right and left ventricular myocardium of rats as mentioned above. However, the stacking of multiple layers of these </w:t>
      </w:r>
      <w:proofErr w:type="spellStart"/>
      <w:r w:rsidRPr="00610A40">
        <w:rPr>
          <w:color w:val="auto"/>
          <w:szCs w:val="24"/>
        </w:rPr>
        <w:t>POMaC</w:t>
      </w:r>
      <w:proofErr w:type="spellEnd"/>
      <w:r w:rsidRPr="00610A40">
        <w:rPr>
          <w:color w:val="auto"/>
          <w:szCs w:val="24"/>
        </w:rPr>
        <w:t xml:space="preserve"> honeycomb scaffold sheets could potentially increase the overall scaffold modulus to a range that is even closer to that of the cardiac tissue. </w:t>
      </w:r>
    </w:p>
    <w:p w14:paraId="3E39F2EC" w14:textId="77777777" w:rsidR="00B83F1B" w:rsidRPr="00610A40" w:rsidRDefault="00B83F1B" w:rsidP="00086775">
      <w:pPr>
        <w:keepNext/>
        <w:rPr>
          <w:color w:val="auto"/>
          <w:szCs w:val="24"/>
        </w:rPr>
      </w:pPr>
      <w:r w:rsidRPr="00610A40">
        <w:rPr>
          <w:noProof/>
          <w:color w:val="auto"/>
          <w:szCs w:val="24"/>
        </w:rPr>
        <w:lastRenderedPageBreak/>
        <w:drawing>
          <wp:inline distT="0" distB="0" distL="0" distR="0" wp14:anchorId="4C0B1BC3" wp14:editId="24F6CB47">
            <wp:extent cx="5943600" cy="6164152"/>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6164152"/>
                    </a:xfrm>
                    <a:prstGeom prst="rect">
                      <a:avLst/>
                    </a:prstGeom>
                    <a:noFill/>
                    <a:ln>
                      <a:noFill/>
                    </a:ln>
                  </pic:spPr>
                </pic:pic>
              </a:graphicData>
            </a:graphic>
          </wp:inline>
        </w:drawing>
      </w:r>
    </w:p>
    <w:p w14:paraId="7EE04F11" w14:textId="76711A4D" w:rsidR="00EC4113" w:rsidRPr="00610A40" w:rsidRDefault="00B83F1B" w:rsidP="00EC4113">
      <w:pPr>
        <w:pStyle w:val="Caption"/>
        <w:rPr>
          <w:sz w:val="24"/>
          <w:szCs w:val="24"/>
        </w:rPr>
      </w:pPr>
      <w:bookmarkStart w:id="10" w:name="_Ref489036373"/>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8</w:t>
      </w:r>
      <w:r w:rsidR="00004924" w:rsidRPr="00610A40">
        <w:rPr>
          <w:noProof/>
          <w:sz w:val="24"/>
          <w:szCs w:val="24"/>
        </w:rPr>
        <w:fldChar w:fldCharType="end"/>
      </w:r>
      <w:bookmarkEnd w:id="10"/>
      <w:r w:rsidRPr="00610A40">
        <w:rPr>
          <w:sz w:val="24"/>
          <w:szCs w:val="24"/>
        </w:rPr>
        <w:t xml:space="preserve"> Fabrication of the Tissue-Velcro platform. A. The analogy between the Tissue-Velcro system and the conventional </w:t>
      </w:r>
      <w:r w:rsidR="00D5605F" w:rsidRPr="00610A40">
        <w:rPr>
          <w:sz w:val="24"/>
          <w:szCs w:val="24"/>
        </w:rPr>
        <w:t>Velcro. The</w:t>
      </w:r>
      <w:r w:rsidRPr="00610A40">
        <w:rPr>
          <w:sz w:val="24"/>
          <w:szCs w:val="24"/>
        </w:rPr>
        <w:t xml:space="preserve"> red arrows represent the built-in hooks. B. Fabrication processes of the Tissue-Velcro system including microinjection and stamping. C. Cell seeding process where cell suspension in </w:t>
      </w:r>
      <w:proofErr w:type="spellStart"/>
      <w:r w:rsidRPr="00610A40">
        <w:rPr>
          <w:sz w:val="24"/>
          <w:szCs w:val="24"/>
        </w:rPr>
        <w:t>Matrigel</w:t>
      </w:r>
      <w:proofErr w:type="spellEnd"/>
      <w:r w:rsidRPr="00610A40">
        <w:rPr>
          <w:sz w:val="24"/>
          <w:szCs w:val="24"/>
        </w:rPr>
        <w:t xml:space="preserve"> was </w:t>
      </w:r>
      <w:r w:rsidR="00FE7A7B" w:rsidRPr="00610A40">
        <w:rPr>
          <w:sz w:val="24"/>
          <w:szCs w:val="24"/>
        </w:rPr>
        <w:t>pipetted</w:t>
      </w:r>
      <w:r w:rsidRPr="00610A40">
        <w:rPr>
          <w:sz w:val="24"/>
          <w:szCs w:val="24"/>
        </w:rPr>
        <w:t xml:space="preserve"> on</w:t>
      </w:r>
      <w:r w:rsidR="00FE7A7B" w:rsidRPr="00610A40">
        <w:rPr>
          <w:sz w:val="24"/>
          <w:szCs w:val="24"/>
        </w:rPr>
        <w:t>to</w:t>
      </w:r>
      <w:r w:rsidRPr="00610A40">
        <w:rPr>
          <w:sz w:val="24"/>
          <w:szCs w:val="24"/>
        </w:rPr>
        <w:t xml:space="preserve"> the scaffold </w:t>
      </w:r>
      <w:r w:rsidR="00FE7A7B" w:rsidRPr="00610A40">
        <w:rPr>
          <w:sz w:val="24"/>
          <w:szCs w:val="24"/>
        </w:rPr>
        <w:t>before lifting the scaffold off to prevent cell growth into the pores of the honeycomb structure. The porous seeded scaffold</w:t>
      </w:r>
      <w:r w:rsidR="00D5605F" w:rsidRPr="00610A40">
        <w:rPr>
          <w:sz w:val="24"/>
          <w:szCs w:val="24"/>
        </w:rPr>
        <w:t>s</w:t>
      </w:r>
      <w:r w:rsidR="00FE7A7B" w:rsidRPr="00610A40">
        <w:rPr>
          <w:sz w:val="24"/>
          <w:szCs w:val="24"/>
        </w:rPr>
        <w:t xml:space="preserve"> are then stacked into layers. D.</w:t>
      </w:r>
      <w:r w:rsidR="00D5605F" w:rsidRPr="00610A40">
        <w:rPr>
          <w:sz w:val="24"/>
          <w:szCs w:val="24"/>
        </w:rPr>
        <w:t xml:space="preserve"> </w:t>
      </w:r>
      <w:r w:rsidR="00FE7A7B" w:rsidRPr="00610A40">
        <w:rPr>
          <w:sz w:val="24"/>
          <w:szCs w:val="24"/>
        </w:rPr>
        <w:t xml:space="preserve">Scanning electron microscope (SEM) image of the accordion-like honeycomb structures and the T-shaped hooks fabricated. E. </w:t>
      </w:r>
      <w:r w:rsidR="00E62684" w:rsidRPr="00610A40">
        <w:rPr>
          <w:sz w:val="24"/>
          <w:szCs w:val="24"/>
        </w:rPr>
        <w:t>SEM images of the stacked and interlocked scaffolds, highlighting how the hooks from the bottom layer protrudes up from the top layer.</w:t>
      </w:r>
      <w:r w:rsidR="00EC4113">
        <w:rPr>
          <w:sz w:val="24"/>
          <w:szCs w:val="24"/>
        </w:rPr>
        <w:t xml:space="preserve"> </w:t>
      </w:r>
      <w:r w:rsidR="00EC4113" w:rsidRPr="00610A40">
        <w:rPr>
          <w:sz w:val="24"/>
          <w:szCs w:val="24"/>
        </w:rPr>
        <w:t xml:space="preserve">Reproduced from ref. </w:t>
      </w:r>
      <w:r w:rsidR="00EC4113">
        <w:rPr>
          <w:sz w:val="24"/>
          <w:szCs w:val="24"/>
        </w:rPr>
        <w:lastRenderedPageBreak/>
        <w:t>154</w:t>
      </w:r>
      <w:r w:rsidR="00EC4113" w:rsidRPr="00610A40">
        <w:rPr>
          <w:sz w:val="24"/>
          <w:szCs w:val="24"/>
        </w:rPr>
        <w:t xml:space="preserve"> with permission from the </w:t>
      </w:r>
      <w:r w:rsidR="009A5BC6" w:rsidRPr="009A5BC6">
        <w:rPr>
          <w:sz w:val="24"/>
          <w:szCs w:val="24"/>
        </w:rPr>
        <w:t>American Association for the Advancement of Science</w:t>
      </w:r>
      <w:r w:rsidR="00EC4113" w:rsidRPr="00610A40">
        <w:rPr>
          <w:sz w:val="24"/>
          <w:szCs w:val="24"/>
        </w:rPr>
        <w:t xml:space="preserve">, copyright </w:t>
      </w:r>
      <w:r w:rsidR="00EC4113">
        <w:rPr>
          <w:sz w:val="24"/>
          <w:szCs w:val="24"/>
        </w:rPr>
        <w:t>20</w:t>
      </w:r>
      <w:r w:rsidR="009A5BC6">
        <w:rPr>
          <w:sz w:val="24"/>
          <w:szCs w:val="24"/>
        </w:rPr>
        <w:t>15</w:t>
      </w:r>
    </w:p>
    <w:p w14:paraId="1A49262F" w14:textId="73682F02" w:rsidR="000963F6" w:rsidRPr="00610A40" w:rsidRDefault="00E62684" w:rsidP="00086775">
      <w:pPr>
        <w:pStyle w:val="Caption"/>
        <w:rPr>
          <w:sz w:val="24"/>
          <w:szCs w:val="24"/>
        </w:rPr>
      </w:pPr>
      <w:r w:rsidRPr="00610A40">
        <w:rPr>
          <w:sz w:val="24"/>
          <w:szCs w:val="24"/>
        </w:rPr>
        <w:t xml:space="preserve"> </w:t>
      </w:r>
    </w:p>
    <w:p w14:paraId="50E43F0F" w14:textId="4DFACDE2" w:rsidR="008C0ADC" w:rsidRPr="00610A40" w:rsidRDefault="008C0ADC" w:rsidP="008B7846">
      <w:pPr>
        <w:rPr>
          <w:color w:val="auto"/>
          <w:szCs w:val="24"/>
        </w:rPr>
      </w:pPr>
      <w:r w:rsidRPr="00610A40">
        <w:rPr>
          <w:color w:val="auto"/>
          <w:szCs w:val="24"/>
        </w:rPr>
        <w:t xml:space="preserve">This </w:t>
      </w:r>
      <w:proofErr w:type="spellStart"/>
      <w:r w:rsidRPr="00610A40">
        <w:rPr>
          <w:color w:val="auto"/>
          <w:szCs w:val="24"/>
        </w:rPr>
        <w:t>POMaC</w:t>
      </w:r>
      <w:proofErr w:type="spellEnd"/>
      <w:r w:rsidRPr="00610A40">
        <w:rPr>
          <w:color w:val="auto"/>
          <w:szCs w:val="24"/>
        </w:rPr>
        <w:t xml:space="preserve"> scaffold </w:t>
      </w:r>
      <w:r w:rsidR="000963F6" w:rsidRPr="00610A40">
        <w:rPr>
          <w:color w:val="auto"/>
          <w:szCs w:val="24"/>
        </w:rPr>
        <w:t xml:space="preserve">was </w:t>
      </w:r>
      <w:r w:rsidRPr="00610A40">
        <w:rPr>
          <w:color w:val="auto"/>
          <w:szCs w:val="24"/>
        </w:rPr>
        <w:t xml:space="preserve">also proven to support the proliferation of neonatal rat </w:t>
      </w:r>
      <w:proofErr w:type="spellStart"/>
      <w:r w:rsidRPr="00610A40">
        <w:rPr>
          <w:color w:val="auto"/>
          <w:szCs w:val="24"/>
        </w:rPr>
        <w:t>cardiomyocytes</w:t>
      </w:r>
      <w:proofErr w:type="spellEnd"/>
      <w:r w:rsidRPr="00610A40">
        <w:rPr>
          <w:color w:val="auto"/>
          <w:szCs w:val="24"/>
        </w:rPr>
        <w:t>. The seeded cells were seen compacting and elongating around the struts over a period of 7 days. The scaffold was also able to contract spontaneously after 4 to 6 days of in vitro culturing. The group also co</w:t>
      </w:r>
      <w:r w:rsidR="00BD4CA7" w:rsidRPr="00610A40">
        <w:rPr>
          <w:color w:val="auto"/>
          <w:szCs w:val="24"/>
        </w:rPr>
        <w:t>-</w:t>
      </w:r>
      <w:r w:rsidRPr="00610A40">
        <w:rPr>
          <w:color w:val="auto"/>
          <w:szCs w:val="24"/>
        </w:rPr>
        <w:t>cultured a layer of endothelial cells on top of the heart cells on the scaffold and proved its success by CD31 staining. This layer of endothelial growth on the surface of the cardiac cells could potentially act as a barrier to protect the underlying cardiac cells from injuries due to fluid shear stress when the entire tissue scaffold was to be perfused through the void spaces wi</w:t>
      </w:r>
      <w:r w:rsidR="00BD4CA7" w:rsidRPr="00610A40">
        <w:rPr>
          <w:color w:val="auto"/>
          <w:szCs w:val="24"/>
        </w:rPr>
        <w:t xml:space="preserve">thin each honeycomb structure. </w:t>
      </w:r>
      <w:r w:rsidRPr="00610A40">
        <w:rPr>
          <w:color w:val="auto"/>
          <w:szCs w:val="24"/>
        </w:rPr>
        <w:t xml:space="preserve">Co-cultures could also be easily produced from stacking of layers of different cell types together. In this paper, the authors described their success in the creation of a three-layered tissue scaffold: culturing rat </w:t>
      </w:r>
      <w:proofErr w:type="spellStart"/>
      <w:r w:rsidRPr="00610A40">
        <w:rPr>
          <w:color w:val="auto"/>
          <w:szCs w:val="24"/>
        </w:rPr>
        <w:t>cardiomyocytes</w:t>
      </w:r>
      <w:proofErr w:type="spellEnd"/>
      <w:r w:rsidRPr="00610A40">
        <w:rPr>
          <w:color w:val="auto"/>
          <w:szCs w:val="24"/>
        </w:rPr>
        <w:t xml:space="preserve"> on two layers with one layer of cardiac fibroblast sandwiched in between, with a total thickness of 712 ± 7 </w:t>
      </w:r>
      <w:r w:rsidRPr="00610A40">
        <w:rPr>
          <w:rFonts w:ascii="Calibri" w:hAnsi="Calibri"/>
          <w:color w:val="auto"/>
          <w:szCs w:val="24"/>
        </w:rPr>
        <w:t>µ</w:t>
      </w:r>
      <w:r w:rsidRPr="00610A40">
        <w:rPr>
          <w:color w:val="auto"/>
          <w:szCs w:val="24"/>
        </w:rPr>
        <w:t>m. This assembled tissue scaffold was able to contract synchronously with its excitation threshold slightly increased after assembly. The group had also demonstrated feasibility in stacking of these Velcro-like scaffold sheets in other orientati</w:t>
      </w:r>
      <w:r w:rsidR="00BD4CA7" w:rsidRPr="00610A40">
        <w:rPr>
          <w:color w:val="auto"/>
          <w:szCs w:val="24"/>
        </w:rPr>
        <w:t xml:space="preserve">ons. </w:t>
      </w:r>
      <w:r w:rsidRPr="00610A40">
        <w:rPr>
          <w:color w:val="auto"/>
          <w:szCs w:val="24"/>
        </w:rPr>
        <w:t>Another relatively new polyester, the poly(</w:t>
      </w:r>
      <w:proofErr w:type="spellStart"/>
      <w:r w:rsidRPr="00610A40">
        <w:rPr>
          <w:color w:val="auto"/>
          <w:szCs w:val="24"/>
        </w:rPr>
        <w:t>octamethylene</w:t>
      </w:r>
      <w:proofErr w:type="spellEnd"/>
      <w:r w:rsidRPr="00610A40">
        <w:rPr>
          <w:color w:val="auto"/>
          <w:szCs w:val="24"/>
        </w:rPr>
        <w:t xml:space="preserve"> maleate (anhydride) 1,2,4-butanetricarboxylate) (124 polymer), was also used as a highly elastic scaffold for cardiac tissue engineering</w:t>
      </w:r>
      <w:r w:rsidRPr="00610A40">
        <w:rPr>
          <w:color w:val="auto"/>
          <w:szCs w:val="24"/>
        </w:rPr>
        <w:fldChar w:fldCharType="begin" w:fldLock="1"/>
      </w:r>
      <w:r w:rsidR="00565E2A" w:rsidRPr="00610A40">
        <w:rPr>
          <w:color w:val="auto"/>
          <w:szCs w:val="24"/>
        </w:rPr>
        <w:instrText>ADDIN CSL_CITATION { "citationItems" : [ { "id" : "ITEM-1", "itemData" : { "DOI" : "10.1021/acsbiomaterials.5b00525", "ISSN" : "23739878", "abstract" : "Polyester biomaterials are used in tissue engineering as scaffolds for implantation of tissues developed in vitro. An ideal biodegradable elastomer for cardiac tissue engineering exhibits a relatively low Young\u2019s modulus, with high elongation and tensile strength. Here we describe a novel polyester biomaterial that exhibits improved elastic properties for cardiac tissue engineering applications. We synthesized poly(octamethylene maleate (anhydride) 1,2,4-butanetricarboxylate) (124 polymer) prepolymer gel in a one-step polycondensation reaction. The prepolymer was then molded as desired and exposed to ultraviolet (UV) light to produce a cross-linked elastomer. 124 polymer exhibited highly elastic properties under aqueous conditions that were tunable according to the UV light exposure, monomer composition, and porosity of the cured elastomer. Its elastomeric properties fell within the range of adult heart myocardium, but they could also be optimized for higher elasticity for weaker immature constructs. The polymer showed relatively stable degradation characteristics, both hydrolytically and in a cellular environment, suggesting maintenance of material properties as a scaffold support for potential tissue implants. When assessed for cell interaction, this polymer supported rat cardiac cell attachment in vitro as well as comparable acute in vivo host response when compared to poly(l-lactic acid) control. This suggests the potential applicability of this material as an elastomer for cardiac tissue engineered constructs. Polyester biomaterials are used in tissue engineering as scaffolds for implantation of tissues developed in vitro. An ideal biodegradable elastomer for cardiac tissue engineering exhibits a relatively low Young\u2019s modulus, with high elongation and tensile strength. Here we describe a novel polyester biomaterial that exhibits improved elastic properties for cardiac tissue engineering applications. We synthesized poly(octamethylene maleate (anhydride) 1,2,4-butanetricarboxylate) (124 polymer) prepolymer gel in a one-step polycondensation reaction. The prepolymer was then molded as desired and exposed to ultraviolet (UV) light to produce a cross-linked elastomer. 124 polymer exhibited highly elastic properties under aqueous conditions that were tunable according to the UV light exposure, monomer composition, and porosity of the cured elastomer. Its elastomeric properties fell within the range of adult heart myocardium, but they could also be opti\u2026", "author" : [ { "dropping-particle" : "", "family" : "Davenport Huyer", "given" : "Locke", "non-dropping-particle" : "", "parse-names" : false, "suffix" : "" }, { "dropping-particle" : "", "family" : "Zhang", "given" : "Boyang", "non-dropping-particle" : "", "parse-names" : false, "suffix" : "" }, { "dropping-particle" : "", "family" : "Korolj", "given" : "Anastasia", "non-dropping-particle" : "", "parse-names" : false, "suffix" : "" }, { "dropping-particle" : "", "family" : "Montgomery", "given" : "Miles", "non-dropping-particle" : "", "parse-names" : false, "suffix" : "" }, { "dropping-particle" : "", "family" : "Drecun", "given" : "Stasja", "non-dropping-particle" : "", "parse-names" : false, "suffix" : "" }, { "dropping-particle" : "", "family" : "Conant", "given" : "Genevieve", "non-dropping-particle" : "", "parse-names" : false, "suffix" : "" }, { "dropping-particle" : "", "family" : "Zhao", "given" : "Yimu", "non-dropping-particle" : "", "parse-names" : false, "suffix" : "" }, { "dropping-particle" : "", "family" : "Reis", "given" : "Lewis", "non-dropping-particle" : "", "parse-names" : false, "suffix" : "" }, { "dropping-particle" : "", "family" : "Radisic", "given" : "Milica", "non-dropping-particle" : "", "parse-names" : false, "suffix" : "" } ], "container-title" : "ACS Biomaterials Science and Engineering", "id" : "ITEM-1", "issue" : "5", "issued" : { "date-parts" : [ [ "2016" ] ] }, "page" : "780-788", "title" : "Highly Elastic and Moldable Polyester Biomaterial for Cardiac Tissue Engineering Applications", "type" : "article-journal", "volume" : "2" }, "uris" : [ "http://www.mendeley.com/documents/?uuid=88bbc594-f8cf-4bbd-8cd0-163ad5f8fe30", "http://www.mendeley.com/documents/?uuid=4d431bbb-5e5e-47ad-9f1b-6afb7d086204" ] } ], "mendeley" : { "formattedCitation" : "&lt;sup&gt;151&lt;/sup&gt;", "plainTextFormattedCitation" : "151", "previouslyFormattedCitation" : "&lt;sup&gt;150&lt;/sup&gt;"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151</w:t>
      </w:r>
      <w:r w:rsidRPr="00610A40">
        <w:rPr>
          <w:color w:val="auto"/>
          <w:szCs w:val="24"/>
        </w:rPr>
        <w:fldChar w:fldCharType="end"/>
      </w:r>
      <w:r w:rsidRPr="00610A40">
        <w:rPr>
          <w:color w:val="auto"/>
          <w:szCs w:val="24"/>
        </w:rPr>
        <w:t xml:space="preserve">. Its </w:t>
      </w:r>
      <w:proofErr w:type="spellStart"/>
      <w:r w:rsidRPr="00610A40">
        <w:rPr>
          <w:color w:val="auto"/>
          <w:szCs w:val="24"/>
        </w:rPr>
        <w:t>prepolymer</w:t>
      </w:r>
      <w:proofErr w:type="spellEnd"/>
      <w:r w:rsidRPr="00610A40">
        <w:rPr>
          <w:color w:val="auto"/>
          <w:szCs w:val="24"/>
        </w:rPr>
        <w:t xml:space="preserve"> gel was prepared in a one-step </w:t>
      </w:r>
      <w:proofErr w:type="spellStart"/>
      <w:r w:rsidRPr="00610A40">
        <w:rPr>
          <w:color w:val="auto"/>
          <w:szCs w:val="24"/>
        </w:rPr>
        <w:t>polycondensation</w:t>
      </w:r>
      <w:proofErr w:type="spellEnd"/>
      <w:r w:rsidRPr="00610A40">
        <w:rPr>
          <w:color w:val="auto"/>
          <w:szCs w:val="24"/>
        </w:rPr>
        <w:t xml:space="preserve"> reaction, followed by ultraviolet (UV) curing to produce a cross-linked elastomer</w:t>
      </w:r>
      <w:r w:rsidR="00E62684" w:rsidRPr="00610A40">
        <w:rPr>
          <w:color w:val="auto"/>
          <w:szCs w:val="24"/>
        </w:rPr>
        <w:t xml:space="preserve"> (</w:t>
      </w:r>
      <w:r w:rsidR="00944C77" w:rsidRPr="00610A40">
        <w:rPr>
          <w:color w:val="auto"/>
          <w:szCs w:val="24"/>
        </w:rPr>
        <w:fldChar w:fldCharType="begin"/>
      </w:r>
      <w:r w:rsidR="00944C77" w:rsidRPr="00610A40">
        <w:rPr>
          <w:color w:val="auto"/>
          <w:szCs w:val="24"/>
        </w:rPr>
        <w:instrText xml:space="preserve"> REF _Ref489036418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9</w:t>
      </w:r>
      <w:r w:rsidR="00944C77" w:rsidRPr="00610A40">
        <w:rPr>
          <w:color w:val="auto"/>
          <w:szCs w:val="24"/>
        </w:rPr>
        <w:fldChar w:fldCharType="end"/>
      </w:r>
      <w:r w:rsidR="00E62684" w:rsidRPr="00610A40">
        <w:rPr>
          <w:color w:val="auto"/>
          <w:szCs w:val="24"/>
        </w:rPr>
        <w:t>)</w:t>
      </w:r>
      <w:r w:rsidRPr="00610A40">
        <w:rPr>
          <w:color w:val="auto"/>
          <w:szCs w:val="24"/>
        </w:rPr>
        <w:t xml:space="preserve">. The 124 polymer showed no significantly different cytotoxicity when cultured in cardiac fibroblast, as compared to polystyrene controls. Rat </w:t>
      </w:r>
      <w:proofErr w:type="spellStart"/>
      <w:r w:rsidRPr="00610A40">
        <w:rPr>
          <w:color w:val="auto"/>
          <w:szCs w:val="24"/>
        </w:rPr>
        <w:t>cardiomyocytes</w:t>
      </w:r>
      <w:proofErr w:type="spellEnd"/>
      <w:r w:rsidRPr="00610A40">
        <w:rPr>
          <w:color w:val="auto"/>
          <w:szCs w:val="24"/>
        </w:rPr>
        <w:t xml:space="preserve"> were seeded onto an accordion-like structured 124 polymer scaffold. After culturing for 7 days, the tissue was able to beat synchronously under </w:t>
      </w:r>
      <w:r w:rsidRPr="00610A40">
        <w:rPr>
          <w:color w:val="auto"/>
          <w:szCs w:val="24"/>
        </w:rPr>
        <w:lastRenderedPageBreak/>
        <w:t xml:space="preserve">electrical stimulation, with the elastic scaffold supporting the cardiac contraction. The 124 polymer also </w:t>
      </w:r>
      <w:r w:rsidR="008F3BD9" w:rsidRPr="00610A40">
        <w:rPr>
          <w:color w:val="auto"/>
          <w:szCs w:val="24"/>
        </w:rPr>
        <w:t xml:space="preserve">showed </w:t>
      </w:r>
      <w:r w:rsidRPr="00610A40">
        <w:rPr>
          <w:color w:val="auto"/>
          <w:szCs w:val="24"/>
        </w:rPr>
        <w:t xml:space="preserve">good biocompatibility as exemplified by its non-inferior in vivo implantation results compared to PLLA controls. When implanted in a disc form in subcutaneous tissues of rats over 7 days and 60 days, the 124 polymer disc demonstrated no significant difference from the PLLA disc in the aspects of collagen deposition, T-cell and macrophage recruitment on the surface of the implant. As the polymer is relatively non-viscous, it could be easily injected and molded into microstructures such as the accordion-like structure without the need of solvents. This solvent-free technique would allow for easier mass production and commercialization effort for larger scale production. </w:t>
      </w:r>
    </w:p>
    <w:p w14:paraId="5F53F28C" w14:textId="77777777" w:rsidR="008C0ADC" w:rsidRPr="00610A40" w:rsidRDefault="008C0ADC" w:rsidP="008B7846">
      <w:pPr>
        <w:rPr>
          <w:color w:val="auto"/>
          <w:szCs w:val="24"/>
        </w:rPr>
      </w:pPr>
    </w:p>
    <w:p w14:paraId="01C30795" w14:textId="77777777" w:rsidR="00E62684" w:rsidRPr="00610A40" w:rsidRDefault="008C0ADC" w:rsidP="00086775">
      <w:pPr>
        <w:keepNext/>
        <w:rPr>
          <w:color w:val="auto"/>
          <w:szCs w:val="24"/>
        </w:rPr>
      </w:pPr>
      <w:r w:rsidRPr="00610A40">
        <w:rPr>
          <w:noProof/>
          <w:color w:val="auto"/>
          <w:szCs w:val="24"/>
        </w:rPr>
        <w:drawing>
          <wp:inline distT="0" distB="0" distL="0" distR="0" wp14:anchorId="042E2F41" wp14:editId="7AD783A3">
            <wp:extent cx="3671538" cy="2225040"/>
            <wp:effectExtent l="0" t="0" r="571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72352" cy="2225533"/>
                    </a:xfrm>
                    <a:prstGeom prst="rect">
                      <a:avLst/>
                    </a:prstGeom>
                    <a:noFill/>
                    <a:ln>
                      <a:noFill/>
                    </a:ln>
                  </pic:spPr>
                </pic:pic>
              </a:graphicData>
            </a:graphic>
          </wp:inline>
        </w:drawing>
      </w:r>
    </w:p>
    <w:p w14:paraId="328CC55E" w14:textId="7B89931E" w:rsidR="008C0ADC" w:rsidRPr="00610A40" w:rsidRDefault="00E62684" w:rsidP="00086775">
      <w:pPr>
        <w:pStyle w:val="Caption"/>
        <w:rPr>
          <w:sz w:val="24"/>
          <w:szCs w:val="24"/>
        </w:rPr>
      </w:pPr>
      <w:bookmarkStart w:id="11" w:name="_Ref489036418"/>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9</w:t>
      </w:r>
      <w:r w:rsidR="00004924" w:rsidRPr="00610A40">
        <w:rPr>
          <w:noProof/>
          <w:sz w:val="24"/>
          <w:szCs w:val="24"/>
        </w:rPr>
        <w:fldChar w:fldCharType="end"/>
      </w:r>
      <w:bookmarkEnd w:id="11"/>
      <w:r w:rsidRPr="00610A40">
        <w:rPr>
          <w:sz w:val="24"/>
          <w:szCs w:val="24"/>
        </w:rPr>
        <w:t xml:space="preserve"> Synthesis of the </w:t>
      </w:r>
      <w:r w:rsidR="00D5605F" w:rsidRPr="00610A40">
        <w:rPr>
          <w:sz w:val="24"/>
          <w:szCs w:val="24"/>
        </w:rPr>
        <w:t>poly (</w:t>
      </w:r>
      <w:proofErr w:type="spellStart"/>
      <w:r w:rsidRPr="00610A40">
        <w:rPr>
          <w:sz w:val="24"/>
          <w:szCs w:val="24"/>
        </w:rPr>
        <w:t>octamethylene</w:t>
      </w:r>
      <w:proofErr w:type="spellEnd"/>
      <w:r w:rsidRPr="00610A40">
        <w:rPr>
          <w:sz w:val="24"/>
          <w:szCs w:val="24"/>
        </w:rPr>
        <w:t xml:space="preserve"> maleate (anhydride) 1</w:t>
      </w:r>
      <w:proofErr w:type="gramStart"/>
      <w:r w:rsidRPr="00610A40">
        <w:rPr>
          <w:sz w:val="24"/>
          <w:szCs w:val="24"/>
        </w:rPr>
        <w:t>,2,4</w:t>
      </w:r>
      <w:proofErr w:type="gramEnd"/>
      <w:r w:rsidRPr="00610A40">
        <w:rPr>
          <w:sz w:val="24"/>
          <w:szCs w:val="24"/>
        </w:rPr>
        <w:t xml:space="preserve">-butanetricarboxylate) (124 polymer) from 1,8-octanediol, 1,2,4 – </w:t>
      </w:r>
      <w:proofErr w:type="spellStart"/>
      <w:r w:rsidRPr="00610A40">
        <w:rPr>
          <w:sz w:val="24"/>
          <w:szCs w:val="24"/>
        </w:rPr>
        <w:t>butanetricarboxylic</w:t>
      </w:r>
      <w:proofErr w:type="spellEnd"/>
      <w:r w:rsidRPr="00610A40">
        <w:rPr>
          <w:sz w:val="24"/>
          <w:szCs w:val="24"/>
        </w:rPr>
        <w:t xml:space="preserve"> acid and maleic anhydride. </w:t>
      </w:r>
      <w:r w:rsidR="009A5BC6" w:rsidRPr="00610A40">
        <w:rPr>
          <w:sz w:val="24"/>
          <w:szCs w:val="24"/>
        </w:rPr>
        <w:t xml:space="preserve">Reproduced from ref. </w:t>
      </w:r>
      <w:r w:rsidR="002E6354">
        <w:rPr>
          <w:sz w:val="24"/>
          <w:szCs w:val="24"/>
        </w:rPr>
        <w:t>151</w:t>
      </w:r>
      <w:r w:rsidR="009A5BC6" w:rsidRPr="00610A40">
        <w:rPr>
          <w:sz w:val="24"/>
          <w:szCs w:val="24"/>
        </w:rPr>
        <w:t xml:space="preserve"> with permission from </w:t>
      </w:r>
      <w:r w:rsidR="009A5BC6" w:rsidRPr="009A5BC6">
        <w:rPr>
          <w:sz w:val="24"/>
          <w:szCs w:val="24"/>
        </w:rPr>
        <w:t xml:space="preserve">American </w:t>
      </w:r>
      <w:r w:rsidR="002E6354">
        <w:rPr>
          <w:sz w:val="24"/>
          <w:szCs w:val="24"/>
        </w:rPr>
        <w:t>Chemical Society</w:t>
      </w:r>
      <w:r w:rsidR="009A5BC6" w:rsidRPr="00610A40">
        <w:rPr>
          <w:sz w:val="24"/>
          <w:szCs w:val="24"/>
        </w:rPr>
        <w:t xml:space="preserve">, copyright </w:t>
      </w:r>
      <w:r w:rsidR="009A5BC6">
        <w:rPr>
          <w:sz w:val="24"/>
          <w:szCs w:val="24"/>
        </w:rPr>
        <w:t>20</w:t>
      </w:r>
      <w:r w:rsidR="002E6354">
        <w:rPr>
          <w:sz w:val="24"/>
          <w:szCs w:val="24"/>
        </w:rPr>
        <w:t>16</w:t>
      </w:r>
    </w:p>
    <w:p w14:paraId="5D7C7F30" w14:textId="77777777" w:rsidR="008C0ADC" w:rsidRPr="00610A40" w:rsidRDefault="008C0ADC" w:rsidP="008B7846">
      <w:pPr>
        <w:rPr>
          <w:color w:val="auto"/>
          <w:szCs w:val="24"/>
        </w:rPr>
      </w:pPr>
    </w:p>
    <w:p w14:paraId="0C283EB0" w14:textId="77777777" w:rsidR="008C0ADC" w:rsidRPr="00610A40" w:rsidRDefault="008C0ADC" w:rsidP="008B7846">
      <w:pPr>
        <w:rPr>
          <w:color w:val="auto"/>
          <w:szCs w:val="24"/>
        </w:rPr>
      </w:pPr>
    </w:p>
    <w:p w14:paraId="7EF9AF24" w14:textId="3FC25A0F" w:rsidR="008C0ADC" w:rsidRPr="00610A40" w:rsidRDefault="00007C8A" w:rsidP="00283F86">
      <w:pPr>
        <w:pStyle w:val="Heading2"/>
        <w:rPr>
          <w:sz w:val="24"/>
          <w:szCs w:val="24"/>
        </w:rPr>
      </w:pPr>
      <w:r w:rsidRPr="00610A40">
        <w:rPr>
          <w:sz w:val="24"/>
          <w:szCs w:val="24"/>
        </w:rPr>
        <w:lastRenderedPageBreak/>
        <w:t>5</w:t>
      </w:r>
      <w:r w:rsidR="001F12C7" w:rsidRPr="00610A40">
        <w:rPr>
          <w:sz w:val="24"/>
          <w:szCs w:val="24"/>
        </w:rPr>
        <w:t>.</w:t>
      </w:r>
      <w:r w:rsidR="00C427B7" w:rsidRPr="00610A40">
        <w:rPr>
          <w:sz w:val="24"/>
          <w:szCs w:val="24"/>
        </w:rPr>
        <w:t>3</w:t>
      </w:r>
      <w:r w:rsidR="001F12C7" w:rsidRPr="00610A40">
        <w:rPr>
          <w:sz w:val="24"/>
          <w:szCs w:val="24"/>
        </w:rPr>
        <w:t xml:space="preserve"> </w:t>
      </w:r>
      <w:r w:rsidR="008C0ADC" w:rsidRPr="00610A40">
        <w:rPr>
          <w:sz w:val="24"/>
          <w:szCs w:val="24"/>
        </w:rPr>
        <w:t>In vivo cardiac patches</w:t>
      </w:r>
    </w:p>
    <w:p w14:paraId="354418D0" w14:textId="77777777" w:rsidR="008F3BD9" w:rsidRPr="00610A40" w:rsidRDefault="008F3BD9" w:rsidP="00086775">
      <w:pPr>
        <w:keepNext/>
        <w:rPr>
          <w:color w:val="auto"/>
          <w:szCs w:val="24"/>
        </w:rPr>
      </w:pPr>
      <w:r w:rsidRPr="00610A40">
        <w:rPr>
          <w:noProof/>
          <w:color w:val="auto"/>
          <w:szCs w:val="24"/>
          <w:u w:val="single"/>
        </w:rPr>
        <w:drawing>
          <wp:inline distT="0" distB="0" distL="0" distR="0" wp14:anchorId="51647A58" wp14:editId="7FDE4B28">
            <wp:extent cx="3985260" cy="2636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5260" cy="2636520"/>
                    </a:xfrm>
                    <a:prstGeom prst="rect">
                      <a:avLst/>
                    </a:prstGeom>
                    <a:noFill/>
                    <a:ln>
                      <a:noFill/>
                    </a:ln>
                  </pic:spPr>
                </pic:pic>
              </a:graphicData>
            </a:graphic>
          </wp:inline>
        </w:drawing>
      </w:r>
    </w:p>
    <w:p w14:paraId="61E3C4A8" w14:textId="13882B67" w:rsidR="008F3BD9" w:rsidRPr="00610A40" w:rsidRDefault="008F3BD9" w:rsidP="00086775">
      <w:pPr>
        <w:pStyle w:val="Caption"/>
        <w:rPr>
          <w:sz w:val="24"/>
          <w:szCs w:val="24"/>
          <w:u w:val="single"/>
        </w:rPr>
      </w:pPr>
      <w:bookmarkStart w:id="12" w:name="_Ref489036436"/>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10</w:t>
      </w:r>
      <w:r w:rsidR="00004924" w:rsidRPr="00610A40">
        <w:rPr>
          <w:noProof/>
          <w:sz w:val="24"/>
          <w:szCs w:val="24"/>
        </w:rPr>
        <w:fldChar w:fldCharType="end"/>
      </w:r>
      <w:bookmarkEnd w:id="12"/>
      <w:r w:rsidRPr="00610A40">
        <w:rPr>
          <w:sz w:val="24"/>
          <w:szCs w:val="24"/>
        </w:rPr>
        <w:t xml:space="preserve"> Figure illustrating the heart/cardiac patch in vivo.</w:t>
      </w:r>
      <w:r w:rsidR="0017704D" w:rsidRPr="00610A40">
        <w:rPr>
          <w:sz w:val="24"/>
          <w:szCs w:val="24"/>
        </w:rPr>
        <w:t xml:space="preserve"> </w:t>
      </w:r>
      <w:r w:rsidR="00944C77" w:rsidRPr="00610A40">
        <w:rPr>
          <w:sz w:val="24"/>
          <w:szCs w:val="24"/>
        </w:rPr>
        <w:t>Such a patch on the left ventricle will provide mechanical restraint to slow down the enlargement of the left ventricle over time.</w:t>
      </w:r>
      <w:r w:rsidR="009A5BC6">
        <w:rPr>
          <w:sz w:val="24"/>
          <w:szCs w:val="24"/>
        </w:rPr>
        <w:t xml:space="preserve"> </w:t>
      </w:r>
      <w:r w:rsidR="009A5BC6" w:rsidRPr="00610A40">
        <w:rPr>
          <w:sz w:val="24"/>
          <w:szCs w:val="24"/>
        </w:rPr>
        <w:t xml:space="preserve">Reproduced from ref. </w:t>
      </w:r>
      <w:r w:rsidR="002E6354">
        <w:rPr>
          <w:sz w:val="24"/>
          <w:szCs w:val="24"/>
        </w:rPr>
        <w:t>159</w:t>
      </w:r>
      <w:r w:rsidR="009A5BC6" w:rsidRPr="00610A40">
        <w:rPr>
          <w:sz w:val="24"/>
          <w:szCs w:val="24"/>
        </w:rPr>
        <w:t xml:space="preserve"> with permission from </w:t>
      </w:r>
      <w:r w:rsidR="002E6354">
        <w:rPr>
          <w:sz w:val="24"/>
          <w:szCs w:val="24"/>
        </w:rPr>
        <w:t>Wiley</w:t>
      </w:r>
      <w:r w:rsidR="009A5BC6" w:rsidRPr="00610A40">
        <w:rPr>
          <w:sz w:val="24"/>
          <w:szCs w:val="24"/>
        </w:rPr>
        <w:t xml:space="preserve">, copyright </w:t>
      </w:r>
      <w:r w:rsidR="009A5BC6">
        <w:rPr>
          <w:sz w:val="24"/>
          <w:szCs w:val="24"/>
        </w:rPr>
        <w:t>20</w:t>
      </w:r>
      <w:r w:rsidR="002E6354">
        <w:rPr>
          <w:sz w:val="24"/>
          <w:szCs w:val="24"/>
        </w:rPr>
        <w:t>09</w:t>
      </w:r>
    </w:p>
    <w:p w14:paraId="41EB3765" w14:textId="0EBDB8B7" w:rsidR="008C0ADC" w:rsidRPr="00610A40" w:rsidRDefault="008C0ADC" w:rsidP="008B7846">
      <w:pPr>
        <w:rPr>
          <w:color w:val="auto"/>
          <w:szCs w:val="24"/>
        </w:rPr>
      </w:pPr>
      <w:r w:rsidRPr="00610A40">
        <w:rPr>
          <w:color w:val="auto"/>
          <w:szCs w:val="24"/>
        </w:rPr>
        <w:t xml:space="preserve">After an ischemic injury during a myocardial </w:t>
      </w:r>
      <w:r w:rsidR="00D5605F" w:rsidRPr="00610A40">
        <w:rPr>
          <w:color w:val="auto"/>
          <w:szCs w:val="24"/>
        </w:rPr>
        <w:t>infarct</w:t>
      </w:r>
      <w:r w:rsidRPr="00610A40">
        <w:rPr>
          <w:color w:val="auto"/>
          <w:szCs w:val="24"/>
        </w:rPr>
        <w:t xml:space="preserve"> (MI), the injured myocardium is replaced with fibrous tissue. Fibrous tis</w:t>
      </w:r>
      <w:bookmarkStart w:id="13" w:name="_GoBack"/>
      <w:bookmarkEnd w:id="13"/>
      <w:r w:rsidRPr="00610A40">
        <w:rPr>
          <w:color w:val="auto"/>
          <w:szCs w:val="24"/>
        </w:rPr>
        <w:t>sue lacks elasticity and therefore become stretched over time due to the ventricular pressure. This ultimately leads to cardiac failure</w:t>
      </w:r>
      <w:r w:rsidRPr="00610A40">
        <w:rPr>
          <w:color w:val="auto"/>
          <w:szCs w:val="24"/>
        </w:rPr>
        <w:fldChar w:fldCharType="begin" w:fldLock="1"/>
      </w:r>
      <w:r w:rsidR="00565E2A" w:rsidRPr="00610A40">
        <w:rPr>
          <w:color w:val="auto"/>
          <w:szCs w:val="24"/>
        </w:rPr>
        <w:instrText>ADDIN CSL_CITATION { "citationItems" : [ { "id" : "ITEM-1", "itemData" : { "DOI" : "10.1093/eurjhf/hfn017", "ISBN" : "1388-9842 (Print)\\r1388-9842 (Linking)", "ISSN" : "1388-9842", "PMID" : "19168512", "abstract" : "AIMS: Cardiac tissue engineering has been proposed as an appropriate method to repair myocardial infarction (MI). Evidence suggests that a cell with scaffold combination was more effective than a cell-only implant. Nevertheless, to date, there has been no research into elastic biodegradable poly(lactide-co-epsilon-caprolactone) (PLCL) scaffolds. The aim of this study was to investigate the effect of mesenchymal stem cells (MSCs) with elastic biodegradable PLCL scaffold transplants in a rat MI model.\\n\\nMETHODS AND RESULTS: Ten days after inducing MI through the cryoinjury method, a saline control, MSC, PLCL scaffold, or MSC-seeded PLCL scaffold was transplanted onto the hearts. Four weeks after transplantation, cardiac function and histology were evaluated. Transplanted MSCs survived and differentiated into cardiomyocytes in the injured region. Left ventricular ejection fraction in the MSC+PLCL group increased by 23% compared with that in the saline group; it was also higher in the MSC group. The infarct area in the MSC+PLCL group was decreased by 29% compared with that in the saline group; it was also reduced in the MSC group.\\n\\nCONCLUSION: Mesenchymal stem cells plus PLCL should be an excellent combination for cardiac tissue engineering.", "author" : [ { "dropping-particle" : "", "family" : "Jin", "given" : "Jiyong", "non-dropping-particle" : "", "parse-names" : false, "suffix" : "" }, { "dropping-particle" : "", "family" : "Jeong", "given" : "Sung In", "non-dropping-particle" : "", "parse-names" : false, "suffix" : "" }, { "dropping-particle" : "", "family" : "Shin", "given" : "Young Min", "non-dropping-particle" : "", "parse-names" : false, "suffix" : "" }, { "dropping-particle" : "", "family" : "Lim", "given" : "Kwang Suk", "non-dropping-particle" : "", "parse-names" : false, "suffix" : "" }, { "dropping-particle" : "", "family" : "Shin", "given" : "Heung Soo", "non-dropping-particle" : "", "parse-names" : false, "suffix" : "" }, { "dropping-particle" : "", "family" : "Lee", "given" : "Young Moo", "non-dropping-particle" : "", "parse-names" : false, "suffix" : "" }, { "dropping-particle" : "", "family" : "Koh", "given" : "Hyun Chul", "non-dropping-particle" : "", "parse-names" : false, "suffix" : "" }, { "dropping-particle" : "", "family" : "Kim", "given" : "Kyung-Soo", "non-dropping-particle" : "", "parse-names" : false, "suffix" : "" } ], "container-title" : "European journal of heart failure", "id" : "ITEM-1", "issue" : "2", "issued" : { "date-parts" : [ [ "2009" ] ] }, "page" : "147-53", "title" : "Transplantation of mesenchymal stem cells within a poly(lactide-co-epsilon-caprolactone) scaffold improves cardiac function in a rat myocardial infarction model.", "type" : "article-journal", "volume" : "11" }, "uris" : [ "http://www.mendeley.com/documents/?uuid=5943033b-4a57-4924-9e5e-9c20df155012", "http://www.mendeley.com/documents/?uuid=ad36092f-ec62-4167-819a-af607d65f56b" ] } ], "mendeley" : { "formattedCitation" : "&lt;sup&gt;159&lt;/sup&gt;", "plainTextFormattedCitation" : "159", "previouslyFormattedCitation" : "&lt;sup&gt;158&lt;/sup&gt;"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159</w:t>
      </w:r>
      <w:r w:rsidRPr="00610A40">
        <w:rPr>
          <w:color w:val="auto"/>
          <w:szCs w:val="24"/>
        </w:rPr>
        <w:fldChar w:fldCharType="end"/>
      </w:r>
      <w:r w:rsidRPr="00610A40">
        <w:rPr>
          <w:color w:val="auto"/>
          <w:szCs w:val="24"/>
        </w:rPr>
        <w:t xml:space="preserve">. A cardiac patch aims to provide a therapeutic solution to MI via two mechanisms:  </w:t>
      </w:r>
      <w:r w:rsidR="008F3BD9" w:rsidRPr="00610A40">
        <w:rPr>
          <w:color w:val="auto"/>
          <w:szCs w:val="24"/>
        </w:rPr>
        <w:t xml:space="preserve">1) </w:t>
      </w:r>
      <w:r w:rsidRPr="00610A40">
        <w:rPr>
          <w:color w:val="auto"/>
          <w:szCs w:val="24"/>
        </w:rPr>
        <w:t xml:space="preserve">to deliver healthy </w:t>
      </w:r>
      <w:proofErr w:type="spellStart"/>
      <w:r w:rsidRPr="00610A40">
        <w:rPr>
          <w:color w:val="auto"/>
          <w:szCs w:val="24"/>
        </w:rPr>
        <w:t>cardiomyocytes</w:t>
      </w:r>
      <w:proofErr w:type="spellEnd"/>
      <w:r w:rsidRPr="00610A40">
        <w:rPr>
          <w:color w:val="auto"/>
          <w:szCs w:val="24"/>
        </w:rPr>
        <w:t xml:space="preserve"> or stem cells to the area of infarct on the heart</w:t>
      </w:r>
      <w:r w:rsidRPr="00610A40">
        <w:rPr>
          <w:color w:val="auto"/>
          <w:szCs w:val="24"/>
        </w:rPr>
        <w:fldChar w:fldCharType="begin" w:fldLock="1"/>
      </w:r>
      <w:r w:rsidR="00565E2A" w:rsidRPr="00610A40">
        <w:rPr>
          <w:color w:val="auto"/>
          <w:szCs w:val="24"/>
        </w:rPr>
        <w:instrText>ADDIN CSL_CITATION { "citationItems" : [ { "id" : "ITEM-1", "itemData" : { "DOI" : "10.1016/j.mser.2007.08.001", "ISBN" : "0927-796X", "ISSN" : "0927796X", "PMID" : "15003161", "author" : [ { "dropping-particle" : "", "family" : "Chen", "given" : "Q.Z.", "non-dropping-particle" : "", "parse-names" : false, "suffix" : "" }, { "dropping-particle" : "", "family" : "Harding", "given" : "S.E.", "non-dropping-particle" : "", "parse-names" : false, "suffix" : "" }, { "dropping-particle" : "", "family" : "Ali", "given" : "N.N.", "non-dropping-particle" : "", "parse-names" : false, "suffix" : "" }, { "dropping-particle" : "", "family" : "Lyon", "given" : "a.R.", "non-dropping-particle" : "", "parse-names" : false, "suffix" : "" }, { "dropping-particle" : "", "family" : "Boccaccini", "given" : "a.R.", "non-dropping-particle" : "", "parse-names" : false, "suffix" : "" } ], "container-title" : "Materials Science and Engineering R", "id" : "ITEM-1", "issued" : { "date-parts" : [ [ "2008" ] ] }, "page" : "1-37", "title" : "Biomaterials in cardiac tissue engineering : Ten years of research survey", "type" : "article-journal", "volume" : "59" }, "uris" : [ "http://www.mendeley.com/documents/?uuid=2ed36063-c78c-410b-bff9-5205fc721f7e", "http://www.mendeley.com/documents/?uuid=97ce399f-417f-4a87-b9c9-968a695c7b1f" ] } ], "mendeley" : { "formattedCitation" : "&lt;sup&gt;141&lt;/sup&gt;", "plainTextFormattedCitation" : "141", "previouslyFormattedCitation" : "&lt;sup&gt;140&lt;/sup&gt;"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141</w:t>
      </w:r>
      <w:r w:rsidRPr="00610A40">
        <w:rPr>
          <w:color w:val="auto"/>
          <w:szCs w:val="24"/>
        </w:rPr>
        <w:fldChar w:fldCharType="end"/>
      </w:r>
      <w:r w:rsidRPr="00610A40">
        <w:rPr>
          <w:color w:val="auto"/>
          <w:szCs w:val="24"/>
        </w:rPr>
        <w:t xml:space="preserve">, and </w:t>
      </w:r>
      <w:r w:rsidR="008F3BD9" w:rsidRPr="00610A40">
        <w:rPr>
          <w:color w:val="auto"/>
          <w:szCs w:val="24"/>
        </w:rPr>
        <w:t xml:space="preserve">2) </w:t>
      </w:r>
      <w:r w:rsidRPr="00610A40">
        <w:rPr>
          <w:color w:val="auto"/>
          <w:szCs w:val="24"/>
        </w:rPr>
        <w:t>to provide left ventricular restraint</w:t>
      </w:r>
      <w:r w:rsidR="008F3BD9" w:rsidRPr="00610A40">
        <w:rPr>
          <w:color w:val="auto"/>
          <w:szCs w:val="24"/>
        </w:rPr>
        <w:t xml:space="preserve"> (</w:t>
      </w:r>
      <w:r w:rsidR="00944C77" w:rsidRPr="00610A40">
        <w:rPr>
          <w:color w:val="auto"/>
          <w:szCs w:val="24"/>
        </w:rPr>
        <w:fldChar w:fldCharType="begin"/>
      </w:r>
      <w:r w:rsidR="00944C77" w:rsidRPr="00610A40">
        <w:rPr>
          <w:color w:val="auto"/>
          <w:szCs w:val="24"/>
        </w:rPr>
        <w:instrText xml:space="preserve"> REF _Ref489036436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10</w:t>
      </w:r>
      <w:r w:rsidR="00944C77" w:rsidRPr="00610A40">
        <w:rPr>
          <w:color w:val="auto"/>
          <w:szCs w:val="24"/>
        </w:rPr>
        <w:fldChar w:fldCharType="end"/>
      </w:r>
      <w:r w:rsidR="008F3BD9" w:rsidRPr="00610A40">
        <w:rPr>
          <w:color w:val="auto"/>
          <w:szCs w:val="24"/>
        </w:rPr>
        <w:t>)</w:t>
      </w:r>
      <w:r w:rsidRPr="00610A40">
        <w:rPr>
          <w:color w:val="auto"/>
          <w:szCs w:val="24"/>
        </w:rPr>
        <w:fldChar w:fldCharType="begin" w:fldLock="1"/>
      </w:r>
      <w:r w:rsidR="00565E2A" w:rsidRPr="00610A40">
        <w:rPr>
          <w:color w:val="auto"/>
          <w:szCs w:val="24"/>
        </w:rPr>
        <w:instrText>ADDIN CSL_CITATION { "citationItems" : [ { "id" : "ITEM-1", "itemData" : { "DOI" : "10.1016/j.biomaterials.2007.09.010", "ISBN" : "0142-9612", "ISSN" : "01429612", "PMID" : "17915309", "abstract" : "The myocardial tissue lacks significant intrinsic regenerative capability to replace the lost cells. Therefore, the heart is a major target of research within the field of tissue engineering, which aims to replace infarcted myocardium and enhance cardiac function. The primary objective of this work was to develop a biocompatible, degradable and superelastic heart patch from poly(glycerol sebacate) (PGS). PGS was synthesised at 110, 120 and 130 \u00b0C by polycondensation of glycerol and sebacic acid with a mole ratio of 1:1. The investigation was focused on the mechanical and biodegrading behaviours of the developed PGS. PGS materials synthesised at 110, 120 and 130 \u00b0C have Young's moduli of 0.056, 0.22 and 1.2 MPa, respectively, which satisfy the mechanical requirements on the materials applied for the heart patch and 3D myocardial tissue engineering construction. Degradation assessment in phosphate buffered saline and Knockout\u2122 DMEM culture medium has demonstrated that the PGS has a wide range of degradability, from being degradable in a couple of weeks to being nearly inert. The matching of physical characteristics to those of the heart, the ability to fine tune degradation rates in biologically relevant media and initial data showing biocompatibility indicate that this material has promise for cardiac tissue engineering applications. \u00a9 2007 Elsevier Ltd. All rights reserved.", "author" : [ { "dropping-particle" : "", "family" : "Chen", "given" : "Qi Zhi", "non-dropping-particle" : "", "parse-names" : false, "suffix" : "" }, { "dropping-particle" : "", "family" : "Bismarck", "given" : "Alexander", "non-dropping-particle" : "", "parse-names" : false, "suffix" : "" }, { "dropping-particle" : "", "family" : "Hansen", "given" : "Ulrich", "non-dropping-particle" : "", "parse-names" : false, "suffix" : "" }, { "dropping-particle" : "", "family" : "Junaid", "given" : "Sarah", "non-dropping-particle" : "", "parse-names" : false, "suffix" : "" }, { "dropping-particle" : "", "family" : "Tran", "given" : "Michael Q.", "non-dropping-particle" : "", "parse-names" : false, "suffix" : "" }, { "dropping-particle" : "", "family" : "Harding", "given" : "Si\u00e2n E.", "non-dropping-particle" : "", "parse-names" : false, "suffix" : "" }, { "dropping-particle" : "", "family" : "Ali", "given" : "Nadire N.", "non-dropping-particle" : "", "parse-names" : false, "suffix" : "" }, { "dropping-particle" : "", "family" : "Boccaccini", "given" : "Aldo R.", "non-dropping-particle" : "", "parse-names" : false, "suffix" : "" } ], "container-title" : "Biomaterials", "id" : "ITEM-1", "issue" : "1", "issued" : { "date-parts" : [ [ "2008" ] ] }, "page" : "47-57", "title" : "Characterisation of a soft elastomer poly(glycerol sebacate) designed to match the mechanical properties of myocardial tissue", "type" : "article-journal", "volume" : "29" }, "uris" : [ "http://www.mendeley.com/documents/?uuid=6841d177-f26e-4e80-93df-49ec67a3886e", "http://www.mendeley.com/documents/?uuid=6dd12a99-aaeb-45cd-866f-077b99f5ee24" ] } ], "mendeley" : { "formattedCitation" : "&lt;sup&gt;149&lt;/sup&gt;", "plainTextFormattedCitation" : "149", "previouslyFormattedCitation" : "&lt;sup&gt;148&lt;/sup&gt;"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149</w:t>
      </w:r>
      <w:r w:rsidRPr="00610A40">
        <w:rPr>
          <w:color w:val="auto"/>
          <w:szCs w:val="24"/>
        </w:rPr>
        <w:fldChar w:fldCharType="end"/>
      </w:r>
      <w:r w:rsidRPr="00610A40">
        <w:rPr>
          <w:color w:val="auto"/>
          <w:szCs w:val="24"/>
        </w:rPr>
        <w:t xml:space="preserve">.  The delivery of </w:t>
      </w:r>
      <w:proofErr w:type="spellStart"/>
      <w:r w:rsidRPr="00610A40">
        <w:rPr>
          <w:color w:val="auto"/>
          <w:szCs w:val="24"/>
        </w:rPr>
        <w:t>cardiomyocytes</w:t>
      </w:r>
      <w:proofErr w:type="spellEnd"/>
      <w:r w:rsidRPr="00610A40">
        <w:rPr>
          <w:color w:val="auto"/>
          <w:szCs w:val="24"/>
        </w:rPr>
        <w:t xml:space="preserve"> seeks to replace and repair damaged heart muscles while the ventricular restraint is a more conservative approach to slow down the progression of heart failure</w:t>
      </w:r>
      <w:r w:rsidRPr="00610A40">
        <w:rPr>
          <w:color w:val="auto"/>
          <w:szCs w:val="24"/>
        </w:rPr>
        <w:fldChar w:fldCharType="begin" w:fldLock="1"/>
      </w:r>
      <w:r w:rsidR="00565E2A" w:rsidRPr="00610A40">
        <w:rPr>
          <w:color w:val="auto"/>
          <w:szCs w:val="24"/>
        </w:rPr>
        <w:instrText>ADDIN CSL_CITATION { "citationItems" : [ { "id" : "ITEM-1", "itemData" : { "DOI" : "10.1016/j.biomaterials.2010.01.108", "ISBN" : "1878-5905 (Electronic)\\r0142-9612 (Linking)", "ISSN" : "01429612", "PMID" : "20153041", "abstract" : "We hypothesize that a combinatorial approach of ventricle constraint and stem cell therapy would offer a greater benefit for the treatment of heart failure than either strategy alone. A heart patch would serve two therapeutic purposes: biomechanical support and cell delivery. In this study, we describe a hybrid heart patch engineered from a synthetic elastomer, poly(glycerol sebacate) (PGS), supplemented with cardiomyocytes differentiated from human embryonic stem cells (hESCs). In line with two therapeutically relevant considerations, i.e. biocompatibility and cell delivery efficiency, the PGS was (a) pre-conditioned in culture medium for 6 days, and (b) prepared without gelatin coatings to facilitate detachment and delivery of cardiomyocytes following patch implantation. Following pre-conditioning under physiological conditions, the PGS patch material without gelatin coating was found to satisfactorily support cardiomyocyte viability and attachment, with active cell beating for periods of longer than 3 months until interrupted. Dynamic culture studies revealed that cells detached more efficiently from the uncoated surface of PGS than from gelatin-coated PGS. No significant differences were detected between the beating rates of human embryonic stem cell-derived cardiomyocytes on tissue culture plate and the pre-conditioned and gelatin-uncoated PGS. PGS patches sutured over the left ventricle of rats in vivo remained intact over a 2 week period without any deleterious effects on ventricular function. We conclude that PGS is a suitable biomaterial for stem cell-based regeneration strategies to restore cardiomyocyte function, and the hybrid heart patch engineered under optimal conditions would be a promising support device for the cardiac repair. ?? 2010 Elsevier Ltd.", "author" : [ { "dropping-particle" : "", "family" : "Chen", "given" : "Qi Zhi", "non-dropping-particle" : "", "parse-names" : false, "suffix" : "" }, { "dropping-particle" : "", "family" : "Ishii", "given" : "Hikaru", "non-dropping-particle" : "", "parse-names" : false, "suffix" : "" }, { "dropping-particle" : "", "family" : "Thouas", "given" : "George A.", "non-dropping-particle" : "", "parse-names" : false, "suffix" : "" }, { "dropping-particle" : "", "family" : "Lyon", "given" : "Alexander R.", "non-dropping-particle" : "", "parse-names" : false, "suffix" : "" }, { "dropping-particle" : "", "family" : "Wright", "given" : "Jamie S.", "non-dropping-particle" : "", "parse-names" : false, "suffix" : "" }, { "dropping-particle" : "", "family" : "Blaker", "given" : "Jonny J.", "non-dropping-particle" : "", "parse-names" : false, "suffix" : "" }, { "dropping-particle" : "", "family" : "Chrzanowski", "given" : "Wojciech", "non-dropping-particle" : "", "parse-names" : false, "suffix" : "" }, { "dropping-particle" : "", "family" : "Boccaccini", "given" : "Aldo R.", "non-dropping-particle" : "", "parse-names" : false, "suffix" : "" }, { "dropping-particle" : "", "family" : "Ali", "given" : "Nadire N.", "non-dropping-particle" : "", "parse-names" : false, "suffix" : "" }, { "dropping-particle" : "", "family" : "Knowles", "given" : "Jonathan C.", "non-dropping-particle" : "", "parse-names" : false, "suffix" : "" }, { "dropping-particle" : "", "family" : "Harding", "given" : "Si??n E.", "non-dropping-particle" : "", "parse-names" : false, "suffix" : "" } ], "container-title" : "Biomaterials", "id" : "ITEM-1", "issue" : "14", "issued" : { "date-parts" : [ [ "2010" ] ] }, "page" : "3885-3893", "publisher" : "Elsevier Ltd", "title" : "An elastomeric patch derived from poly(glycerol sebacate) for delivery of embryonic stem cells to the heart", "type" : "article-journal", "volume" : "31" }, "uris" : [ "http://www.mendeley.com/documents/?uuid=d8c3080f-85ed-4697-a740-54ab12bc356b", "http://www.mendeley.com/documents/?uuid=63704da1-5bbb-4bd1-bb40-9e172b1f0d55" ] } ], "mendeley" : { "formattedCitation" : "&lt;sup&gt;142&lt;/sup&gt;", "plainTextFormattedCitation" : "142", "previouslyFormattedCitation" : "&lt;sup&gt;141&lt;/sup&gt;"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142</w:t>
      </w:r>
      <w:r w:rsidRPr="00610A40">
        <w:rPr>
          <w:color w:val="auto"/>
          <w:szCs w:val="24"/>
        </w:rPr>
        <w:fldChar w:fldCharType="end"/>
      </w:r>
      <w:r w:rsidRPr="00610A40">
        <w:rPr>
          <w:color w:val="auto"/>
          <w:szCs w:val="24"/>
        </w:rPr>
        <w:t xml:space="preserve">. The current commercially available cardiac patches do not serve to promote cardiac cell regeneration. They merely act as physical constraints to reduce the symptoms of cardiac failure. A great amount of research efforts had been concentrating on developing an elastomeric cardiac patch or scaffold that could not only provide restraint, but also deliver viable </w:t>
      </w:r>
      <w:proofErr w:type="spellStart"/>
      <w:r w:rsidRPr="00610A40">
        <w:rPr>
          <w:color w:val="auto"/>
          <w:szCs w:val="24"/>
        </w:rPr>
        <w:t>cardiomyocytes</w:t>
      </w:r>
      <w:proofErr w:type="spellEnd"/>
      <w:r w:rsidRPr="00610A40">
        <w:rPr>
          <w:color w:val="auto"/>
          <w:szCs w:val="24"/>
        </w:rPr>
        <w:t xml:space="preserve"> to help regenerate lost heart muscle cells. </w:t>
      </w:r>
    </w:p>
    <w:p w14:paraId="77B8E578" w14:textId="77777777" w:rsidR="008C0ADC" w:rsidRPr="00610A40" w:rsidRDefault="008C0ADC" w:rsidP="008B7846">
      <w:pPr>
        <w:rPr>
          <w:color w:val="auto"/>
          <w:szCs w:val="24"/>
        </w:rPr>
      </w:pPr>
    </w:p>
    <w:p w14:paraId="01D0DED4" w14:textId="58A249E2" w:rsidR="00283F86" w:rsidRPr="00610A40" w:rsidRDefault="008C0ADC" w:rsidP="008B7846">
      <w:pPr>
        <w:rPr>
          <w:color w:val="auto"/>
          <w:szCs w:val="24"/>
        </w:rPr>
      </w:pPr>
      <w:r w:rsidRPr="00610A40">
        <w:rPr>
          <w:color w:val="auto"/>
          <w:szCs w:val="24"/>
        </w:rPr>
        <w:lastRenderedPageBreak/>
        <w:t xml:space="preserve">Elastomeric biodegradable polyesters are suitable materials for cardiac patches as they are able to undergo cyclic mechanical strain along with a beating heart, provide additional mechanical restrain to the </w:t>
      </w:r>
      <w:proofErr w:type="spellStart"/>
      <w:r w:rsidRPr="00610A40">
        <w:rPr>
          <w:color w:val="auto"/>
          <w:szCs w:val="24"/>
        </w:rPr>
        <w:t>fibrosed</w:t>
      </w:r>
      <w:proofErr w:type="spellEnd"/>
      <w:r w:rsidRPr="00610A40">
        <w:rPr>
          <w:color w:val="auto"/>
          <w:szCs w:val="24"/>
        </w:rPr>
        <w:t xml:space="preserve"> region, as well as offer delivery of cardiac cells/tissue to help repair damaged regions of a heart. PGS </w:t>
      </w:r>
      <w:r w:rsidR="00C65C52" w:rsidRPr="00610A40">
        <w:rPr>
          <w:color w:val="auto"/>
          <w:szCs w:val="24"/>
        </w:rPr>
        <w:t xml:space="preserve">is </w:t>
      </w:r>
      <w:r w:rsidRPr="00610A40">
        <w:rPr>
          <w:color w:val="auto"/>
          <w:szCs w:val="24"/>
        </w:rPr>
        <w:t>one of the top material candidates for this application as it not only has the mechanical compatibility in terms of stiffness and high tensile strain with that of the cardiac tissue</w:t>
      </w:r>
      <w:r w:rsidRPr="00610A40">
        <w:rPr>
          <w:color w:val="auto"/>
          <w:szCs w:val="24"/>
        </w:rPr>
        <w:fldChar w:fldCharType="begin" w:fldLock="1"/>
      </w:r>
      <w:r w:rsidR="00565E2A" w:rsidRPr="00610A40">
        <w:rPr>
          <w:color w:val="auto"/>
          <w:szCs w:val="24"/>
        </w:rPr>
        <w:instrText>ADDIN CSL_CITATION { "citationItems" : [ { "id" : "ITEM-1", "itemData" : { "DOI" : "10.1016/j.biomaterials.2007.09.010", "ISBN" : "0142-9612", "ISSN" : "01429612", "PMID" : "17915309", "abstract" : "The myocardial tissue lacks significant intrinsic regenerative capability to replace the lost cells. Therefore, the heart is a major target of research within the field of tissue engineering, which aims to replace infarcted myocardium and enhance cardiac function. The primary objective of this work was to develop a biocompatible, degradable and superelastic heart patch from poly(glycerol sebacate) (PGS). PGS was synthesised at 110, 120 and 130 \u00b0C by polycondensation of glycerol and sebacic acid with a mole ratio of 1:1. The investigation was focused on the mechanical and biodegrading behaviours of the developed PGS. PGS materials synthesised at 110, 120 and 130 \u00b0C have Young's moduli of 0.056, 0.22 and 1.2 MPa, respectively, which satisfy the mechanical requirements on the materials applied for the heart patch and 3D myocardial tissue engineering construction. Degradation assessment in phosphate buffered saline and Knockout\u2122 DMEM culture medium has demonstrated that the PGS has a wide range of degradability, from being degradable in a couple of weeks to being nearly inert. The matching of physical characteristics to those of the heart, the ability to fine tune degradation rates in biologically relevant media and initial data showing biocompatibility indicate that this material has promise for cardiac tissue engineering applications. \u00a9 2007 Elsevier Ltd. All rights reserved.", "author" : [ { "dropping-particle" : "", "family" : "Chen", "given" : "Qi Zhi", "non-dropping-particle" : "", "parse-names" : false, "suffix" : "" }, { "dropping-particle" : "", "family" : "Bismarck", "given" : "Alexander", "non-dropping-particle" : "", "parse-names" : false, "suffix" : "" }, { "dropping-particle" : "", "family" : "Hansen", "given" : "Ulrich", "non-dropping-particle" : "", "parse-names" : false, "suffix" : "" }, { "dropping-particle" : "", "family" : "Junaid", "given" : "Sarah", "non-dropping-particle" : "", "parse-names" : false, "suffix" : "" }, { "dropping-particle" : "", "family" : "Tran", "given" : "Michael Q.", "non-dropping-particle" : "", "parse-names" : false, "suffix" : "" }, { "dropping-particle" : "", "family" : "Harding", "given" : "Si\u00e2n E.", "non-dropping-particle" : "", "parse-names" : false, "suffix" : "" }, { "dropping-particle" : "", "family" : "Ali", "given" : "Nadire N.", "non-dropping-particle" : "", "parse-names" : false, "suffix" : "" }, { "dropping-particle" : "", "family" : "Boccaccini", "given" : "Aldo R.", "non-dropping-particle" : "", "parse-names" : false, "suffix" : "" } ], "container-title" : "Biomaterials", "id" : "ITEM-1", "issue" : "1", "issued" : { "date-parts" : [ [ "2008" ] ] }, "page" : "47-57", "title" : "Characterisation of a soft elastomer poly(glycerol sebacate) designed to match the mechanical properties of myocardial tissue", "type" : "article-journal", "volume" : "29" }, "uris" : [ "http://www.mendeley.com/documents/?uuid=6841d177-f26e-4e80-93df-49ec67a3886e", "http://www.mendeley.com/documents/?uuid=6dd12a99-aaeb-45cd-866f-077b99f5ee24" ] } ], "mendeley" : { "formattedCitation" : "&lt;sup&gt;149&lt;/sup&gt;", "plainTextFormattedCitation" : "149", "previouslyFormattedCitation" : "&lt;sup&gt;148&lt;/sup&gt;"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149</w:t>
      </w:r>
      <w:r w:rsidRPr="00610A40">
        <w:rPr>
          <w:color w:val="auto"/>
          <w:szCs w:val="24"/>
        </w:rPr>
        <w:fldChar w:fldCharType="end"/>
      </w:r>
      <w:r w:rsidRPr="00610A40">
        <w:rPr>
          <w:color w:val="auto"/>
          <w:szCs w:val="24"/>
        </w:rPr>
        <w:t xml:space="preserve">, but also the ability to withstand cycles of stretching over a period of 1 day </w:t>
      </w:r>
      <w:r w:rsidRPr="00610A40">
        <w:rPr>
          <w:i/>
          <w:color w:val="auto"/>
          <w:szCs w:val="24"/>
        </w:rPr>
        <w:t>in vitro</w:t>
      </w:r>
      <w:r w:rsidRPr="00610A40">
        <w:rPr>
          <w:color w:val="auto"/>
          <w:szCs w:val="24"/>
        </w:rPr>
        <w:t xml:space="preserve"> and up to 3 months </w:t>
      </w:r>
      <w:r w:rsidRPr="00610A40">
        <w:rPr>
          <w:i/>
          <w:color w:val="auto"/>
          <w:szCs w:val="24"/>
        </w:rPr>
        <w:t>in vivo</w:t>
      </w:r>
      <w:r w:rsidRPr="00610A40">
        <w:rPr>
          <w:color w:val="auto"/>
          <w:szCs w:val="24"/>
        </w:rPr>
        <w:fldChar w:fldCharType="begin" w:fldLock="1"/>
      </w:r>
      <w:r w:rsidR="00565E2A" w:rsidRPr="00610A40">
        <w:rPr>
          <w:color w:val="auto"/>
          <w:szCs w:val="24"/>
        </w:rPr>
        <w:instrText>ADDIN CSL_CITATION { "citationItems" : [ { "id" : "ITEM-1", "itemData" : { "DOI" : "10.1016/j.biomaterials.2010.01.108", "ISBN" : "1878-5905 (Electronic)\\r0142-9612 (Linking)", "ISSN" : "01429612", "PMID" : "20153041", "abstract" : "We hypothesize that a combinatorial approach of ventricle constraint and stem cell therapy would offer a greater benefit for the treatment of heart failure than either strategy alone. A heart patch would serve two therapeutic purposes: biomechanical support and cell delivery. In this study, we describe a hybrid heart patch engineered from a synthetic elastomer, poly(glycerol sebacate) (PGS), supplemented with cardiomyocytes differentiated from human embryonic stem cells (hESCs). In line with two therapeutically relevant considerations, i.e. biocompatibility and cell delivery efficiency, the PGS was (a) pre-conditioned in culture medium for 6 days, and (b) prepared without gelatin coatings to facilitate detachment and delivery of cardiomyocytes following patch implantation. Following pre-conditioning under physiological conditions, the PGS patch material without gelatin coating was found to satisfactorily support cardiomyocyte viability and attachment, with active cell beating for periods of longer than 3 months until interrupted. Dynamic culture studies revealed that cells detached more efficiently from the uncoated surface of PGS than from gelatin-coated PGS. No significant differences were detected between the beating rates of human embryonic stem cell-derived cardiomyocytes on tissue culture plate and the pre-conditioned and gelatin-uncoated PGS. PGS patches sutured over the left ventricle of rats in vivo remained intact over a 2 week period without any deleterious effects on ventricular function. We conclude that PGS is a suitable biomaterial for stem cell-based regeneration strategies to restore cardiomyocyte function, and the hybrid heart patch engineered under optimal conditions would be a promising support device for the cardiac repair. ?? 2010 Elsevier Ltd.", "author" : [ { "dropping-particle" : "", "family" : "Chen", "given" : "Qi Zhi", "non-dropping-particle" : "", "parse-names" : false, "suffix" : "" }, { "dropping-particle" : "", "family" : "Ishii", "given" : "Hikaru", "non-dropping-particle" : "", "parse-names" : false, "suffix" : "" }, { "dropping-particle" : "", "family" : "Thouas", "given" : "George A.", "non-dropping-particle" : "", "parse-names" : false, "suffix" : "" }, { "dropping-particle" : "", "family" : "Lyon", "given" : "Alexander R.", "non-dropping-particle" : "", "parse-names" : false, "suffix" : "" }, { "dropping-particle" : "", "family" : "Wright", "given" : "Jamie S.", "non-dropping-particle" : "", "parse-names" : false, "suffix" : "" }, { "dropping-particle" : "", "family" : "Blaker", "given" : "Jonny J.", "non-dropping-particle" : "", "parse-names" : false, "suffix" : "" }, { "dropping-particle" : "", "family" : "Chrzanowski", "given" : "Wojciech", "non-dropping-particle" : "", "parse-names" : false, "suffix" : "" }, { "dropping-particle" : "", "family" : "Boccaccini", "given" : "Aldo R.", "non-dropping-particle" : "", "parse-names" : false, "suffix" : "" }, { "dropping-particle" : "", "family" : "Ali", "given" : "Nadire N.", "non-dropping-particle" : "", "parse-names" : false, "suffix" : "" }, { "dropping-particle" : "", "family" : "Knowles", "given" : "Jonathan C.", "non-dropping-particle" : "", "parse-names" : false, "suffix" : "" }, { "dropping-particle" : "", "family" : "Harding", "given" : "Si??n E.", "non-dropping-particle" : "", "parse-names" : false, "suffix" : "" } ], "container-title" : "Biomaterials", "id" : "ITEM-1", "issue" : "14", "issued" : { "date-parts" : [ [ "2010" ] ] }, "page" : "3885-3893", "publisher" : "Elsevier Ltd", "title" : "An elastomeric patch derived from poly(glycerol sebacate) for delivery of embryonic stem cells to the heart", "type" : "article-journal", "volume" : "31" }, "uris" : [ "http://www.mendeley.com/documents/?uuid=d8c3080f-85ed-4697-a740-54ab12bc356b", "http://www.mendeley.com/documents/?uuid=63704da1-5bbb-4bd1-bb40-9e172b1f0d55" ] } ], "mendeley" : { "formattedCitation" : "&lt;sup&gt;142&lt;/sup&gt;", "plainTextFormattedCitation" : "142", "previouslyFormattedCitation" : "&lt;sup&gt;141&lt;/sup&gt;"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142</w:t>
      </w:r>
      <w:r w:rsidRPr="00610A40">
        <w:rPr>
          <w:color w:val="auto"/>
          <w:szCs w:val="24"/>
        </w:rPr>
        <w:fldChar w:fldCharType="end"/>
      </w:r>
      <w:r w:rsidRPr="00610A40">
        <w:rPr>
          <w:color w:val="auto"/>
          <w:szCs w:val="24"/>
        </w:rPr>
        <w:t>. PGS is non</w:t>
      </w:r>
      <w:r w:rsidR="00C65C52" w:rsidRPr="00610A40">
        <w:rPr>
          <w:color w:val="auto"/>
          <w:szCs w:val="24"/>
        </w:rPr>
        <w:t>-</w:t>
      </w:r>
      <w:r w:rsidRPr="00610A40">
        <w:rPr>
          <w:color w:val="auto"/>
          <w:szCs w:val="24"/>
        </w:rPr>
        <w:t xml:space="preserve">toxic, supportive of cell growth and </w:t>
      </w:r>
      <w:proofErr w:type="spellStart"/>
      <w:r w:rsidRPr="00610A40">
        <w:rPr>
          <w:color w:val="auto"/>
          <w:szCs w:val="24"/>
        </w:rPr>
        <w:t>autoclavable</w:t>
      </w:r>
      <w:proofErr w:type="spellEnd"/>
      <w:r w:rsidRPr="00610A40">
        <w:rPr>
          <w:color w:val="auto"/>
          <w:szCs w:val="24"/>
        </w:rPr>
        <w:t xml:space="preserve">, making it an excellent material for cardiac patch. Chen </w:t>
      </w:r>
      <w:proofErr w:type="gramStart"/>
      <w:r w:rsidRPr="00610A40">
        <w:rPr>
          <w:color w:val="auto"/>
          <w:szCs w:val="24"/>
        </w:rPr>
        <w:t>et</w:t>
      </w:r>
      <w:proofErr w:type="gramEnd"/>
      <w:r w:rsidRPr="00610A40">
        <w:rPr>
          <w:color w:val="auto"/>
          <w:szCs w:val="24"/>
        </w:rPr>
        <w:t>. al. synthesized PGS at 110˚C, 120˚C and 130˚C for 24 h before reducing the pressu</w:t>
      </w:r>
      <w:r w:rsidR="00C65C52" w:rsidRPr="00610A40">
        <w:rPr>
          <w:color w:val="auto"/>
          <w:szCs w:val="24"/>
        </w:rPr>
        <w:t>r</w:t>
      </w:r>
      <w:r w:rsidRPr="00610A40">
        <w:rPr>
          <w:color w:val="auto"/>
          <w:szCs w:val="24"/>
        </w:rPr>
        <w:t>e to 50 mmHg for 5 hrs</w:t>
      </w:r>
      <w:r w:rsidRPr="00610A40">
        <w:rPr>
          <w:color w:val="auto"/>
          <w:szCs w:val="24"/>
        </w:rPr>
        <w:fldChar w:fldCharType="begin" w:fldLock="1"/>
      </w:r>
      <w:r w:rsidR="00565E2A" w:rsidRPr="00610A40">
        <w:rPr>
          <w:color w:val="auto"/>
          <w:szCs w:val="24"/>
        </w:rPr>
        <w:instrText>ADDIN CSL_CITATION { "citationItems" : [ { "id" : "ITEM-1", "itemData" : { "DOI" : "10.1016/j.biomaterials.2007.09.010", "ISBN" : "0142-9612", "ISSN" : "01429612", "PMID" : "17915309", "abstract" : "The myocardial tissue lacks significant intrinsic regenerative capability to replace the lost cells. Therefore, the heart is a major target of research within the field of tissue engineering, which aims to replace infarcted myocardium and enhance cardiac function. The primary objective of this work was to develop a biocompatible, degradable and superelastic heart patch from poly(glycerol sebacate) (PGS). PGS was synthesised at 110, 120 and 130 \u00b0C by polycondensation of glycerol and sebacic acid with a mole ratio of 1:1. The investigation was focused on the mechanical and biodegrading behaviours of the developed PGS. PGS materials synthesised at 110, 120 and 130 \u00b0C have Young's moduli of 0.056, 0.22 and 1.2 MPa, respectively, which satisfy the mechanical requirements on the materials applied for the heart patch and 3D myocardial tissue engineering construction. Degradation assessment in phosphate buffered saline and Knockout\u2122 DMEM culture medium has demonstrated that the PGS has a wide range of degradability, from being degradable in a couple of weeks to being nearly inert. The matching of physical characteristics to those of the heart, the ability to fine tune degradation rates in biologically relevant media and initial data showing biocompatibility indicate that this material has promise for cardiac tissue engineering applications. \u00a9 2007 Elsevier Ltd. All rights reserved.", "author" : [ { "dropping-particle" : "", "family" : "Chen", "given" : "Qi Zhi", "non-dropping-particle" : "", "parse-names" : false, "suffix" : "" }, { "dropping-particle" : "", "family" : "Bismarck", "given" : "Alexander", "non-dropping-particle" : "", "parse-names" : false, "suffix" : "" }, { "dropping-particle" : "", "family" : "Hansen", "given" : "Ulrich", "non-dropping-particle" : "", "parse-names" : false, "suffix" : "" }, { "dropping-particle" : "", "family" : "Junaid", "given" : "Sarah", "non-dropping-particle" : "", "parse-names" : false, "suffix" : "" }, { "dropping-particle" : "", "family" : "Tran", "given" : "Michael Q.", "non-dropping-particle" : "", "parse-names" : false, "suffix" : "" }, { "dropping-particle" : "", "family" : "Harding", "given" : "Si\u00e2n E.", "non-dropping-particle" : "", "parse-names" : false, "suffix" : "" }, { "dropping-particle" : "", "family" : "Ali", "given" : "Nadire N.", "non-dropping-particle" : "", "parse-names" : false, "suffix" : "" }, { "dropping-particle" : "", "family" : "Boccaccini", "given" : "Aldo R.", "non-dropping-particle" : "", "parse-names" : false, "suffix" : "" } ], "container-title" : "Biomaterials", "id" : "ITEM-1", "issue" : "1", "issued" : { "date-parts" : [ [ "2008" ] ] }, "page" : "47-57", "title" : "Characterisation of a soft elastomer poly(glycerol sebacate) designed to match the mechanical properties of myocardial tissue", "type" : "article-journal", "volume" : "29" }, "uris" : [ "http://www.mendeley.com/documents/?uuid=6841d177-f26e-4e80-93df-49ec67a3886e", "http://www.mendeley.com/documents/?uuid=6dd12a99-aaeb-45cd-866f-077b99f5ee24" ] } ], "mendeley" : { "formattedCitation" : "&lt;sup&gt;149&lt;/sup&gt;", "plainTextFormattedCitation" : "149", "previouslyFormattedCitation" : "&lt;sup&gt;148&lt;/sup&gt;"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149</w:t>
      </w:r>
      <w:r w:rsidRPr="00610A40">
        <w:rPr>
          <w:color w:val="auto"/>
          <w:szCs w:val="24"/>
        </w:rPr>
        <w:fldChar w:fldCharType="end"/>
      </w:r>
      <w:r w:rsidRPr="00610A40">
        <w:rPr>
          <w:color w:val="auto"/>
          <w:szCs w:val="24"/>
        </w:rPr>
        <w:t xml:space="preserve">. </w:t>
      </w:r>
      <w:proofErr w:type="gramStart"/>
      <w:r w:rsidRPr="00610A40">
        <w:rPr>
          <w:color w:val="auto"/>
          <w:szCs w:val="24"/>
        </w:rPr>
        <w:t xml:space="preserve">They then </w:t>
      </w:r>
      <w:proofErr w:type="spellStart"/>
      <w:r w:rsidRPr="00610A40">
        <w:rPr>
          <w:color w:val="auto"/>
          <w:szCs w:val="24"/>
        </w:rPr>
        <w:t>crosslinked</w:t>
      </w:r>
      <w:proofErr w:type="spellEnd"/>
      <w:r w:rsidRPr="00610A40">
        <w:rPr>
          <w:color w:val="auto"/>
          <w:szCs w:val="24"/>
        </w:rPr>
        <w:t xml:space="preserve"> the PGS </w:t>
      </w:r>
      <w:proofErr w:type="spellStart"/>
      <w:r w:rsidRPr="00610A40">
        <w:rPr>
          <w:color w:val="auto"/>
          <w:szCs w:val="24"/>
        </w:rPr>
        <w:t>prepolymer</w:t>
      </w:r>
      <w:proofErr w:type="spellEnd"/>
      <w:r w:rsidRPr="00610A40">
        <w:rPr>
          <w:color w:val="auto"/>
          <w:szCs w:val="24"/>
        </w:rPr>
        <w:t xml:space="preserve"> at the same temperature over the next 48 hours under vacuum.</w:t>
      </w:r>
      <w:proofErr w:type="gramEnd"/>
      <w:r w:rsidRPr="00610A40">
        <w:rPr>
          <w:color w:val="auto"/>
          <w:szCs w:val="24"/>
        </w:rPr>
        <w:t xml:space="preserve"> The result was a series of PGS elastomers that have stiffness of 0.056 ± 0.011 </w:t>
      </w:r>
      <w:proofErr w:type="spellStart"/>
      <w:r w:rsidR="00D5605F" w:rsidRPr="00610A40">
        <w:rPr>
          <w:color w:val="auto"/>
          <w:szCs w:val="24"/>
        </w:rPr>
        <w:t>MPa</w:t>
      </w:r>
      <w:proofErr w:type="spellEnd"/>
      <w:r w:rsidR="00D5605F" w:rsidRPr="00610A40">
        <w:rPr>
          <w:color w:val="auto"/>
          <w:szCs w:val="24"/>
        </w:rPr>
        <w:t>,</w:t>
      </w:r>
      <w:r w:rsidRPr="00610A40">
        <w:rPr>
          <w:color w:val="auto"/>
          <w:szCs w:val="24"/>
        </w:rPr>
        <w:t xml:space="preserve"> 0.22 ± 0.03 </w:t>
      </w:r>
      <w:proofErr w:type="spellStart"/>
      <w:r w:rsidRPr="00610A40">
        <w:rPr>
          <w:color w:val="auto"/>
          <w:szCs w:val="24"/>
        </w:rPr>
        <w:t>MPa</w:t>
      </w:r>
      <w:proofErr w:type="spellEnd"/>
      <w:r w:rsidRPr="00610A40">
        <w:rPr>
          <w:color w:val="auto"/>
          <w:szCs w:val="24"/>
        </w:rPr>
        <w:t xml:space="preserve"> and 1.20 ± 0.08 </w:t>
      </w:r>
      <w:proofErr w:type="spellStart"/>
      <w:r w:rsidRPr="00610A40">
        <w:rPr>
          <w:color w:val="auto"/>
          <w:szCs w:val="24"/>
        </w:rPr>
        <w:t>MPa</w:t>
      </w:r>
      <w:proofErr w:type="spellEnd"/>
      <w:r w:rsidRPr="00610A40">
        <w:rPr>
          <w:color w:val="auto"/>
          <w:szCs w:val="24"/>
        </w:rPr>
        <w:t xml:space="preserve"> and rupture strains of 4.48 </w:t>
      </w:r>
      <w:r w:rsidR="00D5605F" w:rsidRPr="00610A40">
        <w:rPr>
          <w:color w:val="auto"/>
          <w:szCs w:val="24"/>
        </w:rPr>
        <w:t>± 0.38</w:t>
      </w:r>
      <w:r w:rsidRPr="00610A40">
        <w:rPr>
          <w:color w:val="auto"/>
          <w:szCs w:val="24"/>
        </w:rPr>
        <w:t xml:space="preserve">, 2.56 ± 0.26 and 0.41 ± 0.15 respectively. Given that the Young's modulus of myocardium in human is 0.02 - 0.5 </w:t>
      </w:r>
      <w:proofErr w:type="spellStart"/>
      <w:r w:rsidRPr="00610A40">
        <w:rPr>
          <w:color w:val="auto"/>
          <w:szCs w:val="24"/>
        </w:rPr>
        <w:t>MPa</w:t>
      </w:r>
      <w:proofErr w:type="spellEnd"/>
      <w:r w:rsidRPr="00610A40">
        <w:rPr>
          <w:color w:val="auto"/>
          <w:szCs w:val="24"/>
        </w:rPr>
        <w:t xml:space="preserve">, PGS could achieve excellent mechanical compatibility with cardiac muscles by adjusting its synthesis and curing temperatures and durations. By tuning the synthesis and curing conditions, the degradation rate of PGS could </w:t>
      </w:r>
      <w:r w:rsidR="00C65C52" w:rsidRPr="00610A40">
        <w:rPr>
          <w:color w:val="auto"/>
          <w:szCs w:val="24"/>
        </w:rPr>
        <w:t xml:space="preserve">also </w:t>
      </w:r>
      <w:r w:rsidRPr="00610A40">
        <w:rPr>
          <w:color w:val="auto"/>
          <w:szCs w:val="24"/>
        </w:rPr>
        <w:t>be tailored to match the recovery rate of the damaged heart tissue. For instance, PGS synthesized at 120 ˚C reduced its stiffness linearly to almost 60% over 30 days while that at 110 ˚C reduced approximately 50% of its stiffness in just one day in PBS and DMEM at 37˚C. The group went on further to focus on the long-term viability and delivery efficacy of human embryonic stem cells to the heart</w:t>
      </w:r>
      <w:r w:rsidRPr="00610A40">
        <w:rPr>
          <w:color w:val="auto"/>
          <w:szCs w:val="24"/>
        </w:rPr>
        <w:fldChar w:fldCharType="begin" w:fldLock="1"/>
      </w:r>
      <w:r w:rsidR="00565E2A" w:rsidRPr="00610A40">
        <w:rPr>
          <w:color w:val="auto"/>
          <w:szCs w:val="24"/>
        </w:rPr>
        <w:instrText>ADDIN CSL_CITATION { "citationItems" : [ { "id" : "ITEM-1", "itemData" : { "DOI" : "10.1016/j.biomaterials.2010.01.108", "ISBN" : "1878-5905 (Electronic)\\r0142-9612 (Linking)", "ISSN" : "01429612", "PMID" : "20153041", "abstract" : "We hypothesize that a combinatorial approach of ventricle constraint and stem cell therapy would offer a greater benefit for the treatment of heart failure than either strategy alone. A heart patch would serve two therapeutic purposes: biomechanical support and cell delivery. In this study, we describe a hybrid heart patch engineered from a synthetic elastomer, poly(glycerol sebacate) (PGS), supplemented with cardiomyocytes differentiated from human embryonic stem cells (hESCs). In line with two therapeutically relevant considerations, i.e. biocompatibility and cell delivery efficiency, the PGS was (a) pre-conditioned in culture medium for 6 days, and (b) prepared without gelatin coatings to facilitate detachment and delivery of cardiomyocytes following patch implantation. Following pre-conditioning under physiological conditions, the PGS patch material without gelatin coating was found to satisfactorily support cardiomyocyte viability and attachment, with active cell beating for periods of longer than 3 months until interrupted. Dynamic culture studies revealed that cells detached more efficiently from the uncoated surface of PGS than from gelatin-coated PGS. No significant differences were detected between the beating rates of human embryonic stem cell-derived cardiomyocytes on tissue culture plate and the pre-conditioned and gelatin-uncoated PGS. PGS patches sutured over the left ventricle of rats in vivo remained intact over a 2 week period without any deleterious effects on ventricular function. We conclude that PGS is a suitable biomaterial for stem cell-based regeneration strategies to restore cardiomyocyte function, and the hybrid heart patch engineered under optimal conditions would be a promising support device for the cardiac repair. ?? 2010 Elsevier Ltd.", "author" : [ { "dropping-particle" : "", "family" : "Chen", "given" : "Qi Zhi", "non-dropping-particle" : "", "parse-names" : false, "suffix" : "" }, { "dropping-particle" : "", "family" : "Ishii", "given" : "Hikaru", "non-dropping-particle" : "", "parse-names" : false, "suffix" : "" }, { "dropping-particle" : "", "family" : "Thouas", "given" : "George A.", "non-dropping-particle" : "", "parse-names" : false, "suffix" : "" }, { "dropping-particle" : "", "family" : "Lyon", "given" : "Alexander R.", "non-dropping-particle" : "", "parse-names" : false, "suffix" : "" }, { "dropping-particle" : "", "family" : "Wright", "given" : "Jamie S.", "non-dropping-particle" : "", "parse-names" : false, "suffix" : "" }, { "dropping-particle" : "", "family" : "Blaker", "given" : "Jonny J.", "non-dropping-particle" : "", "parse-names" : false, "suffix" : "" }, { "dropping-particle" : "", "family" : "Chrzanowski", "given" : "Wojciech", "non-dropping-particle" : "", "parse-names" : false, "suffix" : "" }, { "dropping-particle" : "", "family" : "Boccaccini", "given" : "Aldo R.", "non-dropping-particle" : "", "parse-names" : false, "suffix" : "" }, { "dropping-particle" : "", "family" : "Ali", "given" : "Nadire N.", "non-dropping-particle" : "", "parse-names" : false, "suffix" : "" }, { "dropping-particle" : "", "family" : "Knowles", "given" : "Jonathan C.", "non-dropping-particle" : "", "parse-names" : false, "suffix" : "" }, { "dropping-particle" : "", "family" : "Harding", "given" : "Si??n E.", "non-dropping-particle" : "", "parse-names" : false, "suffix" : "" } ], "container-title" : "Biomaterials", "id" : "ITEM-1", "issue" : "14", "issued" : { "date-parts" : [ [ "2010" ] ] }, "page" : "3885-3893", "publisher" : "Elsevier Ltd", "title" : "An elastomeric patch derived from poly(glycerol sebacate) for delivery of embryonic stem cells to the heart", "type" : "article-journal", "volume" : "31" }, "uris" : [ "http://www.mendeley.com/documents/?uuid=d8c3080f-85ed-4697-a740-54ab12bc356b", "http://www.mendeley.com/documents/?uuid=63704da1-5bbb-4bd1-bb40-9e172b1f0d55" ] } ], "mendeley" : { "formattedCitation" : "&lt;sup&gt;142&lt;/sup&gt;", "plainTextFormattedCitation" : "142", "previouslyFormattedCitation" : "&lt;sup&gt;141&lt;/sup&gt;"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142</w:t>
      </w:r>
      <w:r w:rsidRPr="00610A40">
        <w:rPr>
          <w:color w:val="auto"/>
          <w:szCs w:val="24"/>
        </w:rPr>
        <w:fldChar w:fldCharType="end"/>
      </w:r>
      <w:r w:rsidRPr="00610A40">
        <w:rPr>
          <w:color w:val="auto"/>
          <w:szCs w:val="24"/>
        </w:rPr>
        <w:t xml:space="preserve">. Their work demonstrated the proof-of-concept for a PGS-based heart patch for the delivery of human embryonic stem cell derived </w:t>
      </w:r>
      <w:proofErr w:type="spellStart"/>
      <w:r w:rsidRPr="00610A40">
        <w:rPr>
          <w:color w:val="auto"/>
          <w:szCs w:val="24"/>
        </w:rPr>
        <w:t>cardiomyocytes</w:t>
      </w:r>
      <w:proofErr w:type="spellEnd"/>
      <w:r w:rsidRPr="00610A40">
        <w:rPr>
          <w:color w:val="auto"/>
          <w:szCs w:val="24"/>
        </w:rPr>
        <w:t xml:space="preserve">. The group prepared PGS sheets of 1mm thick synthesized at 110 ˚C and 120 ˚C, autoclaved for sterilization and pre-conditioned them by soaking in tissue culture </w:t>
      </w:r>
      <w:r w:rsidRPr="00610A40">
        <w:rPr>
          <w:color w:val="auto"/>
          <w:szCs w:val="24"/>
        </w:rPr>
        <w:lastRenderedPageBreak/>
        <w:t>medium for 6 days. Human embryonic stem cell (</w:t>
      </w:r>
      <w:proofErr w:type="spellStart"/>
      <w:r w:rsidRPr="00610A40">
        <w:rPr>
          <w:color w:val="auto"/>
          <w:szCs w:val="24"/>
        </w:rPr>
        <w:t>hESC</w:t>
      </w:r>
      <w:proofErr w:type="spellEnd"/>
      <w:r w:rsidRPr="00610A40">
        <w:rPr>
          <w:color w:val="auto"/>
          <w:szCs w:val="24"/>
        </w:rPr>
        <w:t xml:space="preserve">) derived </w:t>
      </w:r>
      <w:proofErr w:type="spellStart"/>
      <w:r w:rsidRPr="00610A40">
        <w:rPr>
          <w:color w:val="auto"/>
          <w:szCs w:val="24"/>
        </w:rPr>
        <w:t>cardiomyocytes</w:t>
      </w:r>
      <w:proofErr w:type="spellEnd"/>
      <w:r w:rsidRPr="00610A40">
        <w:rPr>
          <w:color w:val="auto"/>
          <w:szCs w:val="24"/>
        </w:rPr>
        <w:t xml:space="preserve"> cultured on these pre-conditioned PGS sheets achieved confluence in 8 days, with better proliferation on the PGS sheets prepared at 120 ˚C</w:t>
      </w:r>
      <w:r w:rsidR="00F26623" w:rsidRPr="00610A40">
        <w:rPr>
          <w:color w:val="auto"/>
          <w:szCs w:val="24"/>
        </w:rPr>
        <w:t xml:space="preserve"> than that at 110˚C</w:t>
      </w:r>
      <w:r w:rsidRPr="00610A40">
        <w:rPr>
          <w:color w:val="auto"/>
          <w:szCs w:val="24"/>
        </w:rPr>
        <w:t>. This was due to the slower degradation and therefore a less rapid change in pH surrounding the cells. In a comparison of PGS sheets coated with gelatin, the</w:t>
      </w:r>
      <w:r w:rsidR="00F26623" w:rsidRPr="00610A40">
        <w:rPr>
          <w:color w:val="auto"/>
          <w:szCs w:val="24"/>
        </w:rPr>
        <w:t xml:space="preserve"> </w:t>
      </w:r>
      <w:r w:rsidRPr="00610A40">
        <w:rPr>
          <w:color w:val="auto"/>
          <w:szCs w:val="24"/>
        </w:rPr>
        <w:t>uncoated PGS sheets promoted better cell detachment upon deployment</w:t>
      </w:r>
      <w:r w:rsidR="00F26623" w:rsidRPr="00610A40">
        <w:rPr>
          <w:color w:val="auto"/>
          <w:szCs w:val="24"/>
        </w:rPr>
        <w:t>, which is desirable for the application of a cardiac patch</w:t>
      </w:r>
      <w:r w:rsidRPr="00610A40">
        <w:rPr>
          <w:color w:val="auto"/>
          <w:szCs w:val="24"/>
        </w:rPr>
        <w:t xml:space="preserve">. A </w:t>
      </w:r>
      <w:proofErr w:type="spellStart"/>
      <w:proofErr w:type="gramStart"/>
      <w:r w:rsidRPr="00610A40">
        <w:rPr>
          <w:color w:val="auto"/>
          <w:szCs w:val="24"/>
        </w:rPr>
        <w:t>Flexcell</w:t>
      </w:r>
      <w:proofErr w:type="spellEnd"/>
      <w:r w:rsidRPr="00610A40">
        <w:rPr>
          <w:color w:val="auto"/>
          <w:szCs w:val="24"/>
        </w:rPr>
        <w:t>(</w:t>
      </w:r>
      <w:proofErr w:type="gramEnd"/>
      <w:r w:rsidRPr="00610A40">
        <w:rPr>
          <w:color w:val="auto"/>
          <w:szCs w:val="24"/>
        </w:rPr>
        <w:t xml:space="preserve">TE) was used to simulate the stretching of the cardiac patch on the surface of a beating heart. The group demonstrated detachment of cells after the pre-conditioned uncoated PGS sheets were stretched over 1 day while most of the cells remain adhered to the gelatin-coated PGS sheets. This rapid detachment may be beneficial in the release of stem cells to the site of damaged heart tissues. This detachment rate should be further investigated to achieve an optimal detachment rate for cardiac tissue repair. These sheets were able to support the growth of beating </w:t>
      </w:r>
      <w:proofErr w:type="spellStart"/>
      <w:r w:rsidRPr="00610A40">
        <w:rPr>
          <w:color w:val="auto"/>
          <w:szCs w:val="24"/>
        </w:rPr>
        <w:t>cardiomyocytes</w:t>
      </w:r>
      <w:proofErr w:type="spellEnd"/>
      <w:r w:rsidRPr="00610A40">
        <w:rPr>
          <w:color w:val="auto"/>
          <w:szCs w:val="24"/>
        </w:rPr>
        <w:t xml:space="preserve"> for over 3 months and were shown to have no effect on the systolic and diastolic parameters of adult rat hearts when implanted. Such PGS-based cardiac patch with </w:t>
      </w:r>
      <w:proofErr w:type="spellStart"/>
      <w:r w:rsidRPr="00610A40">
        <w:rPr>
          <w:color w:val="auto"/>
          <w:szCs w:val="24"/>
        </w:rPr>
        <w:t>hESC</w:t>
      </w:r>
      <w:proofErr w:type="spellEnd"/>
      <w:r w:rsidRPr="00610A40">
        <w:rPr>
          <w:color w:val="auto"/>
          <w:szCs w:val="24"/>
        </w:rPr>
        <w:t xml:space="preserve">-derived </w:t>
      </w:r>
      <w:proofErr w:type="spellStart"/>
      <w:r w:rsidRPr="00610A40">
        <w:rPr>
          <w:color w:val="auto"/>
          <w:szCs w:val="24"/>
        </w:rPr>
        <w:t>cardiomyocytes</w:t>
      </w:r>
      <w:proofErr w:type="spellEnd"/>
      <w:r w:rsidRPr="00610A40">
        <w:rPr>
          <w:color w:val="auto"/>
          <w:szCs w:val="24"/>
        </w:rPr>
        <w:t xml:space="preserve"> could be taken to the next step </w:t>
      </w:r>
      <w:r w:rsidR="00C218D8" w:rsidRPr="00610A40">
        <w:rPr>
          <w:color w:val="auto"/>
          <w:szCs w:val="24"/>
        </w:rPr>
        <w:t xml:space="preserve">by </w:t>
      </w:r>
      <w:r w:rsidRPr="00610A40">
        <w:rPr>
          <w:color w:val="auto"/>
          <w:szCs w:val="24"/>
        </w:rPr>
        <w:t>testing it in a cardiac failure model</w:t>
      </w:r>
      <w:r w:rsidR="00C218D8" w:rsidRPr="00610A40">
        <w:rPr>
          <w:color w:val="auto"/>
          <w:szCs w:val="24"/>
        </w:rPr>
        <w:t xml:space="preserve"> in vivo</w:t>
      </w:r>
      <w:r w:rsidRPr="00610A40">
        <w:rPr>
          <w:color w:val="auto"/>
          <w:szCs w:val="24"/>
        </w:rPr>
        <w:t>.</w:t>
      </w:r>
    </w:p>
    <w:p w14:paraId="544118DF" w14:textId="64F9427C" w:rsidR="00283F86" w:rsidRPr="00610A40" w:rsidRDefault="008C0ADC" w:rsidP="008B7846">
      <w:pPr>
        <w:rPr>
          <w:color w:val="auto"/>
          <w:szCs w:val="24"/>
        </w:rPr>
      </w:pPr>
      <w:r w:rsidRPr="00610A40">
        <w:rPr>
          <w:color w:val="auto"/>
          <w:szCs w:val="24"/>
        </w:rPr>
        <w:t xml:space="preserve">Apart from PGS, elastic biodegradable </w:t>
      </w:r>
      <w:proofErr w:type="gramStart"/>
      <w:r w:rsidRPr="00610A40">
        <w:rPr>
          <w:color w:val="auto"/>
          <w:szCs w:val="24"/>
        </w:rPr>
        <w:t>poly(</w:t>
      </w:r>
      <w:proofErr w:type="spellStart"/>
      <w:proofErr w:type="gramEnd"/>
      <w:r w:rsidRPr="00610A40">
        <w:rPr>
          <w:color w:val="auto"/>
          <w:szCs w:val="24"/>
        </w:rPr>
        <w:t>lactide</w:t>
      </w:r>
      <w:proofErr w:type="spellEnd"/>
      <w:r w:rsidRPr="00610A40">
        <w:rPr>
          <w:color w:val="auto"/>
          <w:szCs w:val="24"/>
        </w:rPr>
        <w:t>-co-ε-</w:t>
      </w:r>
      <w:proofErr w:type="spellStart"/>
      <w:r w:rsidRPr="00610A40">
        <w:rPr>
          <w:color w:val="auto"/>
          <w:szCs w:val="24"/>
        </w:rPr>
        <w:t>caprolactone</w:t>
      </w:r>
      <w:proofErr w:type="spellEnd"/>
      <w:r w:rsidRPr="00610A40">
        <w:rPr>
          <w:color w:val="auto"/>
          <w:szCs w:val="24"/>
        </w:rPr>
        <w:t>) (PLCL) had also been evaluated for its potential for use as a cardiac patch. A group of researchers investigated the performance of an injured rat heart after being treated with 1) PLCL scaffold seeded with bone marrow-derived mesenchymal stem cells (BMMSC) (10</w:t>
      </w:r>
      <w:r w:rsidRPr="00610A40">
        <w:rPr>
          <w:color w:val="auto"/>
          <w:szCs w:val="24"/>
          <w:vertAlign w:val="superscript"/>
        </w:rPr>
        <w:t>6</w:t>
      </w:r>
      <w:r w:rsidRPr="00610A40">
        <w:rPr>
          <w:color w:val="auto"/>
          <w:szCs w:val="24"/>
        </w:rPr>
        <w:t xml:space="preserve"> cells), 2) PLCL scaffolds only, 3) BMMSC (10</w:t>
      </w:r>
      <w:r w:rsidRPr="00610A40">
        <w:rPr>
          <w:color w:val="auto"/>
          <w:szCs w:val="24"/>
          <w:vertAlign w:val="superscript"/>
        </w:rPr>
        <w:t>6</w:t>
      </w:r>
      <w:r w:rsidRPr="00610A40">
        <w:rPr>
          <w:color w:val="auto"/>
          <w:szCs w:val="24"/>
        </w:rPr>
        <w:t xml:space="preserve"> cells) injection only and 4) saline</w:t>
      </w:r>
      <w:r w:rsidRPr="00610A40">
        <w:rPr>
          <w:color w:val="auto"/>
          <w:szCs w:val="24"/>
        </w:rPr>
        <w:fldChar w:fldCharType="begin" w:fldLock="1"/>
      </w:r>
      <w:r w:rsidR="00565E2A" w:rsidRPr="00610A40">
        <w:rPr>
          <w:color w:val="auto"/>
          <w:szCs w:val="24"/>
        </w:rPr>
        <w:instrText>ADDIN CSL_CITATION { "citationItems" : [ { "id" : "ITEM-1", "itemData" : { "DOI" : "10.1093/eurjhf/hfn017", "ISBN" : "1388-9842 (Print)\\r1388-9842 (Linking)", "ISSN" : "1388-9842", "PMID" : "19168512", "abstract" : "AIMS: Cardiac tissue engineering has been proposed as an appropriate method to repair myocardial infarction (MI). Evidence suggests that a cell with scaffold combination was more effective than a cell-only implant. Nevertheless, to date, there has been no research into elastic biodegradable poly(lactide-co-epsilon-caprolactone) (PLCL) scaffolds. The aim of this study was to investigate the effect of mesenchymal stem cells (MSCs) with elastic biodegradable PLCL scaffold transplants in a rat MI model.\\n\\nMETHODS AND RESULTS: Ten days after inducing MI through the cryoinjury method, a saline control, MSC, PLCL scaffold, or MSC-seeded PLCL scaffold was transplanted onto the hearts. Four weeks after transplantation, cardiac function and histology were evaluated. Transplanted MSCs survived and differentiated into cardiomyocytes in the injured region. Left ventricular ejection fraction in the MSC+PLCL group increased by 23% compared with that in the saline group; it was also higher in the MSC group. The infarct area in the MSC+PLCL group was decreased by 29% compared with that in the saline group; it was also reduced in the MSC group.\\n\\nCONCLUSION: Mesenchymal stem cells plus PLCL should be an excellent combination for cardiac tissue engineering.", "author" : [ { "dropping-particle" : "", "family" : "Jin", "given" : "Jiyong", "non-dropping-particle" : "", "parse-names" : false, "suffix" : "" }, { "dropping-particle" : "", "family" : "Jeong", "given" : "Sung In", "non-dropping-particle" : "", "parse-names" : false, "suffix" : "" }, { "dropping-particle" : "", "family" : "Shin", "given" : "Young Min", "non-dropping-particle" : "", "parse-names" : false, "suffix" : "" }, { "dropping-particle" : "", "family" : "Lim", "given" : "Kwang Suk", "non-dropping-particle" : "", "parse-names" : false, "suffix" : "" }, { "dropping-particle" : "", "family" : "Shin", "given" : "Heung Soo", "non-dropping-particle" : "", "parse-names" : false, "suffix" : "" }, { "dropping-particle" : "", "family" : "Lee", "given" : "Young Moo", "non-dropping-particle" : "", "parse-names" : false, "suffix" : "" }, { "dropping-particle" : "", "family" : "Koh", "given" : "Hyun Chul", "non-dropping-particle" : "", "parse-names" : false, "suffix" : "" }, { "dropping-particle" : "", "family" : "Kim", "given" : "Kyung-Soo", "non-dropping-particle" : "", "parse-names" : false, "suffix" : "" } ], "container-title" : "European journal of heart failure", "id" : "ITEM-1", "issue" : "2", "issued" : { "date-parts" : [ [ "2009" ] ] }, "page" : "147-53", "title" : "Transplantation of mesenchymal stem cells within a poly(lactide-co-epsilon-caprolactone) scaffold improves cardiac function in a rat myocardial infarction model.", "type" : "article-journal", "volume" : "11" }, "uris" : [ "http://www.mendeley.com/documents/?uuid=5943033b-4a57-4924-9e5e-9c20df155012", "http://www.mendeley.com/documents/?uuid=ad36092f-ec62-4167-819a-af607d65f56b" ] } ], "mendeley" : { "formattedCitation" : "&lt;sup&gt;159&lt;/sup&gt;", "plainTextFormattedCitation" : "159", "previouslyFormattedCitation" : "&lt;sup&gt;158&lt;/sup&gt;"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159</w:t>
      </w:r>
      <w:r w:rsidRPr="00610A40">
        <w:rPr>
          <w:color w:val="auto"/>
          <w:szCs w:val="24"/>
        </w:rPr>
        <w:fldChar w:fldCharType="end"/>
      </w:r>
      <w:r w:rsidRPr="00610A40">
        <w:rPr>
          <w:color w:val="auto"/>
          <w:szCs w:val="24"/>
        </w:rPr>
        <w:t xml:space="preserve">. The treatment was administered 10 days post </w:t>
      </w:r>
      <w:proofErr w:type="spellStart"/>
      <w:r w:rsidRPr="00610A40">
        <w:rPr>
          <w:color w:val="auto"/>
          <w:szCs w:val="24"/>
        </w:rPr>
        <w:t>myocardiac</w:t>
      </w:r>
      <w:proofErr w:type="spellEnd"/>
      <w:r w:rsidRPr="00610A40">
        <w:rPr>
          <w:color w:val="auto"/>
          <w:szCs w:val="24"/>
        </w:rPr>
        <w:t xml:space="preserve"> </w:t>
      </w:r>
      <w:r w:rsidR="00D5605F" w:rsidRPr="00610A40">
        <w:rPr>
          <w:color w:val="auto"/>
          <w:szCs w:val="24"/>
        </w:rPr>
        <w:t>infarct</w:t>
      </w:r>
      <w:r w:rsidRPr="00610A40">
        <w:rPr>
          <w:color w:val="auto"/>
          <w:szCs w:val="24"/>
        </w:rPr>
        <w:t xml:space="preserve"> induction in rats and effect of the treatment was measured 4 weeks later. The left ventricular end-systolic and end-diastolic diameters were both significantly lower in the PLCL+BMMSC and the BMMSC groups compared to the saline and PLCL groups. The left </w:t>
      </w:r>
      <w:r w:rsidRPr="00610A40">
        <w:rPr>
          <w:color w:val="auto"/>
          <w:szCs w:val="24"/>
        </w:rPr>
        <w:lastRenderedPageBreak/>
        <w:t xml:space="preserve">ventricular ejection fraction was also significantly higher in the PLCL+BMMSC group (52.5±2.4%) and the MSC only group (48.7±2.3%) compared to that in the PLCL only group (42.4±2.1%) and the saline group (40.1±1.6%). The infarct areas of the PLCL+BMMSC group and the MSC group were decreased by 29% and 18%, respectively, compared with those in the saline group. Furthermore, the infarct area in the PLCL+BMMSC group was significantly reduced compared with that in the BMMSC only group (30.2±2.6 vs. 34.2±3.6%, P = 0.03). The MSC from the PLCL+BMMSC group expressed more cardiac markers (MHC, a-actin, troponin-I) and cardiac transcription factor (GATA-4). This was likely because the PLCL scaffold was able to assist in the induction of tissue formation via nutritional diffusion and cell migration. This PLCL scaffold had proven to be able to improve the cardiac function of an injured heart. </w:t>
      </w:r>
    </w:p>
    <w:p w14:paraId="3C077355" w14:textId="79CC792F" w:rsidR="008C0ADC" w:rsidRPr="00610A40" w:rsidRDefault="008C0ADC" w:rsidP="008B7846">
      <w:pPr>
        <w:rPr>
          <w:color w:val="auto"/>
          <w:szCs w:val="24"/>
        </w:rPr>
      </w:pPr>
      <w:r w:rsidRPr="00610A40">
        <w:rPr>
          <w:color w:val="auto"/>
          <w:szCs w:val="24"/>
        </w:rPr>
        <w:t xml:space="preserve">In summary, various biodegradable polyesters had been evaluated for the construction of a cardiac tissue engineering scaffold. These scaffolds could be both used 1) in vitro, to construct sheets of functional cardiac tissue for implantation, or 2) in vivo, to deliver cells to the site of myocardium injury for repair and regeneration of the native cardiac tissue. These cardiac tissue engineering scaffolds had proven to be effective at either constructing a cardiac sheet or at improving the cardiac function </w:t>
      </w:r>
      <w:r w:rsidR="006F3A83" w:rsidRPr="00610A40">
        <w:rPr>
          <w:color w:val="auto"/>
          <w:szCs w:val="24"/>
        </w:rPr>
        <w:t>by delivering</w:t>
      </w:r>
      <w:r w:rsidRPr="00610A40">
        <w:rPr>
          <w:color w:val="auto"/>
          <w:szCs w:val="24"/>
        </w:rPr>
        <w:t xml:space="preserve"> stem cells. As the current commercial cardiac patches can only act as mechanical restraints to prevent</w:t>
      </w:r>
      <w:r w:rsidR="006F3A83" w:rsidRPr="00610A40">
        <w:rPr>
          <w:color w:val="auto"/>
          <w:szCs w:val="24"/>
        </w:rPr>
        <w:t xml:space="preserve"> worsening of</w:t>
      </w:r>
      <w:r w:rsidRPr="00610A40">
        <w:rPr>
          <w:color w:val="auto"/>
          <w:szCs w:val="24"/>
        </w:rPr>
        <w:t xml:space="preserve"> cardiac </w:t>
      </w:r>
      <w:proofErr w:type="spellStart"/>
      <w:r w:rsidRPr="00610A40">
        <w:rPr>
          <w:color w:val="auto"/>
          <w:szCs w:val="24"/>
        </w:rPr>
        <w:t>hypertropy</w:t>
      </w:r>
      <w:proofErr w:type="spellEnd"/>
      <w:r w:rsidRPr="00610A40">
        <w:rPr>
          <w:color w:val="auto"/>
          <w:szCs w:val="24"/>
        </w:rPr>
        <w:t xml:space="preserve">, these therapeutic cell-based polyester cardiac scaffolds/patches have the potential to greatly improve the quality of treatment for myocardial infarcts when taken into clinical </w:t>
      </w:r>
      <w:proofErr w:type="gramStart"/>
      <w:r w:rsidRPr="00610A40">
        <w:rPr>
          <w:color w:val="auto"/>
          <w:szCs w:val="24"/>
        </w:rPr>
        <w:t>trials.</w:t>
      </w:r>
      <w:proofErr w:type="gramEnd"/>
      <w:r w:rsidRPr="00610A40">
        <w:rPr>
          <w:color w:val="auto"/>
          <w:szCs w:val="24"/>
        </w:rPr>
        <w:t xml:space="preserve"> As proven in the latest papers, the next generation cardiac engineering could involve the integration of successful polyester patches with other components such as electronics to develop ‘smart’ cardiac patches in the near future. </w:t>
      </w:r>
    </w:p>
    <w:p w14:paraId="14D18B22" w14:textId="7A37700F" w:rsidR="00E55465" w:rsidRPr="00610A40" w:rsidRDefault="00007C8A" w:rsidP="00086775">
      <w:pPr>
        <w:pStyle w:val="Heading2"/>
        <w:rPr>
          <w:sz w:val="24"/>
          <w:szCs w:val="24"/>
        </w:rPr>
      </w:pPr>
      <w:r w:rsidRPr="00610A40">
        <w:rPr>
          <w:sz w:val="24"/>
          <w:szCs w:val="24"/>
        </w:rPr>
        <w:lastRenderedPageBreak/>
        <w:t>5</w:t>
      </w:r>
      <w:r w:rsidR="00E55465" w:rsidRPr="00610A40">
        <w:rPr>
          <w:sz w:val="24"/>
          <w:szCs w:val="24"/>
        </w:rPr>
        <w:t>.4 Cardiac valve tissue engineering</w:t>
      </w:r>
    </w:p>
    <w:p w14:paraId="5734EE8F" w14:textId="70E08D1B" w:rsidR="00354DF6" w:rsidRPr="00610A40" w:rsidRDefault="00354DF6" w:rsidP="00086775">
      <w:pPr>
        <w:rPr>
          <w:rFonts w:eastAsia="SimSun"/>
          <w:color w:val="auto"/>
          <w:szCs w:val="24"/>
          <w:lang w:eastAsia="zh-CN"/>
        </w:rPr>
      </w:pPr>
      <w:r w:rsidRPr="00610A40">
        <w:rPr>
          <w:rFonts w:eastAsia="SimSun"/>
          <w:color w:val="auto"/>
          <w:szCs w:val="24"/>
          <w:lang w:eastAsia="zh-CN"/>
        </w:rPr>
        <w:t xml:space="preserve">Other than the myocardium of a heart that requires reconstruction, the valves of a heart may also fail over time. Although there has been a lot of advancement in cardiac valve tissue engineering using </w:t>
      </w:r>
      <w:proofErr w:type="spellStart"/>
      <w:r w:rsidRPr="00610A40">
        <w:rPr>
          <w:rFonts w:eastAsia="SimSun"/>
          <w:color w:val="auto"/>
          <w:szCs w:val="24"/>
          <w:lang w:eastAsia="zh-CN"/>
        </w:rPr>
        <w:t>decellularized</w:t>
      </w:r>
      <w:proofErr w:type="spellEnd"/>
      <w:r w:rsidRPr="00610A40">
        <w:rPr>
          <w:rFonts w:eastAsia="SimSun"/>
          <w:color w:val="auto"/>
          <w:szCs w:val="24"/>
          <w:lang w:eastAsia="zh-CN"/>
        </w:rPr>
        <w:t xml:space="preserve"> porcine valves</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"DOI" : "10.1038/nrcardio.2013.221", "ISBN" : "1759-5002", "ISSN" : "1759-5010", "PMID" : "24445486", "abstract" : "Treatment of aortic stenosis in high-risk surgical patients has been modified in the past 10 years owing to the introduction of transcatheter aortic valve implantation (TAVI). Several issues affecting outcomes with implantation of the first-generation TAVI devices remain unresolved, including haemorrhagic and vascular complications, neurological events, rhythm disturbances, and paravalvular leakage. Further technological improvements are, therefore, required before the indications for TAVI can be extended to young and low-risk patients with aortic stenosis. Many new-generation TAVI devices are currently in the early stages of clinical evaluation. Modifications in the new devices include the ability to reposition the valve before final deployment, features to reduce paravalvular leakage, and the introduction of low-profile delivery systems. The aim of this Review is to provide an overview of the new-generation transcatheter valvular technologies, including initial clinical reports.", "author" : [ { "dropping-particle" : "", "family" : "Taramasso", "given" : "Maurizio", "non-dropping-particle" : "", "parse-names" : false, "suffix" : "" }, { "dropping-particle" : "", "family" : "Pozzoli", "given" : "Alberto", "non-dropping-particle" : "", "parse-names" : false, "suffix" : "" }, { "dropping-particle" : "", "family" : "Latib", "given" : "Azeem", "non-dropping-particle" : "", "parse-names" : false, "suffix" : "" }, { "dropping-particle" : "", "family" : "Canna", "given" : "Giovanni", "non-dropping-particle" : "La", "parse-names" : false, "suffix" : "" }, { "dropping-particle" : "", "family" : "Colombo", "given" : "Antonio", "non-dropping-particle" : "", "parse-names" : false, "suffix" : "" }, { "dropping-particle" : "", "family" : "Maisano", "given" : "Francesco", "non-dropping-particle" : "", "parse-names" : false, "suffix" : "" }, { "dropping-particle" : "", "family" : "Alfieri", "given" : "Ottavio", "non-dropping-particle" : "", "parse-names" : false, "suffix" : "" } ], "container-title" : "Nature reviews. Cardiology", "id" : "ITEM-1", "issue" : "3", "issued" : { "date-parts" : [ [ "2014" ] ] }, "page" : "157-67", "publisher" : "Nature Publishing Group", "title" : "New devices for TAVI: technologies and initial clinical experiences.", "type" : "article-journal", "volume" : "11" }, "uris" : [ "http://www.mendeley.com/documents/?uuid=f7e8049e-4b91-4394-acb6-bfc29665e1bb", "http://www.mendeley.com/documents/?uuid=80915a71-caa7-4746-bb92-a054bdb3354a" ] } ], "mendeley" : { "formattedCitation" : "&lt;sup&gt;163&lt;/sup&gt;", "plainTextFormattedCitation" : "163", "previouslyFormattedCitation" : "&lt;sup&gt;162&lt;/sup&gt;"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163</w:t>
      </w:r>
      <w:r w:rsidRPr="00610A40">
        <w:rPr>
          <w:rFonts w:eastAsia="SimSun"/>
          <w:color w:val="auto"/>
          <w:szCs w:val="24"/>
          <w:lang w:eastAsia="zh-CN"/>
        </w:rPr>
        <w:fldChar w:fldCharType="end"/>
      </w:r>
      <w:r w:rsidRPr="00610A40">
        <w:rPr>
          <w:rFonts w:eastAsia="SimSun"/>
          <w:color w:val="auto"/>
          <w:szCs w:val="24"/>
          <w:lang w:eastAsia="zh-CN"/>
        </w:rPr>
        <w:t>, the exposed collagen fibers had proven to be highly thromobogenic</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"ISSN" : "1524-4539", "PMID" : "11082361", "abstract" : "BACKGROUND Previous tissue engineering approaches to create heart valves have been limited by the structural immaturity and mechanical properties of the valve constructs. This study used an in vitro pulse duplicator system to provide a biomimetic environment during tissue formation to yield more mature implantable heart valves derived from autologous tissue. METHODS AND RESULTS Trileaflet heart valves were fabricated from novel bioabsorbable polymers and sequentially seeded with autologous ovine myofibroblasts and endothelial cells. The constructs were grown for 14 days in a pulse duplicator in vitro system under gradually increasing flow and pressure conditions. By use of cardiopulmonary bypass, the native pulmonary leaflets were resected, and the valve constructs were implanted into 6 lambs (weight 19+/-2.8 kg). All animals had uneventful postoperative courses, and the valves were explanted at 1 day and at 4, 6, 8, 16, and 20 weeks. Echocardiography demonstrated mobile functioning leaflets without stenosis, thrombus, or aneurysm up to 20 weeks. Histology (16 and 20 weeks) showed uniform layered cuspal tissue with endothelium. Environmental scanning electron microscopy revealed a confluent smooth valvular surface. Mechanical properties were comparable to those of native tissue at 20 weeks. Complete degradation of the polymers occurred by 8 weeks. Extracellular matrix content (collagen, glycosaminoglycans, and elastin) and DNA content increased to levels of native tissue and higher at 20 weeks. CONCLUSIONS This study demonstrates in vitro generation of implantable complete living heart valves based on a biomimetic flow culture system. These autologous tissue-engineered valves functioned up to 5 months and resembled normal heart valves in microstructure, mechanical properties, and extracellular matrix formation.", "author" : [ { "dropping-particle" : "", "family" : "Hoerstrup", "given" : "S P", "non-dropping-particle" : "", "parse-names" : false, "suffix" : "" }, { "dropping-particle" : "", "family" : "Sodian", "given" : "R", "non-dropping-particle" : "", "parse-names" : false, "suffix" : "" }, { "dropping-particle" : "", "family" : "Daebritz", "given" : "S", "non-dropping-particle" : "", "parse-names" : false, "suffix" : "" }, { "dropping-particle" : "", "family" : "Wang", "given" : "J", "non-dropping-particle" : "", "parse-names" : false, "suffix" : "" }, { "dropping-particle" : "", "family" : "Bacha", "given" : "E A", "non-dropping-particle" : "", "parse-names" : false, "suffix" : "" }, { "dropping-particle" : "", "family" : "Martin", "given" : "D P", "non-dropping-particle" : "", "parse-names" : false, "suffix" : "" }, { "dropping-particle" : "", "family" : "Moran", "given" : "A M", "non-dropping-particle" : "", "parse-names" : false, "suffix" : "" }, { "dropping-particle" : "", "family" : "Guleserian", "given" : "K J", "non-dropping-particle" : "", "parse-names" : false, "suffix" : "" }, { "dropping-particle" : "", "family" : "Sperling", "given" : "J S", "non-dropping-particle" : "", "parse-names" : false, "suffix" : "" }, { "dropping-particle" : "", "family" : "Kaushal", "given" : "S", "non-dropping-particle" : "", "parse-names" : false, "suffix" : "" }, { "dropping-particle" : "", "family" : "Vacanti", "given" : "J P", "non-dropping-particle" : "", "parse-names" : false, "suffix" : "" }, { "dropping-particle" : "", "family" : "Schoen", "given" : "F J", "non-dropping-particle" : "", "parse-names" : false, "suffix" : "" }, { "dropping-particle" : "", "family" : "Mayer", "given" : "J E", "non-dropping-particle" : "", "parse-names" : false, "suffix" : "" } ], "container-title" : "Circulation", "id" : "ITEM-1", "issue" : "19 Suppl 3", "issued" : { "date-parts" : [ [ "2000", "11" ] ] }, "page" : "III44-9", "title" : "Functional living trileaflet heart valves grown in vitro.", "type" : "article-journal", "volume" : "102" }, "uris" : [ "http://www.mendeley.com/documents/?uuid=23d13807-d434-3c64-83f4-66edb9a03daa", "http://www.mendeley.com/documents/?uuid=5e4bd902-a430-4999-95ed-df3ff9064437" ] } ], "mendeley" : { "formattedCitation" : "&lt;sup&gt;164&lt;/sup&gt;", "plainTextFormattedCitation" : "164", "previouslyFormattedCitation" : "&lt;sup&gt;163&lt;/sup&gt;"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164</w:t>
      </w:r>
      <w:r w:rsidRPr="00610A40">
        <w:rPr>
          <w:rFonts w:eastAsia="SimSun"/>
          <w:color w:val="auto"/>
          <w:szCs w:val="24"/>
          <w:lang w:eastAsia="zh-CN"/>
        </w:rPr>
        <w:fldChar w:fldCharType="end"/>
      </w:r>
      <w:r w:rsidRPr="00610A40">
        <w:rPr>
          <w:rFonts w:eastAsia="SimSun"/>
          <w:color w:val="auto"/>
          <w:szCs w:val="24"/>
          <w:lang w:eastAsia="zh-CN"/>
        </w:rPr>
        <w:t xml:space="preserve">. The tensile strength of porcine aortic heart valve was measured to be 1.4 ± 0.2 </w:t>
      </w:r>
      <w:proofErr w:type="spellStart"/>
      <w:r w:rsidRPr="00610A40">
        <w:rPr>
          <w:rFonts w:eastAsia="SimSun"/>
          <w:color w:val="auto"/>
          <w:szCs w:val="24"/>
          <w:lang w:eastAsia="zh-CN"/>
        </w:rPr>
        <w:t>MPa</w:t>
      </w:r>
      <w:proofErr w:type="spellEnd"/>
      <w:r w:rsidRPr="00610A40">
        <w:rPr>
          <w:rFonts w:eastAsia="SimSun"/>
          <w:color w:val="auto"/>
          <w:szCs w:val="24"/>
          <w:lang w:eastAsia="zh-CN"/>
        </w:rPr>
        <w:t xml:space="preserve"> (radial) and 8.3 ± 0.9 </w:t>
      </w:r>
      <w:proofErr w:type="spellStart"/>
      <w:r w:rsidRPr="00610A40">
        <w:rPr>
          <w:rFonts w:eastAsia="SimSun"/>
          <w:color w:val="auto"/>
          <w:szCs w:val="24"/>
          <w:lang w:eastAsia="zh-CN"/>
        </w:rPr>
        <w:t>MPa</w:t>
      </w:r>
      <w:proofErr w:type="spellEnd"/>
      <w:r w:rsidRPr="00610A40">
        <w:rPr>
          <w:rFonts w:eastAsia="SimSun"/>
          <w:color w:val="auto"/>
          <w:szCs w:val="24"/>
          <w:lang w:eastAsia="zh-CN"/>
        </w:rPr>
        <w:t xml:space="preserve"> (circumferential), with a modulus of 6.4 ± 0.9 </w:t>
      </w:r>
      <w:proofErr w:type="spellStart"/>
      <w:r w:rsidRPr="00610A40">
        <w:rPr>
          <w:rFonts w:eastAsia="SimSun"/>
          <w:color w:val="auto"/>
          <w:szCs w:val="24"/>
          <w:lang w:eastAsia="zh-CN"/>
        </w:rPr>
        <w:t>MPa</w:t>
      </w:r>
      <w:proofErr w:type="spellEnd"/>
      <w:r w:rsidRPr="00610A40">
        <w:rPr>
          <w:rFonts w:eastAsia="SimSun"/>
          <w:color w:val="auto"/>
          <w:szCs w:val="24"/>
          <w:lang w:eastAsia="zh-CN"/>
        </w:rPr>
        <w:t xml:space="preserve"> (radial) and 44.7 ± 5.3 </w:t>
      </w:r>
      <w:proofErr w:type="spellStart"/>
      <w:r w:rsidRPr="00610A40">
        <w:rPr>
          <w:rFonts w:eastAsia="SimSun"/>
          <w:color w:val="auto"/>
          <w:szCs w:val="24"/>
          <w:lang w:eastAsia="zh-CN"/>
        </w:rPr>
        <w:t>MPa</w:t>
      </w:r>
      <w:proofErr w:type="spellEnd"/>
      <w:r w:rsidRPr="00610A40">
        <w:rPr>
          <w:rFonts w:eastAsia="SimSun"/>
          <w:color w:val="auto"/>
          <w:szCs w:val="24"/>
          <w:lang w:eastAsia="zh-CN"/>
        </w:rPr>
        <w:t xml:space="preserve"> (circumferential). Its elongation at break was measured as 134.8 ± 27.7 in the radial direction and 48.7 ± 7.3 in the circumferential direction</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"ISSN" : "0142-9612", "PMID" : "10509186", "abstract" : "The study investigates the mechanical properties of porcine aortic valve leaflets fixed with a naturally occurring crosslinking agent, genipin, at distinct pressure heads. Fresh and the glutaraldehyde-fixed counterparts were used as controls. Subsequent to fixation, the changes in leaflet collagen crimps and its surface morphology were investigated by light microscopy and scanning electron microscopy (SEM). Also, the crosslinking characteristics of each studied group were determined by measuring its fixation index and denaturation temperature. In the mechanical testing, tissue strips made from each studied group were examined in both the circumferential and radial directions. Histological and SEM comparisons between fresh porcine aortic valve leaflet and those fixed at medium or high pressure revealed that the following changes may occur: elimination of the natural collagen crimping, and extensive loss of the endothelial layer. The denaturation temperatures of the glutaraldehyde-fixed leaflets were significantly greater than the genipin-fixed leaflets; however, their fixation indices were comparable. Generally, fixation pressure did not affect the crosslinking characteristics of the genipin- and glutaraldehyde-fixed leaflets. It was found that fixation of porcine aortic valves in genipin or glutaraldehyde did not alter the mechanical anisotropy observed in fresh valve leaflets. This indicated that the intramolecular and intermolecular crosslinks introduced into the collagen fibrils during fixation is of secondary importance to the presence of structural and mechanical anisotropy in fresh leaflet. Tissue fixation in genipin or glutaraldehyde may produce distinct crosslinking structures. However, the difference in crosslinking structure between the genipin- and glutaraldehyde-fixed leaflets did not seem to cause any significant discrepancies in their mechanical properties when compared at the same fixation pressure. Nevertheless, regardless of the crosslinking agent used, changes in mechanical properties and ruptured patterns were observed when the valve leaflets were fixed at distinct pressures.", "author" : [ { "dropping-particle" : "", "family" : "Sung", "given" : "H W", "non-dropping-particle" : "", "parse-names" : false, "suffix" : "" }, { "dropping-particle" : "", "family" : "Chang", "given" : "Y", "non-dropping-particle" : "", "parse-names" : false, "suffix" : "" }, { "dropping-particle" : "", "family" : "Chiu", "given" : "C T", "non-dropping-particle" : "", "parse-names" : false, "suffix" : "" }, { "dropping-particle" : "", "family" : "Chen", "given" : "C N", "non-dropping-particle" : "", "parse-names" : false, "suffix" : "" }, { "dropping-particle" : "", "family" : "Liang", "given" : "H C", "non-dropping-particle" : "", "parse-names" : false, "suffix" : "" } ], "container-title" : "Biomaterials", "id" : "ITEM-1", "issue" : "19", "issued" : { "date-parts" : [ [ "1999", "10" ] ] }, "page" : "1759-72", "title" : "Mechanical properties of a porcine aortic valve fixed with a naturally occurring crosslinking agent.", "type" : "article-journal", "volume" : "20" }, "uris" : [ "http://www.mendeley.com/documents/?uuid=1d54928a-59c9-3a37-98bc-c457d5ba5781", "http://www.mendeley.com/documents/?uuid=e082a8d8-51db-4b5f-8df6-64e2720153d8" ] } ], "mendeley" : { "formattedCitation" : "&lt;sup&gt;165&lt;/sup&gt;", "plainTextFormattedCitation" : "165", "previouslyFormattedCitation" : "&lt;sup&gt;164&lt;/sup&gt;"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165</w:t>
      </w:r>
      <w:r w:rsidRPr="00610A40">
        <w:rPr>
          <w:rFonts w:eastAsia="SimSun"/>
          <w:color w:val="auto"/>
          <w:szCs w:val="24"/>
          <w:lang w:eastAsia="zh-CN"/>
        </w:rPr>
        <w:fldChar w:fldCharType="end"/>
      </w:r>
      <w:r w:rsidRPr="00610A40">
        <w:rPr>
          <w:rFonts w:eastAsia="SimSun"/>
          <w:color w:val="auto"/>
          <w:szCs w:val="24"/>
          <w:lang w:eastAsia="zh-CN"/>
        </w:rPr>
        <w:t xml:space="preserve">. These mechanical requirements make elastic polyesters very suitable candidates for the construction of artificial heart valves. </w:t>
      </w:r>
    </w:p>
    <w:p w14:paraId="24B0BF4A" w14:textId="3E8DD613" w:rsidR="00354DF6" w:rsidRPr="00610A40" w:rsidRDefault="00354DF6" w:rsidP="00086775">
      <w:pPr>
        <w:rPr>
          <w:rFonts w:eastAsia="SimSun"/>
          <w:color w:val="auto"/>
          <w:szCs w:val="24"/>
          <w:lang w:eastAsia="zh-CN"/>
        </w:rPr>
      </w:pPr>
      <w:r w:rsidRPr="00610A40">
        <w:rPr>
          <w:rFonts w:eastAsia="SimSun"/>
          <w:color w:val="auto"/>
          <w:szCs w:val="24"/>
          <w:lang w:eastAsia="zh-CN"/>
        </w:rPr>
        <w:t xml:space="preserve">To date, many elastic polyesters had been used to either coat these </w:t>
      </w:r>
      <w:proofErr w:type="spellStart"/>
      <w:r w:rsidRPr="00610A40">
        <w:rPr>
          <w:rFonts w:eastAsia="SimSun"/>
          <w:color w:val="auto"/>
          <w:szCs w:val="24"/>
          <w:lang w:eastAsia="zh-CN"/>
        </w:rPr>
        <w:t>decellularized</w:t>
      </w:r>
      <w:proofErr w:type="spellEnd"/>
      <w:r w:rsidRPr="00610A40">
        <w:rPr>
          <w:rFonts w:eastAsia="SimSun"/>
          <w:color w:val="auto"/>
          <w:szCs w:val="24"/>
          <w:lang w:eastAsia="zh-CN"/>
        </w:rPr>
        <w:t xml:space="preserve"> grafts</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"ISSN" : "1524-4539", "PMID" : "11082361", "abstract" : "BACKGROUND Previous tissue engineering approaches to create heart valves have been limited by the structural immaturity and mechanical properties of the valve constructs. This study used an in vitro pulse duplicator system to provide a biomimetic environment during tissue formation to yield more mature implantable heart valves derived from autologous tissue. METHODS AND RESULTS Trileaflet heart valves were fabricated from novel bioabsorbable polymers and sequentially seeded with autologous ovine myofibroblasts and endothelial cells. The constructs were grown for 14 days in a pulse duplicator in vitro system under gradually increasing flow and pressure conditions. By use of cardiopulmonary bypass, the native pulmonary leaflets were resected, and the valve constructs were implanted into 6 lambs (weight 19+/-2.8 kg). All animals had uneventful postoperative courses, and the valves were explanted at 1 day and at 4, 6, 8, 16, and 20 weeks. Echocardiography demonstrated mobile functioning leaflets without stenosis, thrombus, or aneurysm up to 20 weeks. Histology (16 and 20 weeks) showed uniform layered cuspal tissue with endothelium. Environmental scanning electron microscopy revealed a confluent smooth valvular surface. Mechanical properties were comparable to those of native tissue at 20 weeks. Complete degradation of the polymers occurred by 8 weeks. Extracellular matrix content (collagen, glycosaminoglycans, and elastin) and DNA content increased to levels of native tissue and higher at 20 weeks. CONCLUSIONS This study demonstrates in vitro generation of implantable complete living heart valves based on a biomimetic flow culture system. These autologous tissue-engineered valves functioned up to 5 months and resembled normal heart valves in microstructure, mechanical properties, and extracellular matrix formation.", "author" : [ { "dropping-particle" : "", "family" : "Hoerstrup", "given" : "S P", "non-dropping-particle" : "", "parse-names" : false, "suffix" : "" }, { "dropping-particle" : "", "family" : "Sodian", "given" : "R", "non-dropping-particle" : "", "parse-names" : false, "suffix" : "" }, { "dropping-particle" : "", "family" : "Daebritz", "given" : "S", "non-dropping-particle" : "", "parse-names" : false, "suffix" : "" }, { "dropping-particle" : "", "family" : "Wang", "given" : "J", "non-dropping-particle" : "", "parse-names" : false, "suffix" : "" }, { "dropping-particle" : "", "family" : "Bacha", "given" : "E A", "non-dropping-particle" : "", "parse-names" : false, "suffix" : "" }, { "dropping-particle" : "", "family" : "Martin", "given" : "D P", "non-dropping-particle" : "", "parse-names" : false, "suffix" : "" }, { "dropping-particle" : "", "family" : "Moran", "given" : "A M", "non-dropping-particle" : "", "parse-names" : false, "suffix" : "" }, { "dropping-particle" : "", "family" : "Guleserian", "given" : "K J", "non-dropping-particle" : "", "parse-names" : false, "suffix" : "" }, { "dropping-particle" : "", "family" : "Sperling", "given" : "J S", "non-dropping-particle" : "", "parse-names" : false, "suffix" : "" }, { "dropping-particle" : "", "family" : "Kaushal", "given" : "S", "non-dropping-particle" : "", "parse-names" : false, "suffix" : "" }, { "dropping-particle" : "", "family" : "Vacanti", "given" : "J P", "non-dropping-particle" : "", "parse-names" : false, "suffix" : "" }, { "dropping-particle" : "", "family" : "Schoen", "given" : "F J", "non-dropping-particle" : "", "parse-names" : false, "suffix" : "" }, { "dropping-particle" : "", "family" : "Mayer", "given" : "J E", "non-dropping-particle" : "", "parse-names" : false, "suffix" : "" } ], "container-title" : "Circulation", "id" : "ITEM-1", "issue" : "19 Suppl 3", "issued" : { "date-parts" : [ [ "2000", "11" ] ] }, "page" : "III44-9", "title" : "Functional living trileaflet heart valves grown in vitro.", "type" : "article-journal", "volume" : "102" }, "uris" : [ "http://www.mendeley.com/documents/?uuid=5e4bd902-a430-4999-95ed-df3ff9064437", "http://www.mendeley.com/documents/?uuid=23d13807-d434-3c64-83f4-66edb9a03daa" ] } ], "mendeley" : { "formattedCitation" : "&lt;sup&gt;164&lt;/sup&gt;", "plainTextFormattedCitation" : "164", "previouslyFormattedCitation" : "&lt;sup&gt;163&lt;/sup&gt;"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164</w:t>
      </w:r>
      <w:r w:rsidRPr="00610A40">
        <w:rPr>
          <w:rFonts w:eastAsia="SimSun"/>
          <w:color w:val="auto"/>
          <w:szCs w:val="24"/>
          <w:lang w:eastAsia="zh-CN"/>
        </w:rPr>
        <w:fldChar w:fldCharType="end"/>
      </w:r>
      <w:r w:rsidRPr="00610A40">
        <w:rPr>
          <w:rFonts w:eastAsia="SimSun"/>
          <w:color w:val="auto"/>
          <w:szCs w:val="24"/>
          <w:lang w:eastAsia="zh-CN"/>
        </w:rPr>
        <w:t xml:space="preserve"> or fabricate synthetic cardiac valves</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"ISSN" : "1058-2916", "PMID" : "10667727", "abstract" : "A crucial factor in tissue engineering of heart valves is the type of scaffold material. In the following study, we tested three different biodegradable scaffold materials, polyglycolic acid (PGA), polyhydroxyalkanoate (PHA), and poly-4-hydroxybutyrate (P4HB), as scaffolds for tissue engineering of heart valves. We modified PHA and P4HB by a salt leaching technique to create a porous matrix. We constructed trileaflet heart valve scaffolds from each polymer and tested them in a pulsatile flow bioreactor. In addition, we evaluated the cell attachment to our polymers by creating four tubes of each material (length equals 4 cm; inner diameter, 0.5 cm), seeding each sample with 8,000,000 ovine vascular cells, and incubating the cell-polymer construct for 8 days (37 degrees C and 5% CO2). The seeded vascular constructs were exposed to continuous flow for 1 hour. Analysis of samples included DNA assay before and after flow exposure, 4-hydroxyproline assay, and environmental scanning electron microscopy (ESEM). We fabricated trileaflet heart valve scaffolds from porous PHA and porous P4HB, which opened and closed synchronously in a pulsatile bioreactor. It was not possible to create a functional trileaflet heart valve scaffold from PGA. After seeding and incubating the PGA-, PHA-, and P4HB-tubes, there were significantly (p &lt; 0.001) more cells on PGA compared with PHA and P4HB. There were no significant differences among the materials after flow exposure, but there was a significantly higher collagen content (p &lt; 0.017) on the PGA samples compared with P4HB and PHA. Cell attachment and collagen content was significantly higher on PGA samples compared with PHA and P4HB. However, PHA and P4HB also demonstrate a considerable amount of cell attachment and collagen development and share the major advantage that both materials are thermoplastic, making it possible to mold them into the shape of a functional scaffold for tissue engineering of heart valves.", "author" : [ { "dropping-particle" : "", "family" : "Sodian", "given" : "R", "non-dropping-particle" : "", "parse-names" : false, "suffix" : "" }, { "dropping-particle" : "", "family" : "Hoerstrup", "given" : "S P", "non-dropping-particle" : "", "parse-names" : false, "suffix" : "" }, { "dropping-particle" : "", "family" : "Sperling", "given" : "J S", "non-dropping-particle" : "", "parse-names" : false, "suffix" : "" }, { "dropping-particle" : "", "family" : "Martin", "given" : "D P", "non-dropping-particle" : "", "parse-names" : false, "suffix" : "" }, { "dropping-particle" : "", "family" : "Daebritz", "given" : "S", "non-dropping-particle" : "", "parse-names" : false, "suffix" : "" }, { "dropping-particle" : "", "family" : "Mayer", "given" : "J E", "non-dropping-particle" : "", "parse-names" : false, "suffix" : "" }, { "dropping-particle" : "", "family" : "Vacanti", "given" : "J P", "non-dropping-particle" : "", "parse-names" : false, "suffix" : "" } ], "container-title" : "ASAIO journal (American Society for Artificial Internal Organs)", "id" : "ITEM-1", "issue" : "1", "issued" : { "date-parts" : [ [ "1992" ] ] }, "page" : "107-10", "title" : "Evaluation of biodegradable, three-dimensional matrices for tissue engineering of heart valves.", "type" : "article-journal", "volume" : "46" }, "uris" : [ "http://www.mendeley.com/documents/?uuid=a798a339-8b85-3566-b35a-7a599077db79", "http://www.mendeley.com/documents/?uuid=8c2676a6-e4e4-4ea4-af87-e46dd7737709" ] }, { "id" : "ITEM-2", "itemData" : { "DOI" : "10.1089/107632700320793", "ISSN" : "1076-3279", "PMID" : "10941212", "abstract" : "Previously, we reported the implantation of a single tissue engineered leaflet in the posterior position of the pulmonary valve in a lamb model. The major problems with this leaflet replacement were the scaffold's inherent stiffness, thickness, and nonpliability. We have now created a scaffold for a trileaflet heart valve using a thermoplastic polyester. In this experiment, we show the suitability of this material in the production of a biodegradable, biocompatible scaffold for tissue engineered heart valves. A heart valve scaffold was constructed from a thermoplastic elastomer. The elastomer belongs to a class of biodegradable, biocompatible polyesters known as polyhydroxyalkanoates (PHAs) and is produced by fermentation (Metabolix Inc., Cambridge, MA). It was modified by a salt leaching technique to create a porous, three-dimensional structure, suitable for tissue engineering. The trileaflet heart valve scaffold consisted of a cylindrical stent (1 mm X 15 mm X 20 mm I.D.) containing three valve leaflets. The leaflets were formed from a single piece of PHA (0.3 mm thick), and were attached to the outside of the stent by thermal processing techniques, which required no suturing. After fabrication, the heart valve construct was allowed to crystallize (4 degrees C for 24 h), and salt particles were leached into doubly distilled water over a period of 5 days to yield pore sizes ranging from 80 to 200 microns. Ten heart valve scaffolds were fabricated and seeded with vascular cells from an ovine carotid artery. After 4 days of incubation, the constructs were examined by scanning electron microscopy. The heart valve scaffold was tested in a pulsatile flow bioreactor and it was noted that the leaflets opened and closed. Cells attached to the polymer and formed a confluent layer after incubation. One advantage of this material is the ability to mold a complete trileaflet heart valve scaffold without the need for suturing leaflets to the conduit. Second advantage is the use of only one polymer material (PHA) as opposed to hybridized polymer scaffolds. Furthermore, the mechanical properties of PHA, such as elasticity and mechanical strength, exceed those of the previously utilized material. This experiment shows that PHAs can be used to fabricate a three-dimensional, biodegradable heart valve scaffold.", "author" : [ { "dropping-particle" : "", "family" : "Sodian", "given" : "Ralf", "non-dropping-particle" : "", "parse-names" : false, "suffix" : "" }, { "dropping-particle" : "", "family" : "Sperling", "given" : "Jason S.", "non-dropping-particle" : "", "parse-names" : false, "suffix" : "" }, { "dropping-particle" : "", "family" : "Martin", "given" : "David P.", "non-dropping-particle" : "", "parse-names" : false, "suffix" : "" }, { "dropping-particle" : "", "family" : "Egozy", "given" : "Ana", "non-dropping-particle" : "", "parse-names" : false, "suffix" : "" }, { "dropping-particle" : "", "family" : "Stock", "given" : "Ulrich", "non-dropping-particle" : "", "parse-names" : false, "suffix" : "" }, { "dropping-particle" : "", "family" : "Mayer", "given" : "John E.", "non-dropping-particle" : "", "parse-names" : false, "suffix" : "" }, { "dropping-particle" : "", "family" : "Vacanti", "given" : "Joseph P.", "non-dropping-particle" : "", "parse-names" : false, "suffix" : "" } ], "container-title" : "Tissue Engineering", "id" : "ITEM-2", "issue" : "2", "issued" : { "date-parts" : [ [ "2000", "4" ] ] }, "page" : "183-188", "title" : "Technical Report: Fabrication of a Trileaflet Heart Valve Scaffold from a Polyhydroxyalkanoate Biopolyester for Use in Tissue Engineering", "type" : "article-journal", "volume" : "6" }, "uris" : [ "http://www.mendeley.com/documents/?uuid=af069248-c0e2-3700-8057-a0dec6f8ec3a", "http://www.mendeley.com/documents/?uuid=cd2a429a-b149-46ea-a583-c41aa1fe7087" ] }, { "id" : "ITEM-3", "itemData" : { "ISSN" : "1524-4539", "PMID" : "11082357", "abstract" : "BACKGROUND Tissue engineering is a new approach in which techniques are being developed to transplant autologous cells onto biodegradable scaffolds to ultimately form new functional autologous tissue. Workers at our laboratory have focused on tissue engineering of heart valves. The present study was designed to evaluate the implantation of a whole trileaflet tissue-engineered heart valve in the pulmonary position in a lamb model. METHODS AND RESULTS We constructed a biodegradable and biocompatible trileaflet heart valve scaffold that was fabricated from a porous polyhydroxyalkanoate (pore size 180 to 240 microm; Tepha Inc). Vascular cells were harvested from ovine carotid arteries, expanded in vitro, and seeded onto our heart valve scaffold. With the use of cardiopulmonary bypass, the native pulmonary leaflets were resected, and 2-cm segments of pulmonary artery were replaced by autologous cell-seeded heart valve constructs (n=4). One animal received an acellular valved conduit. No animal received any anticoagulation therapy. Animals were killed at 1, 5, 13, and 17 weeks. Explanted valves were examined histologically with scanning electron microscopy, biochemically, and biomechanically. All animals survived the procedure. The valves showed minimal regurgitation, and valve gradients were &lt;20 mm Hg on echocardiography. The maximum gradient was 10 mm Hg with direct pressures. Macroscopically, the tissue-engineered constructs were covered with tissue, and there was no thrombus formation on any of the specimens. Scanning electron microscopy showed smooth flow surfaces during the follow-up period. Histological examination demonstrated laminated fibrous tissue with predominant glycosaminoglycans as extracellular matrix. 4-Hydroxyproline assays demonstrated an increase in collagen content as a percentage of native pulmonary artery (1 week 45.8%, 17 weeks 116%). DNA assays showed a comparable number of cells in all explanted samples. There was no tissue formation in the acellular control. CONCLUSIONS Tissue-engineered heart valve scaffolds fabricated from polyhydroxyalkanoates can be used for implantation in the pulmonary position with an appropriate function for 120 days in lambs.", "author" : [ { "dropping-particle" : "", "family" : "Sodian", "given" : "R", "non-dropping-particle" : "", "parse-names" : false, "suffix" : "" }, { "dropping-particle" : "", "family" : "Hoerstrup", "given" : "S P", "non-dropping-particle" : "", "parse-names" : false, "suffix" : "" }, { "dropping-particle" : "", "family" : "Sperling", "given" : "J S", "non-dropping-particle" : "", "parse-names" : false, "suffix" : "" }, { "dropping-particle" : "", "family" : "Daebritz", "given" : "S", "non-dropping-particle" : "", "parse-names" : false, "suffix" : "" }, { "dropping-particle" : "", "family" : "Martin", "given" : "D P", "non-dropping-particle" : "", "parse-names" : false, "suffix" : "" }, { "dropping-particle" : "", "family" : "Moran", "given" : "A M", "non-dropping-particle" : "", "parse-names" : false, "suffix" : "" }, { "dropping-particle" : "", "family" : "Kim", "given" : "B S", "non-dropping-particle" : "", "parse-names" : false, "suffix" : "" }, { "dropping-particle" : "", "family" : "Schoen", "given" : "F J", "non-dropping-particle" : "", "parse-names" : false, "suffix" : "" }, { "dropping-particle" : "", "family" : "Vacanti", "given" : "J P", "non-dropping-particle" : "", "parse-names" : false, "suffix" : "" }, { "dropping-particle" : "", "family" : "Mayer", "given" : "J E", "non-dropping-particle" : "", "parse-names" : false, "suffix" : "" } ], "container-title" : "Circulation", "id" : "ITEM-3", "issue" : "19 Suppl 3", "issued" : { "date-parts" : [ [ "2000", "11" ] ] }, "page" : "III22-9", "title" : "Early in vivo experience with tissue-engineered trileaflet heart valves.", "type" : "article-journal", "volume" : "102" }, "uris" : [ "http://www.mendeley.com/documents/?uuid=b7d0d9af-4fdc-3445-bcad-c26b4e022265", "http://www.mendeley.com/documents/?uuid=1e92007d-7521-4f67-aa62-c67156aefc79" ] }, { "id" : "ITEM-4", "itemData" : { "ISSN" : "1524-4539", "PMID" : "11082361", "abstract" : "BACKGROUND Previous tissue engineering approaches to create heart valves have been limited by the structural immaturity and mechanical properties of the valve constructs. This study used an in vitro pulse duplicator system to provide a biomimetic environment during tissue formation to yield more mature implantable heart valves derived from autologous tissue. METHODS AND RESULTS Trileaflet heart valves were fabricated from novel bioabsorbable polymers and sequentially seeded with autologous ovine myofibroblasts and endothelial cells. The constructs were grown for 14 days in a pulse duplicator in vitro system under gradually increasing flow and pressure conditions. By use of cardiopulmonary bypass, the native pulmonary leaflets were resected, and the valve constructs were implanted into 6 lambs (weight 19+/-2.8 kg). All animals had uneventful postoperative courses, and the valves were explanted at 1 day and at 4, 6, 8, 16, and 20 weeks. Echocardiography demonstrated mobile functioning leaflets without stenosis, thrombus, or aneurysm up to 20 weeks. Histology (16 and 20 weeks) showed uniform layered cuspal tissue with endothelium. Environmental scanning electron microscopy revealed a confluent smooth valvular surface. Mechanical properties were comparable to those of native tissue at 20 weeks. Complete degradation of the polymers occurred by 8 weeks. Extracellular matrix content (collagen, glycosaminoglycans, and elastin) and DNA content increased to levels of native tissue and higher at 20 weeks. CONCLUSIONS This study demonstrates in vitro generation of implantable complete living heart valves based on a biomimetic flow culture system. These autologous tissue-engineered valves functioned up to 5 months and resembled normal heart valves in microstructure, mechanical properties, and extracellular matrix formation.", "author" : [ { "dropping-particle" : "", "family" : "Hoerstrup", "given" : "S P", "non-dropping-particle" : "", "parse-names" : false, "suffix" : "" }, { "dropping-particle" : "", "family" : "Sodian", "given" : "R", "non-dropping-particle" : "", "parse-names" : false, "suffix" : "" }, { "dropping-particle" : "", "family" : "Daebritz", "given" : "S", "non-dropping-particle" : "", "parse-names" : false, "suffix" : "" }, { "dropping-particle" : "", "family" : "Wang", "given" : "J", "non-dropping-particle" : "", "parse-names" : false, "suffix" : "" }, { "dropping-particle" : "", "family" : "Bacha", "given" : "E A", "non-dropping-particle" : "", "parse-names" : false, "suffix" : "" }, { "dropping-particle" : "", "family" : "Martin", "given" : "D P", "non-dropping-particle" : "", "parse-names" : false, "suffix" : "" }, { "dropping-particle" : "", "family" : "Moran", "given" : "A M", "non-dropping-particle" : "", "parse-names" : false, "suffix" : "" }, { "dropping-particle" : "", "family" : "Guleserian", "given" : "K J", "non-dropping-particle" : "", "parse-names" : false, "suffix" : "" }, { "dropping-particle" : "", "family" : "Sperling", "given" : "J S", "non-dropping-particle" : "", "parse-names" : false, "suffix" : "" }, { "dropping-particle" : "", "family" : "Kaushal", "given" : "S", "non-dropping-particle" : "", "parse-names" : false, "suffix" : "" }, { "dropping-particle" : "", "family" : "Vacanti", "given" : "J P", "non-dropping-particle" : "", "parse-names" : false, "suffix" : "" }, { "dropping-particle" : "", "family" : "Schoen", "given" : "F J", "non-dropping-particle" : "", "parse-names" : false, "suffix" : "" }, { "dropping-particle" : "", "family" : "Mayer", "given" : "J E", "non-dropping-particle" : "", "parse-names" : false, "suffix" : "" } ], "container-title" : "Circulation", "id" : "ITEM-4", "issue" : "19 Suppl 3", "issued" : { "date-parts" : [ [ "2000", "11" ] ] }, "page" : "III44-9", "title" : "Functional living trileaflet heart valves grown in vitro.", "type" : "article-journal", "volume" : "102" }, "uris" : [ "http://www.mendeley.com/documents/?uuid=5e4bd902-a430-4999-95ed-df3ff9064437", "http://www.mendeley.com/documents/?uuid=23d13807-d434-3c64-83f4-66edb9a03daa" ] } ], "mendeley" : { "formattedCitation" : "&lt;sup&gt;98,164,166,167&lt;/sup&gt;", "plainTextFormattedCitation" : "98,164,166,167", "previouslyFormattedCitation" : "&lt;sup&gt;97,163,165,166&lt;/sup&gt;"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98,164,166,167</w:t>
      </w:r>
      <w:r w:rsidRPr="00610A40">
        <w:rPr>
          <w:rFonts w:eastAsia="SimSun"/>
          <w:color w:val="auto"/>
          <w:szCs w:val="24"/>
          <w:lang w:eastAsia="zh-CN"/>
        </w:rPr>
        <w:fldChar w:fldCharType="end"/>
      </w:r>
      <w:r w:rsidRPr="00610A40">
        <w:rPr>
          <w:rFonts w:eastAsia="SimSun"/>
          <w:color w:val="auto"/>
          <w:szCs w:val="24"/>
          <w:lang w:eastAsia="zh-CN"/>
        </w:rPr>
        <w:t xml:space="preserve">. </w:t>
      </w:r>
      <w:proofErr w:type="spellStart"/>
      <w:r w:rsidRPr="00610A40">
        <w:rPr>
          <w:rFonts w:eastAsia="SimSun"/>
          <w:color w:val="auto"/>
          <w:szCs w:val="24"/>
          <w:lang w:eastAsia="zh-CN"/>
        </w:rPr>
        <w:t>Polyhydroxyalkanoates</w:t>
      </w:r>
      <w:proofErr w:type="spellEnd"/>
      <w:r w:rsidRPr="00610A40">
        <w:rPr>
          <w:rFonts w:eastAsia="SimSun"/>
          <w:color w:val="auto"/>
          <w:szCs w:val="24"/>
          <w:lang w:eastAsia="zh-CN"/>
        </w:rPr>
        <w:t xml:space="preserve"> (PHAs) are frequently used in valve tissue engineering. Historically, PGA and P3HO-co-3HH were the first two choices of artificial valve materials. However PGA has insufficient mechanical properties and degrades too quickly, and P3HO-co-3HH too slowly</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"DOI" : "10.1016/j.progpolymsci.2012.05.003", "ISSN" : "00796700",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"Progress in Polymer Science", "id" : "ITEM-1", "issue" : "3-4", "issued" : { "date-parts" : [ [ "2013" ] ] }, "page" : "584-671", "publisher" : "Elsevier Ltd", "title" : "Elastomeric Biomaterials for Tissue Engineering", "type" : "article-journal", "volume" : "38" }, "uris" : [ "http://www.mendeley.com/documents/?uuid=2652891f-87cb-422a-92c4-f901ca24dc96" ] } ], "mendeley" : { "formattedCitation" : "&lt;sup&gt;1&lt;/sup&gt;", "plainTextFormattedCitation" : "1", "previouslyFormattedCitation" : "&lt;sup&gt;1&lt;/sup&gt;" }, "properties" : { "noteIndex" : 0 }, "schema" : "https://github.com/citation-style-language/schema/raw/master/csl-citation.json" }</w:instrText>
      </w:r>
      <w:r w:rsidRPr="00610A40">
        <w:rPr>
          <w:rFonts w:eastAsia="SimSun"/>
          <w:color w:val="auto"/>
          <w:szCs w:val="24"/>
          <w:lang w:eastAsia="zh-CN"/>
        </w:rPr>
        <w:fldChar w:fldCharType="separate"/>
      </w:r>
      <w:r w:rsidR="00EA6768" w:rsidRPr="00610A40">
        <w:rPr>
          <w:rFonts w:eastAsia="SimSun"/>
          <w:noProof/>
          <w:color w:val="auto"/>
          <w:szCs w:val="24"/>
          <w:vertAlign w:val="superscript"/>
          <w:lang w:eastAsia="zh-CN"/>
        </w:rPr>
        <w:t>1</w:t>
      </w:r>
      <w:r w:rsidRPr="00610A40">
        <w:rPr>
          <w:rFonts w:eastAsia="SimSun"/>
          <w:color w:val="auto"/>
          <w:szCs w:val="24"/>
          <w:lang w:eastAsia="zh-CN"/>
        </w:rPr>
        <w:fldChar w:fldCharType="end"/>
      </w:r>
      <w:r w:rsidRPr="00610A40">
        <w:rPr>
          <w:rFonts w:eastAsia="SimSun"/>
          <w:color w:val="auto"/>
          <w:szCs w:val="24"/>
          <w:lang w:eastAsia="zh-CN"/>
        </w:rPr>
        <w:t xml:space="preserve">. P4HB had been subsequently introduced as an alternative material for valve tissue engineering. </w:t>
      </w:r>
    </w:p>
    <w:p w14:paraId="677C7866" w14:textId="6095E894" w:rsidR="00591B37" w:rsidRPr="00610A40" w:rsidRDefault="00354DF6" w:rsidP="00086775">
      <w:pPr>
        <w:rPr>
          <w:rFonts w:eastAsia="SimSun"/>
          <w:color w:val="auto"/>
          <w:szCs w:val="24"/>
          <w:lang w:eastAsia="zh-CN"/>
        </w:rPr>
      </w:pPr>
      <w:r w:rsidRPr="00610A40">
        <w:rPr>
          <w:rFonts w:eastAsia="SimSun"/>
          <w:color w:val="auto"/>
          <w:szCs w:val="24"/>
          <w:lang w:eastAsia="zh-CN"/>
        </w:rPr>
        <w:t xml:space="preserve">P4HBs had been used in various forms. In one example, P4HB (Mw = 1000 </w:t>
      </w:r>
      <w:proofErr w:type="spellStart"/>
      <w:r w:rsidRPr="00610A40">
        <w:rPr>
          <w:rFonts w:eastAsia="SimSun"/>
          <w:color w:val="auto"/>
          <w:szCs w:val="24"/>
          <w:lang w:eastAsia="zh-CN"/>
        </w:rPr>
        <w:t>kDa</w:t>
      </w:r>
      <w:proofErr w:type="spellEnd"/>
      <w:r w:rsidRPr="00610A40">
        <w:rPr>
          <w:rFonts w:eastAsia="SimSun"/>
          <w:color w:val="auto"/>
          <w:szCs w:val="24"/>
          <w:lang w:eastAsia="zh-CN"/>
        </w:rPr>
        <w:t xml:space="preserve">) was coated on PGA by dip coating and subsequently seeded with ovine </w:t>
      </w:r>
      <w:proofErr w:type="spellStart"/>
      <w:r w:rsidRPr="00610A40">
        <w:rPr>
          <w:rFonts w:eastAsia="SimSun"/>
          <w:color w:val="auto"/>
          <w:szCs w:val="24"/>
          <w:lang w:eastAsia="zh-CN"/>
        </w:rPr>
        <w:t>myofibroblasts</w:t>
      </w:r>
      <w:proofErr w:type="spellEnd"/>
      <w:r w:rsidRPr="00610A40">
        <w:rPr>
          <w:rFonts w:eastAsia="SimSun"/>
          <w:color w:val="auto"/>
          <w:szCs w:val="24"/>
          <w:lang w:eastAsia="zh-CN"/>
        </w:rPr>
        <w:t xml:space="preserve"> and endothelial cells</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"ISSN" : "1524-4539", "PMID" : "11082361", "abstract" : "BACKGROUND Previous tissue engineering approaches to create heart valves have been limited by the structural immaturity and mechanical properties of the valve constructs. This study used an in vitro pulse duplicator system to provide a biomimetic environment during tissue formation to yield more mature implantable heart valves derived from autologous tissue. METHODS AND RESULTS Trileaflet heart valves were fabricated from novel bioabsorbable polymers and sequentially seeded with autologous ovine myofibroblasts and endothelial cells. The constructs were grown for 14 days in a pulse duplicator in vitro system under gradually increasing flow and pressure conditions. By use of cardiopulmonary bypass, the native pulmonary leaflets were resected, and the valve constructs were implanted into 6 lambs (weight 19+/-2.8 kg). All animals had uneventful postoperative courses, and the valves were explanted at 1 day and at 4, 6, 8, 16, and 20 weeks. Echocardiography demonstrated mobile functioning leaflets without stenosis, thrombus, or aneurysm up to 20 weeks. Histology (16 and 20 weeks) showed uniform layered cuspal tissue with endothelium. Environmental scanning electron microscopy revealed a confluent smooth valvular surface. Mechanical properties were comparable to those of native tissue at 20 weeks. Complete degradation of the polymers occurred by 8 weeks. Extracellular matrix content (collagen, glycosaminoglycans, and elastin) and DNA content increased to levels of native tissue and higher at 20 weeks. CONCLUSIONS This study demonstrates in vitro generation of implantable complete living heart valves based on a biomimetic flow culture system. These autologous tissue-engineered valves functioned up to 5 months and resembled normal heart valves in microstructure, mechanical properties, and extracellular matrix formation.", "author" : [ { "dropping-particle" : "", "family" : "Hoerstrup", "given" : "S P", "non-dropping-particle" : "", "parse-names" : false, "suffix" : "" }, { "dropping-particle" : "", "family" : "Sodian", "given" : "R", "non-dropping-particle" : "", "parse-names" : false, "suffix" : "" }, { "dropping-particle" : "", "family" : "Daebritz", "given" : "S", "non-dropping-particle" : "", "parse-names" : false, "suffix" : "" }, { "dropping-particle" : "", "family" : "Wang", "given" : "J", "non-dropping-particle" : "", "parse-names" : false, "suffix" : "" }, { "dropping-particle" : "", "family" : "Bacha", "given" : "E A", "non-dropping-particle" : "", "parse-names" : false, "suffix" : "" }, { "dropping-particle" : "", "family" : "Martin", "given" : "D P", "non-dropping-particle" : "", "parse-names" : false, "suffix" : "" }, { "dropping-particle" : "", "family" : "Moran", "given" : "A M", "non-dropping-particle" : "", "parse-names" : false, "suffix" : "" }, { "dropping-particle" : "", "family" : "Guleserian", "given" : "K J", "non-dropping-particle" : "", "parse-names" : false, "suffix" : "" }, { "dropping-particle" : "", "family" : "Sperling", "given" : "J S", "non-dropping-particle" : "", "parse-names" : false, "suffix" : "" }, { "dropping-particle" : "", "family" : "Kaushal", "given" : "S", "non-dropping-particle" : "", "parse-names" : false, "suffix" : "" }, { "dropping-particle" : "", "family" : "Vacanti", "given" : "J P", "non-dropping-particle" : "", "parse-names" : false, "suffix" : "" }, { "dropping-particle" : "", "family" : "Schoen", "given" : "F J", "non-dropping-particle" : "", "parse-names" : false, "suffix" : "" }, { "dropping-particle" : "", "family" : "Mayer", "given" : "J E", "non-dropping-particle" : "", "parse-names" : false, "suffix" : "" } ], "container-title" : "Circulation", "id" : "ITEM-1", "issue" : "19 Suppl 3", "issued" : { "date-parts" : [ [ "2000", "11" ] ] }, "page" : "III44-9", "title" : "Functional living trileaflet heart valves grown in vitro.", "type" : "article-journal", "volume" : "102" }, "uris" : [ "http://www.mendeley.com/documents/?uuid=5e4bd902-a430-4999-95ed-df3ff9064437", "http://www.mendeley.com/documents/?uuid=23d13807-d434-3c64-83f4-66edb9a03daa" ] } ], "mendeley" : { "formattedCitation" : "&lt;sup&gt;164&lt;/sup&gt;", "plainTextFormattedCitation" : "164", "previouslyFormattedCitation" : "&lt;sup&gt;163&lt;/sup&gt;"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164</w:t>
      </w:r>
      <w:r w:rsidRPr="00610A40">
        <w:rPr>
          <w:rFonts w:eastAsia="SimSun"/>
          <w:color w:val="auto"/>
          <w:szCs w:val="24"/>
          <w:lang w:eastAsia="zh-CN"/>
        </w:rPr>
        <w:fldChar w:fldCharType="end"/>
      </w:r>
      <w:r w:rsidRPr="00610A40">
        <w:rPr>
          <w:rFonts w:eastAsia="SimSun"/>
          <w:color w:val="auto"/>
          <w:szCs w:val="24"/>
          <w:lang w:eastAsia="zh-CN"/>
        </w:rPr>
        <w:t>. The graft was implanted into lambs for 1 day, 4, 6, 8, 16 and 20 weeks after culturing in a bioreactor for 14 days. Echocardiography showed mobile functioning valves without the presence of stenosis, thrombus, or aneurysm up to 20 weeks. The scaffold completely degraded by the 8</w:t>
      </w:r>
      <w:r w:rsidRPr="00610A40">
        <w:rPr>
          <w:rFonts w:eastAsia="SimSun"/>
          <w:color w:val="auto"/>
          <w:szCs w:val="24"/>
          <w:vertAlign w:val="superscript"/>
          <w:lang w:eastAsia="zh-CN"/>
        </w:rPr>
        <w:t>th</w:t>
      </w:r>
      <w:r w:rsidRPr="00610A40">
        <w:rPr>
          <w:rFonts w:eastAsia="SimSun"/>
          <w:color w:val="auto"/>
          <w:szCs w:val="24"/>
          <w:lang w:eastAsia="zh-CN"/>
        </w:rPr>
        <w:t xml:space="preserve"> week and by the 16</w:t>
      </w:r>
      <w:r w:rsidRPr="00610A40">
        <w:rPr>
          <w:rFonts w:eastAsia="SimSun"/>
          <w:color w:val="auto"/>
          <w:szCs w:val="24"/>
          <w:vertAlign w:val="superscript"/>
          <w:lang w:eastAsia="zh-CN"/>
        </w:rPr>
        <w:t>th</w:t>
      </w:r>
      <w:r w:rsidRPr="00610A40">
        <w:rPr>
          <w:rFonts w:eastAsia="SimSun"/>
          <w:color w:val="auto"/>
          <w:szCs w:val="24"/>
          <w:lang w:eastAsia="zh-CN"/>
        </w:rPr>
        <w:t xml:space="preserve"> and 20</w:t>
      </w:r>
      <w:r w:rsidRPr="00610A40">
        <w:rPr>
          <w:rFonts w:eastAsia="SimSun"/>
          <w:color w:val="auto"/>
          <w:szCs w:val="24"/>
          <w:vertAlign w:val="superscript"/>
          <w:lang w:eastAsia="zh-CN"/>
        </w:rPr>
        <w:t>th</w:t>
      </w:r>
      <w:r w:rsidRPr="00610A40">
        <w:rPr>
          <w:rFonts w:eastAsia="SimSun"/>
          <w:color w:val="auto"/>
          <w:szCs w:val="24"/>
          <w:lang w:eastAsia="zh-CN"/>
        </w:rPr>
        <w:t xml:space="preserve"> week, histology showed endothelium growth and scanning electron microscopy revealed a smooth </w:t>
      </w:r>
      <w:proofErr w:type="spellStart"/>
      <w:r w:rsidRPr="00610A40">
        <w:rPr>
          <w:rFonts w:eastAsia="SimSun"/>
          <w:color w:val="auto"/>
          <w:szCs w:val="24"/>
          <w:lang w:eastAsia="zh-CN"/>
        </w:rPr>
        <w:t>valvular</w:t>
      </w:r>
      <w:proofErr w:type="spellEnd"/>
      <w:r w:rsidRPr="00610A40">
        <w:rPr>
          <w:rFonts w:eastAsia="SimSun"/>
          <w:color w:val="auto"/>
          <w:szCs w:val="24"/>
          <w:lang w:eastAsia="zh-CN"/>
        </w:rPr>
        <w:t xml:space="preserve"> surface. </w:t>
      </w:r>
    </w:p>
    <w:p w14:paraId="11A53B25" w14:textId="7702C962" w:rsidR="00354DF6" w:rsidRPr="00610A40" w:rsidRDefault="00354DF6" w:rsidP="00086775">
      <w:pPr>
        <w:rPr>
          <w:rFonts w:eastAsia="SimSun"/>
          <w:color w:val="auto"/>
          <w:szCs w:val="24"/>
          <w:lang w:eastAsia="zh-CN"/>
        </w:rPr>
      </w:pPr>
      <w:r w:rsidRPr="00610A40">
        <w:rPr>
          <w:rFonts w:eastAsia="SimSun"/>
          <w:color w:val="auto"/>
          <w:szCs w:val="24"/>
          <w:lang w:eastAsia="zh-CN"/>
        </w:rPr>
        <w:lastRenderedPageBreak/>
        <w:t xml:space="preserve">In a similar study fabricated from porous </w:t>
      </w:r>
      <w:proofErr w:type="spellStart"/>
      <w:r w:rsidRPr="00610A40">
        <w:rPr>
          <w:rFonts w:eastAsia="SimSun"/>
          <w:color w:val="auto"/>
          <w:szCs w:val="24"/>
          <w:lang w:eastAsia="zh-CN"/>
        </w:rPr>
        <w:t>polyhydroxyoctanoate</w:t>
      </w:r>
      <w:proofErr w:type="spellEnd"/>
      <w:r w:rsidRPr="00610A40">
        <w:rPr>
          <w:rFonts w:eastAsia="SimSun"/>
          <w:color w:val="auto"/>
          <w:szCs w:val="24"/>
          <w:lang w:eastAsia="zh-CN"/>
        </w:rPr>
        <w:t xml:space="preserve"> (PHO) (</w:t>
      </w:r>
      <w:proofErr w:type="spellStart"/>
      <w:r w:rsidRPr="00610A40">
        <w:rPr>
          <w:rFonts w:eastAsia="SimSun"/>
          <w:color w:val="auto"/>
          <w:szCs w:val="24"/>
          <w:lang w:eastAsia="zh-CN"/>
        </w:rPr>
        <w:t>Tepha</w:t>
      </w:r>
      <w:proofErr w:type="spellEnd"/>
      <w:r w:rsidRPr="00610A40">
        <w:rPr>
          <w:rFonts w:eastAsia="SimSun"/>
          <w:color w:val="auto"/>
          <w:szCs w:val="24"/>
          <w:lang w:eastAsia="zh-CN"/>
        </w:rPr>
        <w:t xml:space="preserve"> </w:t>
      </w:r>
      <w:proofErr w:type="spellStart"/>
      <w:r w:rsidRPr="00610A40">
        <w:rPr>
          <w:rFonts w:eastAsia="SimSun"/>
          <w:color w:val="auto"/>
          <w:szCs w:val="24"/>
          <w:lang w:eastAsia="zh-CN"/>
        </w:rPr>
        <w:t>Inc</w:t>
      </w:r>
      <w:proofErr w:type="spellEnd"/>
      <w:r w:rsidRPr="00610A40">
        <w:rPr>
          <w:rFonts w:eastAsia="SimSun"/>
          <w:color w:val="auto"/>
          <w:szCs w:val="24"/>
          <w:lang w:eastAsia="zh-CN"/>
        </w:rPr>
        <w:t>) of pore size 180 to 240 µm demonstrated a similar successful outcome</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"ISSN" : "1524-4539", "PMID" : "11082357", "abstract" : "BACKGROUND Tissue engineering is a new approach in which techniques are being developed to transplant autologous cells onto biodegradable scaffolds to ultimately form new functional autologous tissue. Workers at our laboratory have focused on tissue engineering of heart valves. The present study was designed to evaluate the implantation of a whole trileaflet tissue-engineered heart valve in the pulmonary position in a lamb model. METHODS AND RESULTS We constructed a biodegradable and biocompatible trileaflet heart valve scaffold that was fabricated from a porous polyhydroxyalkanoate (pore size 180 to 240 microm; Tepha Inc). Vascular cells were harvested from ovine carotid arteries, expanded in vitro, and seeded onto our heart valve scaffold. With the use of cardiopulmonary bypass, the native pulmonary leaflets were resected, and 2-cm segments of pulmonary artery were replaced by autologous cell-seeded heart valve constructs (n=4). One animal received an acellular valved conduit. No animal received any anticoagulation therapy. Animals were killed at 1, 5, 13, and 17 weeks. Explanted valves were examined histologically with scanning electron microscopy, biochemically, and biomechanically. All animals survived the procedure. The valves showed minimal regurgitation, and valve gradients were &lt;20 mm Hg on echocardiography. The maximum gradient was 10 mm Hg with direct pressures. Macroscopically, the tissue-engineered constructs were covered with tissue, and there was no thrombus formation on any of the specimens. Scanning electron microscopy showed smooth flow surfaces during the follow-up period. Histological examination demonstrated laminated fibrous tissue with predominant glycosaminoglycans as extracellular matrix. 4-Hydroxyproline assays demonstrated an increase in collagen content as a percentage of native pulmonary artery (1 week 45.8%, 17 weeks 116%). DNA assays showed a comparable number of cells in all explanted samples. There was no tissue formation in the acellular control. CONCLUSIONS Tissue-engineered heart valve scaffolds fabricated from polyhydroxyalkanoates can be used for implantation in the pulmonary position with an appropriate function for 120 days in lambs.", "author" : [ { "dropping-particle" : "", "family" : "Sodian", "given" : "R", "non-dropping-particle" : "", "parse-names" : false, "suffix" : "" }, { "dropping-particle" : "", "family" : "Hoerstrup", "given" : "S P", "non-dropping-particle" : "", "parse-names" : false, "suffix" : "" }, { "dropping-particle" : "", "family" : "Sperling", "given" : "J S", "non-dropping-particle" : "", "parse-names" : false, "suffix" : "" }, { "dropping-particle" : "", "family" : "Daebritz", "given" : "S", "non-dropping-particle" : "", "parse-names" : false, "suffix" : "" }, { "dropping-particle" : "", "family" : "Martin", "given" : "D P", "non-dropping-particle" : "", "parse-names" : false, "suffix" : "" }, { "dropping-particle" : "", "family" : "Moran", "given" : "A M", "non-dropping-particle" : "", "parse-names" : false, "suffix" : "" }, { "dropping-particle" : "", "family" : "Kim", "given" : "B S", "non-dropping-particle" : "", "parse-names" : false, "suffix" : "" }, { "dropping-particle" : "", "family" : "Schoen", "given" : "F J", "non-dropping-particle" : "", "parse-names" : false, "suffix" : "" }, { "dropping-particle" : "", "family" : "Vacanti", "given" : "J P", "non-dropping-particle" : "", "parse-names" : false, "suffix" : "" }, { "dropping-particle" : "", "family" : "Mayer", "given" : "J E", "non-dropping-particle" : "", "parse-names" : false, "suffix" : "" } ], "container-title" : "Circulation", "id" : "ITEM-1", "issue" : "19 Suppl 3", "issued" : { "date-parts" : [ [ "2000", "11" ] ] }, "page" : "III22-9", "title" : "Early in vivo experience with tissue-engineered trileaflet heart valves.", "type" : "article-journal", "volume" : "102" }, "uris" : [ "http://www.mendeley.com/documents/?uuid=1e92007d-7521-4f67-aa62-c67156aefc79", "http://www.mendeley.com/documents/?uuid=b7d0d9af-4fdc-3445-bcad-c26b4e022265" ] } ], "mendeley" : { "formattedCitation" : "&lt;sup&gt;98&lt;/sup&gt;", "plainTextFormattedCitation" : "98", "previouslyFormattedCitation" : "&lt;sup&gt;97&lt;/sup&gt;"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98</w:t>
      </w:r>
      <w:r w:rsidRPr="00610A40">
        <w:rPr>
          <w:rFonts w:eastAsia="SimSun"/>
          <w:color w:val="auto"/>
          <w:szCs w:val="24"/>
          <w:lang w:eastAsia="zh-CN"/>
        </w:rPr>
        <w:fldChar w:fldCharType="end"/>
      </w:r>
      <w:r w:rsidRPr="00610A40">
        <w:rPr>
          <w:rFonts w:eastAsia="SimSun"/>
          <w:color w:val="auto"/>
          <w:szCs w:val="24"/>
          <w:vertAlign w:val="superscript"/>
          <w:lang w:eastAsia="zh-CN"/>
        </w:rPr>
        <w:t>,</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"DOI" : "10.1016/j.progpolymsci.2012.05.003", "ISSN" : "00796700",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"Progress in Polymer Science", "id" : "ITEM-1", "issue" : "3-4", "issued" : { "date-parts" : [ [ "2013" ] ] }, "page" : "584-671", "publisher" : "Elsevier Ltd", "title" : "Elastomeric Biomaterials for Tissue Engineering", "type" : "article-journal", "volume" : "38" }, "uris" : [ "http://www.mendeley.com/documents/?uuid=2652891f-87cb-422a-92c4-f901ca24dc96" ] } ], "mendeley" : { "formattedCitation" : "&lt;sup&gt;1&lt;/sup&gt;", "plainTextFormattedCitation" : "1", "previouslyFormattedCitation" : "&lt;sup&gt;1&lt;/sup&gt;" }, "properties" : { "noteIndex" : 0 }, "schema" : "https://github.com/citation-style-language/schema/raw/master/csl-citation.json" }</w:instrText>
      </w:r>
      <w:r w:rsidRPr="00610A40">
        <w:rPr>
          <w:rFonts w:eastAsia="SimSun"/>
          <w:color w:val="auto"/>
          <w:szCs w:val="24"/>
          <w:lang w:eastAsia="zh-CN"/>
        </w:rPr>
        <w:fldChar w:fldCharType="separate"/>
      </w:r>
      <w:r w:rsidR="00EA6768" w:rsidRPr="00610A40">
        <w:rPr>
          <w:rFonts w:eastAsia="SimSun"/>
          <w:noProof/>
          <w:color w:val="auto"/>
          <w:szCs w:val="24"/>
          <w:vertAlign w:val="superscript"/>
          <w:lang w:eastAsia="zh-CN"/>
        </w:rPr>
        <w:t>1</w:t>
      </w:r>
      <w:r w:rsidRPr="00610A40">
        <w:rPr>
          <w:rFonts w:eastAsia="SimSun"/>
          <w:color w:val="auto"/>
          <w:szCs w:val="24"/>
          <w:lang w:eastAsia="zh-CN"/>
        </w:rPr>
        <w:fldChar w:fldCharType="end"/>
      </w:r>
      <w:r w:rsidRPr="00610A40">
        <w:rPr>
          <w:rFonts w:eastAsia="SimSun"/>
          <w:color w:val="auto"/>
          <w:szCs w:val="24"/>
          <w:lang w:eastAsia="zh-CN"/>
        </w:rPr>
        <w:t>. Ovine carotid arterial cells were seeded onto the heart valve scaffolds before they were implanted into pulmonary arteries of lambs over up to 17 weeks. The scaffolds were covered with tissue with the presence of extracellular matrix and a high content of collagen by the 17</w:t>
      </w:r>
      <w:r w:rsidRPr="00610A40">
        <w:rPr>
          <w:rFonts w:eastAsia="SimSun"/>
          <w:color w:val="auto"/>
          <w:szCs w:val="24"/>
          <w:vertAlign w:val="superscript"/>
          <w:lang w:eastAsia="zh-CN"/>
        </w:rPr>
        <w:t>th</w:t>
      </w:r>
      <w:r w:rsidRPr="00610A40">
        <w:rPr>
          <w:rFonts w:eastAsia="SimSun"/>
          <w:color w:val="auto"/>
          <w:szCs w:val="24"/>
          <w:lang w:eastAsia="zh-CN"/>
        </w:rPr>
        <w:t xml:space="preserve"> week. There was no thrombus formation and minimal valve regurgitation. SEM imaging showed smooth flow surfaces.</w:t>
      </w:r>
      <w:r w:rsidR="00BD4CA7" w:rsidRPr="00610A40">
        <w:rPr>
          <w:rFonts w:eastAsia="SimSun"/>
          <w:color w:val="auto"/>
          <w:szCs w:val="24"/>
          <w:lang w:eastAsia="zh-CN"/>
        </w:rPr>
        <w:t xml:space="preserve"> </w:t>
      </w:r>
      <w:r w:rsidRPr="00610A40">
        <w:rPr>
          <w:rFonts w:eastAsia="SimSun"/>
          <w:color w:val="auto"/>
          <w:szCs w:val="24"/>
          <w:lang w:eastAsia="zh-CN"/>
        </w:rPr>
        <w:t xml:space="preserve">P4HB had also been impregnated in </w:t>
      </w:r>
      <w:proofErr w:type="spellStart"/>
      <w:r w:rsidRPr="00610A40">
        <w:rPr>
          <w:rFonts w:eastAsia="SimSun"/>
          <w:color w:val="auto"/>
          <w:szCs w:val="24"/>
          <w:lang w:eastAsia="zh-CN"/>
        </w:rPr>
        <w:t>decellularized</w:t>
      </w:r>
      <w:proofErr w:type="spellEnd"/>
      <w:r w:rsidRPr="00610A40">
        <w:rPr>
          <w:rFonts w:eastAsia="SimSun"/>
          <w:color w:val="auto"/>
          <w:szCs w:val="24"/>
          <w:lang w:eastAsia="zh-CN"/>
        </w:rPr>
        <w:t xml:space="preserve"> porcine valves</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"DOI" : "10.1016/j.athoracsur.2004.03.106", "ISSN" : "00034975", "author" : [ { "dropping-particle" : "", "family" : "Stamm", "given" : "Christof", "non-dropping-particle" : "", "parse-names" : false, "suffix" : "" }, { "dropping-particle" : "", "family" : "Khosravi", "given" : "Amir", "non-dropping-particle" : "", "parse-names" : false, "suffix" : "" }, { "dropping-particle" : "", "family" : "Grabow", "given" : "Niels", "non-dropping-particle" : "", "parse-names" : false, "suffix" : "" }, { "dropping-particle" : "", "family" : "Schmohl", "given" : "Kathleen", "non-dropping-particle" : "", "parse-names" : false, "suffix" : "" }, { "dropping-particle" : "", "family" : "Treckmann", "given" : "Nadine", "non-dropping-particle" : "", "parse-names" : false, "suffix" : "" }, { "dropping-particle" : "", "family" : "Drechsel", "given" : "Anne", "non-dropping-particle" : "", "parse-names" : false, "suffix" : "" }, { "dropping-particle" : "", "family" : "Nan", "given" : "Ma", "non-dropping-particle" : "", "parse-names" : false, "suffix" : "" }, { "dropping-particle" : "", "family" : "Schmitz", "given" : "Klaus-Peter", "non-dropping-particle" : "", "parse-names" : false, "suffix" : "" }, { "dropping-particle" : "", "family" : "Haubold", "given" : "Axel", "non-dropping-particle" : "", "parse-names" : false, "suffix" : "" }, { "dropping-particle" : "", "family" : "Steinhoff", "given" : "Gustav", "non-dropping-particle" : "", "parse-names" : false, "suffix" : "" } ], "container-title" : "The Annals of Thoracic Surgery", "id" : "ITEM-1", "issue" : "6", "issued" : { "date-parts" : [ [ "2004", "12" ] ] }, "page" : "2084-2093", "title" : "Biomatrix/Polymer Composite Material for Heart Valve Tissue Engineering", "type" : "article-journal", "volume" : "78" }, "uris" : [ "http://www.mendeley.com/documents/?uuid=8885800d-4111-3e14-8a06-86b8e8bd10b8", "http://www.mendeley.com/documents/?uuid=b28bd449-3cfb-4bdb-9a1c-a08339b42c82" ] } ], "mendeley" : { "formattedCitation" : "&lt;sup&gt;168&lt;/sup&gt;", "plainTextFormattedCitation" : "168", "previouslyFormattedCitation" : "&lt;sup&gt;167&lt;/sup&gt;"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168</w:t>
      </w:r>
      <w:r w:rsidRPr="00610A40">
        <w:rPr>
          <w:rFonts w:eastAsia="SimSun"/>
          <w:color w:val="auto"/>
          <w:szCs w:val="24"/>
          <w:lang w:eastAsia="zh-CN"/>
        </w:rPr>
        <w:fldChar w:fldCharType="end"/>
      </w:r>
      <w:r w:rsidRPr="00610A40">
        <w:rPr>
          <w:rFonts w:eastAsia="SimSun"/>
          <w:color w:val="auto"/>
          <w:szCs w:val="24"/>
          <w:lang w:eastAsia="zh-CN"/>
        </w:rPr>
        <w:t xml:space="preserve">. This </w:t>
      </w:r>
      <w:proofErr w:type="spellStart"/>
      <w:r w:rsidRPr="00610A40">
        <w:rPr>
          <w:rFonts w:eastAsia="SimSun"/>
          <w:color w:val="auto"/>
          <w:szCs w:val="24"/>
          <w:lang w:eastAsia="zh-CN"/>
        </w:rPr>
        <w:t>biomatrix</w:t>
      </w:r>
      <w:proofErr w:type="spellEnd"/>
      <w:r w:rsidRPr="00610A40">
        <w:rPr>
          <w:rFonts w:eastAsia="SimSun"/>
          <w:color w:val="auto"/>
          <w:szCs w:val="24"/>
          <w:lang w:eastAsia="zh-CN"/>
        </w:rPr>
        <w:t xml:space="preserve">/polymer composite was </w:t>
      </w:r>
      <w:r w:rsidR="00D5605F" w:rsidRPr="00610A40">
        <w:rPr>
          <w:rFonts w:eastAsia="SimSun"/>
          <w:color w:val="auto"/>
          <w:szCs w:val="24"/>
          <w:lang w:eastAsia="zh-CN"/>
        </w:rPr>
        <w:t>non-cytotoxic</w:t>
      </w:r>
      <w:r w:rsidRPr="00610A40">
        <w:rPr>
          <w:rFonts w:eastAsia="SimSun"/>
          <w:color w:val="auto"/>
          <w:szCs w:val="24"/>
          <w:lang w:eastAsia="zh-CN"/>
        </w:rPr>
        <w:t xml:space="preserve"> and supported the proliferation of human blood vessel cells. It also activated a lower level of cellular and plasmatic coagulation cascades. Complete </w:t>
      </w:r>
      <w:proofErr w:type="spellStart"/>
      <w:r w:rsidRPr="00610A40">
        <w:rPr>
          <w:rFonts w:eastAsia="SimSun"/>
          <w:color w:val="auto"/>
          <w:szCs w:val="24"/>
          <w:lang w:eastAsia="zh-CN"/>
        </w:rPr>
        <w:t>endothelialization</w:t>
      </w:r>
      <w:proofErr w:type="spellEnd"/>
      <w:r w:rsidRPr="00610A40">
        <w:rPr>
          <w:rFonts w:eastAsia="SimSun"/>
          <w:color w:val="auto"/>
          <w:szCs w:val="24"/>
          <w:lang w:eastAsia="zh-CN"/>
        </w:rPr>
        <w:t xml:space="preserve">, mild leukocyte infiltration and reduced calcification were observed in vivo, when implanted in rabbit aorta over 12 weeks. PGS is another promising material for valve tissue engineering as it has an average tensile Young’s modulus of 0.025 </w:t>
      </w:r>
      <w:proofErr w:type="spellStart"/>
      <w:r w:rsidRPr="00610A40">
        <w:rPr>
          <w:rFonts w:eastAsia="SimSun"/>
          <w:color w:val="auto"/>
          <w:szCs w:val="24"/>
          <w:lang w:eastAsia="zh-CN"/>
        </w:rPr>
        <w:t>MPa</w:t>
      </w:r>
      <w:proofErr w:type="spellEnd"/>
      <w:r w:rsidRPr="00610A40">
        <w:rPr>
          <w:rFonts w:eastAsia="SimSun"/>
          <w:color w:val="auto"/>
          <w:szCs w:val="24"/>
          <w:lang w:eastAsia="zh-CN"/>
        </w:rPr>
        <w:t xml:space="preserve"> to 1.2 </w:t>
      </w:r>
      <w:proofErr w:type="spellStart"/>
      <w:r w:rsidRPr="00610A40">
        <w:rPr>
          <w:rFonts w:eastAsia="SimSun"/>
          <w:color w:val="auto"/>
          <w:szCs w:val="24"/>
          <w:lang w:eastAsia="zh-CN"/>
        </w:rPr>
        <w:t>MPa</w:t>
      </w:r>
      <w:proofErr w:type="spellEnd"/>
      <w:r w:rsidRPr="00610A40">
        <w:rPr>
          <w:rFonts w:eastAsia="SimSun"/>
          <w:color w:val="auto"/>
          <w:szCs w:val="24"/>
          <w:lang w:eastAsia="zh-CN"/>
        </w:rPr>
        <w:t xml:space="preserve"> which is in the range for that of a native valve. One research group fabricated tri-layered valve tissue engineering scaffold with </w:t>
      </w:r>
      <w:proofErr w:type="spellStart"/>
      <w:r w:rsidRPr="00610A40">
        <w:rPr>
          <w:rFonts w:eastAsia="SimSun"/>
          <w:color w:val="auto"/>
          <w:szCs w:val="24"/>
          <w:lang w:eastAsia="zh-CN"/>
        </w:rPr>
        <w:t>microfabricated</w:t>
      </w:r>
      <w:proofErr w:type="spellEnd"/>
      <w:r w:rsidRPr="00610A40">
        <w:rPr>
          <w:rFonts w:eastAsia="SimSun"/>
          <w:color w:val="auto"/>
          <w:szCs w:val="24"/>
          <w:lang w:eastAsia="zh-CN"/>
        </w:rPr>
        <w:t xml:space="preserve"> PGS and fibrous PGS/PCL </w:t>
      </w:r>
      <w:proofErr w:type="spellStart"/>
      <w:r w:rsidRPr="00610A40">
        <w:rPr>
          <w:rFonts w:eastAsia="SimSun"/>
          <w:color w:val="auto"/>
          <w:szCs w:val="24"/>
          <w:lang w:eastAsia="zh-CN"/>
        </w:rPr>
        <w:t>electrospun</w:t>
      </w:r>
      <w:proofErr w:type="spellEnd"/>
      <w:r w:rsidRPr="00610A40">
        <w:rPr>
          <w:rFonts w:eastAsia="SimSun"/>
          <w:color w:val="auto"/>
          <w:szCs w:val="24"/>
          <w:lang w:eastAsia="zh-CN"/>
        </w:rPr>
        <w:t xml:space="preserve"> sheets</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"DOI" : "10.1016/j.biomaterials.2014.04.039", "ISBN" : "1878-5905 (Electronic)\\r0142-9612 (Linking)", "ISSN" : "18785905", "PMID" : "24947233", "abstract" : "Tissue engineered heart valves (TEHVs) that can grow and remodel have the potential to serve as permanent replacements of the current non-viable prosthetic valves particularly for pediatric patients. A major challenge in designing functional TEHVs is to mimic both structural and anisotropic mechanical characteristics of the native valve leaflets. To establish a more biomimetic model of TEHV, we fabricated tri-layered scaffolds by combining electrospinning and microfabrication techniques. These constructs were fabricated by assembling microfabricated poly(glycerol sebacate) (PGS) and fibrous PGS/poly(caprolactone) (PCL) electrospun sheets to develop elastic scaffolds with tunable anisotropic mechanical properties similar to the mechanical characteristics of the native heart valves. The engineered scaffolds supported the growth of valvular interstitial cells (VICs) and mesenchymal stem cells (MSCs) within the 3D structure and promoted the deposition of heart valve extracellular matrix (ECM). MSCs were also organized and aligned along the anisotropic axes of the engineered tri-layered scaffolds. In addition, the fabricated constructs opened and closed properly in an exvivo model of porcine heart valve leaflet tissue replacement. The engineered tri-layered scaffolds have the potential for successful translation towards TEHV replacements. \u00a9 2014 Elsevier Ltd.", "author" : [ { "dropping-particle" : "", "family" : "Masoumi", "given" : "Nafiseh", "non-dropping-particle" : "", "parse-names" : false, "suffix" : "" }, { "dropping-particle" : "", "family" : "Annabi", "given" : "Nasim", "non-dropping-particle" : "", "parse-names" : false, "suffix" : "" }, { "dropping-particle" : "", "family" : "Assmann", "given" : "Alexander", "non-dropping-particle" : "", "parse-names" : false, "suffix" : "" }, { "dropping-particle" : "", "family" : "Larson", "given" : "Benjamin L.", "non-dropping-particle" : "", "parse-names" : false, "suffix" : "" }, { "dropping-particle" : "", "family" : "Hjortnaes", "given" : "Jesper", "non-dropping-particle" : "", "parse-names" : false, "suffix" : "" }, { "dropping-particle" : "", "family" : "Alemdar", "given" : "Neslihan", "non-dropping-particle" : "", "parse-names" : false, "suffix" : "" }, { "dropping-particle" : "", "family" : "Kharaziha", "given" : "Mahshid", "non-dropping-particle" : "", "parse-names" : false, "suffix" : "" }, { "dropping-particle" : "", "family" : "Manning", "given" : "Keefe B.", "non-dropping-particle" : "", "parse-names" : false, "suffix" : "" }, { "dropping-particle" : "", "family" : "Mayer", "given" : "John E.", "non-dropping-particle" : "", "parse-names" : false, "suffix" : "" }, { "dropping-particle" : "", "family" : "Khademhosseini", "given" : "Ali", "non-dropping-particle" : "", "parse-names" : false, "suffix" : "" } ], "container-title" : "Biomaterials", "id" : "ITEM-1", "issue" : "27", "issued" : { "date-parts" : [ [ "2014" ] ] }, "page" : "7774-7785", "title" : "Tri-layered elastomeric scaffolds for engineering heart valve leaflets", "type" : "article-journal", "volume" : "35" }, "uris" : [ "http://www.mendeley.com/documents/?uuid=2e3376db-cebc-4f78-9351-c432a9b56675", "http://www.mendeley.com/documents/?uuid=2a164661-9ef3-4ec6-a813-bb8b229b3e31" ] } ], "mendeley" : { "formattedCitation" : "&lt;sup&gt;169&lt;/sup&gt;", "plainTextFormattedCitation" : "169", "previouslyFormattedCitation" : "&lt;sup&gt;168&lt;/sup&gt;"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169</w:t>
      </w:r>
      <w:r w:rsidRPr="00610A40">
        <w:rPr>
          <w:rFonts w:eastAsia="SimSun"/>
          <w:color w:val="auto"/>
          <w:szCs w:val="24"/>
          <w:lang w:eastAsia="zh-CN"/>
        </w:rPr>
        <w:fldChar w:fldCharType="end"/>
      </w:r>
      <w:r w:rsidRPr="00610A40">
        <w:rPr>
          <w:rFonts w:eastAsia="SimSun"/>
          <w:color w:val="auto"/>
          <w:szCs w:val="24"/>
          <w:lang w:eastAsia="zh-CN"/>
        </w:rPr>
        <w:t xml:space="preserve">. The tri-layered structure was chosen to mimic the tissue layers in a native leaflet of cardiac valves: the </w:t>
      </w:r>
      <w:proofErr w:type="spellStart"/>
      <w:r w:rsidRPr="00610A40">
        <w:rPr>
          <w:rFonts w:eastAsia="SimSun"/>
          <w:i/>
          <w:color w:val="auto"/>
          <w:szCs w:val="24"/>
          <w:lang w:eastAsia="zh-CN"/>
        </w:rPr>
        <w:t>zona</w:t>
      </w:r>
      <w:proofErr w:type="spellEnd"/>
      <w:r w:rsidRPr="00610A40">
        <w:rPr>
          <w:rFonts w:eastAsia="SimSun"/>
          <w:i/>
          <w:color w:val="auto"/>
          <w:szCs w:val="24"/>
          <w:lang w:eastAsia="zh-CN"/>
        </w:rPr>
        <w:t xml:space="preserve"> </w:t>
      </w:r>
      <w:proofErr w:type="spellStart"/>
      <w:r w:rsidRPr="00610A40">
        <w:rPr>
          <w:rFonts w:eastAsia="SimSun"/>
          <w:i/>
          <w:color w:val="auto"/>
          <w:szCs w:val="24"/>
          <w:lang w:eastAsia="zh-CN"/>
        </w:rPr>
        <w:t>fibrosa</w:t>
      </w:r>
      <w:proofErr w:type="spellEnd"/>
      <w:r w:rsidRPr="00610A40">
        <w:rPr>
          <w:rFonts w:eastAsia="SimSun"/>
          <w:color w:val="auto"/>
          <w:szCs w:val="24"/>
          <w:lang w:eastAsia="zh-CN"/>
        </w:rPr>
        <w:t xml:space="preserve">, the </w:t>
      </w:r>
      <w:proofErr w:type="spellStart"/>
      <w:r w:rsidRPr="00610A40">
        <w:rPr>
          <w:rFonts w:eastAsia="SimSun"/>
          <w:i/>
          <w:color w:val="auto"/>
          <w:szCs w:val="24"/>
          <w:lang w:eastAsia="zh-CN"/>
        </w:rPr>
        <w:t>zona</w:t>
      </w:r>
      <w:proofErr w:type="spellEnd"/>
      <w:r w:rsidRPr="00610A40">
        <w:rPr>
          <w:rFonts w:eastAsia="SimSun"/>
          <w:i/>
          <w:color w:val="auto"/>
          <w:szCs w:val="24"/>
          <w:lang w:eastAsia="zh-CN"/>
        </w:rPr>
        <w:t xml:space="preserve"> </w:t>
      </w:r>
      <w:proofErr w:type="spellStart"/>
      <w:r w:rsidRPr="00610A40">
        <w:rPr>
          <w:rFonts w:eastAsia="SimSun"/>
          <w:i/>
          <w:color w:val="auto"/>
          <w:szCs w:val="24"/>
          <w:lang w:eastAsia="zh-CN"/>
        </w:rPr>
        <w:t>spongiosa</w:t>
      </w:r>
      <w:proofErr w:type="spellEnd"/>
      <w:r w:rsidRPr="00610A40">
        <w:rPr>
          <w:rFonts w:eastAsia="SimSun"/>
          <w:color w:val="auto"/>
          <w:szCs w:val="24"/>
          <w:lang w:eastAsia="zh-CN"/>
        </w:rPr>
        <w:t xml:space="preserve"> and the </w:t>
      </w:r>
      <w:proofErr w:type="spellStart"/>
      <w:r w:rsidRPr="00610A40">
        <w:rPr>
          <w:rFonts w:eastAsia="SimSun"/>
          <w:i/>
          <w:color w:val="auto"/>
          <w:szCs w:val="24"/>
          <w:lang w:eastAsia="zh-CN"/>
        </w:rPr>
        <w:t>zona</w:t>
      </w:r>
      <w:proofErr w:type="spellEnd"/>
      <w:r w:rsidRPr="00610A40">
        <w:rPr>
          <w:rFonts w:eastAsia="SimSun"/>
          <w:i/>
          <w:color w:val="auto"/>
          <w:szCs w:val="24"/>
          <w:lang w:eastAsia="zh-CN"/>
        </w:rPr>
        <w:t xml:space="preserve"> </w:t>
      </w:r>
      <w:proofErr w:type="spellStart"/>
      <w:r w:rsidRPr="00610A40">
        <w:rPr>
          <w:rFonts w:eastAsia="SimSun"/>
          <w:i/>
          <w:color w:val="auto"/>
          <w:szCs w:val="24"/>
          <w:lang w:eastAsia="zh-CN"/>
        </w:rPr>
        <w:t>ventricularis</w:t>
      </w:r>
      <w:proofErr w:type="spellEnd"/>
      <w:r w:rsidRPr="00610A40">
        <w:rPr>
          <w:rFonts w:eastAsia="SimSun"/>
          <w:color w:val="auto"/>
          <w:szCs w:val="24"/>
          <w:lang w:eastAsia="zh-CN"/>
        </w:rPr>
        <w:t>. The PGS layer was made into a sheet with diamond patterns (having long x short axis dimensions of approximately 260 x 150 µm</w:t>
      </w:r>
      <w:r w:rsidRPr="00610A40">
        <w:rPr>
          <w:rFonts w:eastAsia="SimSun"/>
          <w:color w:val="auto"/>
          <w:szCs w:val="24"/>
          <w:lang w:eastAsia="zh-CN"/>
        </w:rPr>
        <w:fldChar w:fldCharType="begin" w:fldLock="1"/>
      </w:r>
      <w:r w:rsidR="00565E2A" w:rsidRPr="00610A40">
        <w:rPr>
          <w:rFonts w:eastAsia="SimSun"/>
          <w:color w:val="auto"/>
          <w:szCs w:val="24"/>
          <w:lang w:eastAsia="zh-CN"/>
        </w:rPr>
        <w:instrText>ADDIN CSL_CITATION { "citationItems" : [ { "id" : "ITEM-1", "itemData" : { "DOI" : "10.1016/j.actbio.2013.01.001", "ISSN" : "17427061", "author" : [ { "dropping-particle" : "", "family" : "Masoumi", "given" : "Nafiseh", "non-dropping-particle" : "", "parse-names" : false, "suffix" : "" }, { "dropping-particle" : "", "family" : "Johnson", "given" : "Katherine L.", "non-dropping-particle" : "", "parse-names" : false, "suffix" : "" }, { "dropping-particle" : "", "family" : "Howell", "given" : "M. Christian", "non-dropping-particle" : "", "parse-names" : false, "suffix" : "" }, { "dropping-particle" : "", "family" : "Engelmayr", "given" : "George C.", "non-dropping-particle" : "", "parse-names" : false, "suffix" : "" } ], "container-title" : "Acta Biomaterialia", "id" : "ITEM-1", "issue" : "4", "issued" : { "date-parts" : [ [ "2013", "4" ] ] }, "page" : "5974-5988", "title" : "Valvular interstitial cell seeded poly(glycerol sebacate) scaffolds: Toward a biomimetic in vitro model for heart valve tissue engineering", "type" : "article-journal", "volume" : "9" }, "uris" : [ "http://www.mendeley.com/documents/?uuid=af8141ed-af22-4e03-b5e6-cd4683a4c7f4", "http://www.mendeley.com/documents/?uuid=47e9ae3f-121a-35ca-ae9d-8032bd5d9e33" ] } ], "mendeley" : { "formattedCitation" : "&lt;sup&gt;170&lt;/sup&gt;", "plainTextFormattedCitation" : "170", "previouslyFormattedCitation" : "&lt;sup&gt;169&lt;/sup&gt;" }, "properties" : { "noteIndex" : 0 }, "schema" : "https://github.com/citation-style-language/schema/raw/master/csl-citation.json" }</w:instrText>
      </w:r>
      <w:r w:rsidRPr="00610A40">
        <w:rPr>
          <w:rFonts w:eastAsia="SimSun"/>
          <w:color w:val="auto"/>
          <w:szCs w:val="24"/>
          <w:lang w:eastAsia="zh-CN"/>
        </w:rPr>
        <w:fldChar w:fldCharType="separate"/>
      </w:r>
      <w:r w:rsidR="00565E2A" w:rsidRPr="00610A40">
        <w:rPr>
          <w:rFonts w:eastAsia="SimSun"/>
          <w:noProof/>
          <w:color w:val="auto"/>
          <w:szCs w:val="24"/>
          <w:vertAlign w:val="superscript"/>
          <w:lang w:eastAsia="zh-CN"/>
        </w:rPr>
        <w:t>170</w:t>
      </w:r>
      <w:r w:rsidRPr="00610A40">
        <w:rPr>
          <w:rFonts w:eastAsia="SimSun"/>
          <w:color w:val="auto"/>
          <w:szCs w:val="24"/>
          <w:lang w:eastAsia="zh-CN"/>
        </w:rPr>
        <w:fldChar w:fldCharType="end"/>
      </w:r>
      <w:r w:rsidRPr="00610A40">
        <w:rPr>
          <w:rFonts w:eastAsia="SimSun"/>
          <w:color w:val="auto"/>
          <w:szCs w:val="24"/>
          <w:lang w:eastAsia="zh-CN"/>
        </w:rPr>
        <w:t xml:space="preserve">) via the </w:t>
      </w:r>
      <w:proofErr w:type="spellStart"/>
      <w:r w:rsidRPr="00610A40">
        <w:rPr>
          <w:rFonts w:eastAsia="SimSun"/>
          <w:color w:val="auto"/>
          <w:szCs w:val="24"/>
          <w:lang w:eastAsia="zh-CN"/>
        </w:rPr>
        <w:t>micromolding</w:t>
      </w:r>
      <w:proofErr w:type="spellEnd"/>
      <w:r w:rsidRPr="00610A40">
        <w:rPr>
          <w:rFonts w:eastAsia="SimSun"/>
          <w:color w:val="auto"/>
          <w:szCs w:val="24"/>
          <w:lang w:eastAsia="zh-CN"/>
        </w:rPr>
        <w:t xml:space="preserve"> technique and the PGS/PCL mixture was </w:t>
      </w:r>
      <w:proofErr w:type="spellStart"/>
      <w:r w:rsidRPr="00610A40">
        <w:rPr>
          <w:rFonts w:eastAsia="SimSun"/>
          <w:color w:val="auto"/>
          <w:szCs w:val="24"/>
          <w:lang w:eastAsia="zh-CN"/>
        </w:rPr>
        <w:t>electrospun</w:t>
      </w:r>
      <w:proofErr w:type="spellEnd"/>
      <w:r w:rsidRPr="00610A40">
        <w:rPr>
          <w:rFonts w:eastAsia="SimSun"/>
          <w:color w:val="auto"/>
          <w:szCs w:val="24"/>
          <w:lang w:eastAsia="zh-CN"/>
        </w:rPr>
        <w:t xml:space="preserve"> via the directional electrospinning technique (</w:t>
      </w:r>
      <w:r w:rsidR="00944C77" w:rsidRPr="00610A40">
        <w:rPr>
          <w:rFonts w:eastAsia="SimSun"/>
          <w:color w:val="auto"/>
          <w:szCs w:val="24"/>
          <w:lang w:eastAsia="zh-CN"/>
        </w:rPr>
        <w:fldChar w:fldCharType="begin"/>
      </w:r>
      <w:r w:rsidR="00944C77" w:rsidRPr="00610A40">
        <w:rPr>
          <w:rFonts w:eastAsia="SimSun"/>
          <w:color w:val="auto"/>
          <w:szCs w:val="24"/>
          <w:lang w:eastAsia="zh-CN"/>
        </w:rPr>
        <w:instrText xml:space="preserve"> REF _Ref489036560 \h </w:instrText>
      </w:r>
      <w:r w:rsidR="00004924" w:rsidRPr="00610A40">
        <w:rPr>
          <w:rFonts w:eastAsia="SimSun"/>
          <w:color w:val="auto"/>
          <w:szCs w:val="24"/>
          <w:lang w:eastAsia="zh-CN"/>
        </w:rPr>
        <w:instrText xml:space="preserve"> \* MERGEFORMAT </w:instrText>
      </w:r>
      <w:r w:rsidR="00944C77" w:rsidRPr="00610A40">
        <w:rPr>
          <w:rFonts w:eastAsia="SimSun"/>
          <w:color w:val="auto"/>
          <w:szCs w:val="24"/>
          <w:lang w:eastAsia="zh-CN"/>
        </w:rPr>
      </w:r>
      <w:r w:rsidR="00944C77" w:rsidRPr="00610A40">
        <w:rPr>
          <w:rFonts w:eastAsia="SimSun"/>
          <w:color w:val="auto"/>
          <w:szCs w:val="24"/>
          <w:lang w:eastAsia="zh-CN"/>
        </w:rPr>
        <w:fldChar w:fldCharType="separate"/>
      </w:r>
      <w:r w:rsidR="002B2E41" w:rsidRPr="00610A40">
        <w:rPr>
          <w:rFonts w:eastAsia="SimSun"/>
          <w:color w:val="auto"/>
          <w:szCs w:val="24"/>
          <w:lang w:eastAsia="zh-CN"/>
        </w:rPr>
        <w:t xml:space="preserve">Figure </w:t>
      </w:r>
      <w:r w:rsidR="002B2E41" w:rsidRPr="00610A40">
        <w:rPr>
          <w:rFonts w:eastAsia="SimSun"/>
          <w:noProof/>
          <w:color w:val="auto"/>
          <w:szCs w:val="24"/>
          <w:lang w:eastAsia="zh-CN"/>
        </w:rPr>
        <w:t>11</w:t>
      </w:r>
      <w:r w:rsidR="00944C77" w:rsidRPr="00610A40">
        <w:rPr>
          <w:rFonts w:eastAsia="SimSun"/>
          <w:color w:val="auto"/>
          <w:szCs w:val="24"/>
          <w:lang w:eastAsia="zh-CN"/>
        </w:rPr>
        <w:fldChar w:fldCharType="end"/>
      </w:r>
      <w:r w:rsidRPr="00610A40">
        <w:rPr>
          <w:rFonts w:eastAsia="SimSun"/>
          <w:color w:val="auto"/>
          <w:szCs w:val="24"/>
          <w:lang w:eastAsia="zh-CN"/>
        </w:rPr>
        <w:t xml:space="preserve">). </w:t>
      </w:r>
    </w:p>
    <w:p w14:paraId="0ADAB411" w14:textId="77777777" w:rsidR="00354DF6" w:rsidRPr="00610A40" w:rsidRDefault="00354DF6" w:rsidP="00086775">
      <w:pPr>
        <w:rPr>
          <w:rFonts w:eastAsia="SimSun"/>
          <w:color w:val="auto"/>
          <w:szCs w:val="24"/>
          <w:lang w:eastAsia="zh-CN"/>
        </w:rPr>
      </w:pPr>
      <w:r w:rsidRPr="00610A40">
        <w:rPr>
          <w:rFonts w:eastAsia="SimSun"/>
          <w:noProof/>
          <w:color w:val="auto"/>
          <w:szCs w:val="24"/>
        </w:rPr>
        <w:lastRenderedPageBreak/>
        <w:drawing>
          <wp:inline distT="0" distB="0" distL="0" distR="0" wp14:anchorId="16729252" wp14:editId="44641367">
            <wp:extent cx="5731510" cy="385260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852605"/>
                    </a:xfrm>
                    <a:prstGeom prst="rect">
                      <a:avLst/>
                    </a:prstGeom>
                    <a:noFill/>
                    <a:ln>
                      <a:noFill/>
                    </a:ln>
                  </pic:spPr>
                </pic:pic>
              </a:graphicData>
            </a:graphic>
          </wp:inline>
        </w:drawing>
      </w:r>
    </w:p>
    <w:p w14:paraId="033A9771" w14:textId="78290F8E" w:rsidR="00354DF6" w:rsidRPr="00610A40" w:rsidRDefault="00354DF6" w:rsidP="00086775">
      <w:pPr>
        <w:pStyle w:val="Caption"/>
        <w:rPr>
          <w:rFonts w:eastAsia="SimSun"/>
          <w:sz w:val="24"/>
          <w:szCs w:val="24"/>
          <w:lang w:eastAsia="zh-CN"/>
        </w:rPr>
      </w:pPr>
      <w:bookmarkStart w:id="14" w:name="_Ref489036560"/>
      <w:r w:rsidRPr="00610A40">
        <w:rPr>
          <w:rFonts w:eastAsia="SimSun"/>
          <w:sz w:val="24"/>
          <w:szCs w:val="24"/>
          <w:lang w:eastAsia="zh-CN"/>
        </w:rPr>
        <w:t xml:space="preserve">Figure </w:t>
      </w:r>
      <w:r w:rsidRPr="00610A40">
        <w:rPr>
          <w:rFonts w:eastAsia="SimSun"/>
          <w:sz w:val="24"/>
          <w:szCs w:val="24"/>
          <w:lang w:eastAsia="zh-CN"/>
        </w:rPr>
        <w:fldChar w:fldCharType="begin"/>
      </w:r>
      <w:r w:rsidRPr="00610A40">
        <w:rPr>
          <w:rFonts w:eastAsia="SimSun"/>
          <w:sz w:val="24"/>
          <w:szCs w:val="24"/>
          <w:lang w:eastAsia="zh-CN"/>
        </w:rPr>
        <w:instrText xml:space="preserve"> SEQ Figure \* ARABIC </w:instrText>
      </w:r>
      <w:r w:rsidRPr="00610A40">
        <w:rPr>
          <w:rFonts w:eastAsia="SimSun"/>
          <w:sz w:val="24"/>
          <w:szCs w:val="24"/>
          <w:lang w:eastAsia="zh-CN"/>
        </w:rPr>
        <w:fldChar w:fldCharType="separate"/>
      </w:r>
      <w:r w:rsidR="002B2E41" w:rsidRPr="00610A40">
        <w:rPr>
          <w:rFonts w:eastAsia="SimSun"/>
          <w:noProof/>
          <w:sz w:val="24"/>
          <w:szCs w:val="24"/>
          <w:lang w:eastAsia="zh-CN"/>
        </w:rPr>
        <w:t>11</w:t>
      </w:r>
      <w:r w:rsidRPr="00610A40">
        <w:rPr>
          <w:rFonts w:eastAsia="SimSun"/>
          <w:sz w:val="24"/>
          <w:szCs w:val="24"/>
          <w:lang w:eastAsia="zh-CN"/>
        </w:rPr>
        <w:fldChar w:fldCharType="end"/>
      </w:r>
      <w:bookmarkEnd w:id="14"/>
      <w:r w:rsidRPr="00610A40">
        <w:rPr>
          <w:rFonts w:eastAsia="SimSun"/>
          <w:sz w:val="24"/>
          <w:szCs w:val="24"/>
          <w:lang w:eastAsia="zh-CN"/>
        </w:rPr>
        <w:t xml:space="preserve"> A. PGS layer was fabricated by </w:t>
      </w:r>
      <w:proofErr w:type="spellStart"/>
      <w:r w:rsidRPr="00610A40">
        <w:rPr>
          <w:rFonts w:eastAsia="SimSun"/>
          <w:sz w:val="24"/>
          <w:szCs w:val="24"/>
          <w:lang w:eastAsia="zh-CN"/>
        </w:rPr>
        <w:t>micromolding</w:t>
      </w:r>
      <w:proofErr w:type="spellEnd"/>
      <w:r w:rsidRPr="00610A40">
        <w:rPr>
          <w:rFonts w:eastAsia="SimSun"/>
          <w:sz w:val="24"/>
          <w:szCs w:val="24"/>
          <w:lang w:eastAsia="zh-CN"/>
        </w:rPr>
        <w:t xml:space="preserve"> PGS solution in a ceramic mold, cured at 160˚C for 8 hours before being delaminated. B. </w:t>
      </w:r>
      <w:proofErr w:type="gramStart"/>
      <w:r w:rsidRPr="00610A40">
        <w:rPr>
          <w:rFonts w:eastAsia="SimSun"/>
          <w:sz w:val="24"/>
          <w:szCs w:val="24"/>
          <w:lang w:eastAsia="zh-CN"/>
        </w:rPr>
        <w:t>The</w:t>
      </w:r>
      <w:proofErr w:type="gramEnd"/>
      <w:r w:rsidRPr="00610A40">
        <w:rPr>
          <w:rFonts w:eastAsia="SimSun"/>
          <w:sz w:val="24"/>
          <w:szCs w:val="24"/>
          <w:lang w:eastAsia="zh-CN"/>
        </w:rPr>
        <w:t xml:space="preserve"> PGS sheet was placed between two grounded electrodes and the PGS/PCL fibers were </w:t>
      </w:r>
      <w:proofErr w:type="spellStart"/>
      <w:r w:rsidRPr="00610A40">
        <w:rPr>
          <w:rFonts w:eastAsia="SimSun"/>
          <w:sz w:val="24"/>
          <w:szCs w:val="24"/>
          <w:lang w:eastAsia="zh-CN"/>
        </w:rPr>
        <w:t>electrospun</w:t>
      </w:r>
      <w:proofErr w:type="spellEnd"/>
      <w:r w:rsidRPr="00610A40">
        <w:rPr>
          <w:rFonts w:eastAsia="SimSun"/>
          <w:sz w:val="24"/>
          <w:szCs w:val="24"/>
          <w:lang w:eastAsia="zh-CN"/>
        </w:rPr>
        <w:t xml:space="preserve"> on both sides of the PGS sheet. C. The final tri-layered structure of the valve scaffold resembles that of the native valve leaflet with 3 layers: </w:t>
      </w:r>
      <w:proofErr w:type="spellStart"/>
      <w:r w:rsidRPr="00610A40">
        <w:rPr>
          <w:rFonts w:eastAsia="SimSun"/>
          <w:sz w:val="24"/>
          <w:szCs w:val="24"/>
          <w:lang w:eastAsia="zh-CN"/>
        </w:rPr>
        <w:t>zona</w:t>
      </w:r>
      <w:proofErr w:type="spellEnd"/>
      <w:r w:rsidRPr="00610A40">
        <w:rPr>
          <w:rFonts w:eastAsia="SimSun"/>
          <w:sz w:val="24"/>
          <w:szCs w:val="24"/>
          <w:lang w:eastAsia="zh-CN"/>
        </w:rPr>
        <w:t xml:space="preserve"> </w:t>
      </w:r>
      <w:proofErr w:type="spellStart"/>
      <w:r w:rsidRPr="00610A40">
        <w:rPr>
          <w:rFonts w:eastAsia="SimSun"/>
          <w:sz w:val="24"/>
          <w:szCs w:val="24"/>
          <w:lang w:eastAsia="zh-CN"/>
        </w:rPr>
        <w:t>fibrosa</w:t>
      </w:r>
      <w:proofErr w:type="spellEnd"/>
      <w:r w:rsidRPr="00610A40">
        <w:rPr>
          <w:rFonts w:eastAsia="SimSun"/>
          <w:sz w:val="24"/>
          <w:szCs w:val="24"/>
          <w:lang w:eastAsia="zh-CN"/>
        </w:rPr>
        <w:t xml:space="preserve">, </w:t>
      </w:r>
      <w:proofErr w:type="spellStart"/>
      <w:r w:rsidRPr="00610A40">
        <w:rPr>
          <w:rFonts w:eastAsia="SimSun"/>
          <w:sz w:val="24"/>
          <w:szCs w:val="24"/>
          <w:lang w:eastAsia="zh-CN"/>
        </w:rPr>
        <w:t>zona</w:t>
      </w:r>
      <w:proofErr w:type="spellEnd"/>
      <w:r w:rsidRPr="00610A40">
        <w:rPr>
          <w:rFonts w:eastAsia="SimSun"/>
          <w:sz w:val="24"/>
          <w:szCs w:val="24"/>
          <w:lang w:eastAsia="zh-CN"/>
        </w:rPr>
        <w:t xml:space="preserve"> </w:t>
      </w:r>
      <w:proofErr w:type="spellStart"/>
      <w:r w:rsidRPr="00610A40">
        <w:rPr>
          <w:rFonts w:eastAsia="SimSun"/>
          <w:sz w:val="24"/>
          <w:szCs w:val="24"/>
          <w:lang w:eastAsia="zh-CN"/>
        </w:rPr>
        <w:t>spongiosa</w:t>
      </w:r>
      <w:proofErr w:type="spellEnd"/>
      <w:r w:rsidRPr="00610A40">
        <w:rPr>
          <w:rFonts w:eastAsia="SimSun"/>
          <w:sz w:val="24"/>
          <w:szCs w:val="24"/>
          <w:lang w:eastAsia="zh-CN"/>
        </w:rPr>
        <w:t xml:space="preserve"> and </w:t>
      </w:r>
      <w:proofErr w:type="spellStart"/>
      <w:r w:rsidRPr="00610A40">
        <w:rPr>
          <w:rFonts w:eastAsia="SimSun"/>
          <w:sz w:val="24"/>
          <w:szCs w:val="24"/>
          <w:lang w:eastAsia="zh-CN"/>
        </w:rPr>
        <w:t>zona</w:t>
      </w:r>
      <w:proofErr w:type="spellEnd"/>
      <w:r w:rsidRPr="00610A40">
        <w:rPr>
          <w:rFonts w:eastAsia="SimSun"/>
          <w:sz w:val="24"/>
          <w:szCs w:val="24"/>
          <w:lang w:eastAsia="zh-CN"/>
        </w:rPr>
        <w:t xml:space="preserve"> </w:t>
      </w:r>
      <w:proofErr w:type="spellStart"/>
      <w:r w:rsidRPr="00610A40">
        <w:rPr>
          <w:rFonts w:eastAsia="SimSun"/>
          <w:sz w:val="24"/>
          <w:szCs w:val="24"/>
          <w:lang w:eastAsia="zh-CN"/>
        </w:rPr>
        <w:t>ventricularis</w:t>
      </w:r>
      <w:proofErr w:type="spellEnd"/>
      <w:r w:rsidRPr="00610A40">
        <w:rPr>
          <w:rFonts w:eastAsia="SimSun"/>
          <w:sz w:val="24"/>
          <w:szCs w:val="24"/>
          <w:lang w:eastAsia="zh-CN"/>
        </w:rPr>
        <w:t xml:space="preserve">. These layers are primarily made of collagen, </w:t>
      </w:r>
      <w:r w:rsidR="00D5605F" w:rsidRPr="00610A40">
        <w:rPr>
          <w:rFonts w:eastAsia="SimSun"/>
          <w:sz w:val="24"/>
          <w:szCs w:val="24"/>
          <w:lang w:eastAsia="zh-CN"/>
        </w:rPr>
        <w:t>proteoglycans</w:t>
      </w:r>
      <w:r w:rsidRPr="00610A40">
        <w:rPr>
          <w:rFonts w:eastAsia="SimSun"/>
          <w:sz w:val="24"/>
          <w:szCs w:val="24"/>
          <w:lang w:eastAsia="zh-CN"/>
        </w:rPr>
        <w:t xml:space="preserve">, </w:t>
      </w:r>
      <w:proofErr w:type="spellStart"/>
      <w:r w:rsidRPr="00610A40">
        <w:rPr>
          <w:rFonts w:eastAsia="SimSun"/>
          <w:sz w:val="24"/>
          <w:szCs w:val="24"/>
          <w:lang w:eastAsia="zh-CN"/>
        </w:rPr>
        <w:t>glycosaminoglycans</w:t>
      </w:r>
      <w:proofErr w:type="spellEnd"/>
      <w:r w:rsidRPr="00610A40">
        <w:rPr>
          <w:rFonts w:eastAsia="SimSun"/>
          <w:sz w:val="24"/>
          <w:szCs w:val="24"/>
          <w:lang w:eastAsia="zh-CN"/>
        </w:rPr>
        <w:t xml:space="preserve"> (GAGs) and elastin. </w:t>
      </w:r>
      <w:r w:rsidR="009A5BC6" w:rsidRPr="00610A40">
        <w:rPr>
          <w:sz w:val="24"/>
          <w:szCs w:val="24"/>
        </w:rPr>
        <w:t xml:space="preserve">Reproduced from ref. </w:t>
      </w:r>
      <w:r w:rsidR="002E6354">
        <w:rPr>
          <w:sz w:val="24"/>
          <w:szCs w:val="24"/>
        </w:rPr>
        <w:t>170</w:t>
      </w:r>
      <w:r w:rsidR="009A5BC6" w:rsidRPr="00610A40">
        <w:rPr>
          <w:sz w:val="24"/>
          <w:szCs w:val="24"/>
        </w:rPr>
        <w:t xml:space="preserve"> with permission from </w:t>
      </w:r>
      <w:r w:rsidR="002E6354">
        <w:rPr>
          <w:sz w:val="24"/>
          <w:szCs w:val="24"/>
        </w:rPr>
        <w:t>Elsevier</w:t>
      </w:r>
      <w:r w:rsidR="009A5BC6" w:rsidRPr="00610A40">
        <w:rPr>
          <w:sz w:val="24"/>
          <w:szCs w:val="24"/>
        </w:rPr>
        <w:t xml:space="preserve">, copyright </w:t>
      </w:r>
      <w:r w:rsidR="009A5BC6">
        <w:rPr>
          <w:sz w:val="24"/>
          <w:szCs w:val="24"/>
        </w:rPr>
        <w:t>20</w:t>
      </w:r>
      <w:r w:rsidR="002E6354">
        <w:rPr>
          <w:sz w:val="24"/>
          <w:szCs w:val="24"/>
        </w:rPr>
        <w:t>13</w:t>
      </w:r>
    </w:p>
    <w:p w14:paraId="126442F1" w14:textId="2E83F151" w:rsidR="00650F42" w:rsidRPr="00610A40" w:rsidRDefault="00354DF6" w:rsidP="00086775">
      <w:pPr>
        <w:rPr>
          <w:rFonts w:cs="Times New Roman"/>
          <w:b/>
          <w:bCs/>
          <w:color w:val="auto"/>
          <w:kern w:val="36"/>
          <w:szCs w:val="24"/>
        </w:rPr>
      </w:pPr>
      <w:r w:rsidRPr="00610A40">
        <w:rPr>
          <w:rFonts w:eastAsia="SimSun"/>
          <w:color w:val="auto"/>
          <w:szCs w:val="24"/>
          <w:lang w:eastAsia="zh-CN"/>
        </w:rPr>
        <w:t xml:space="preserve">In vitro degradation showed that the tri-layered PGS/PCL scaffold had a 46% reduction in its modulus after being incubated over 4 weeks in DMEM at 37˚C. However, with the seeding of sheep mesenchymal stem cells (MSCs), in vitro degradation only resulted in a 6% decrease in modulus after 4 weeks. This was postulated to be due to the progressive production of the extracellular matrix (ECM) by the seeded cells. After culturing of MSC for 4 weeks, the amount of DNA, collagen and glycosaminoglycan (GAG) were also extracted and quantified. There was no significant different between the cultured cells and the native arterial valve (AV) and PV, indicating a healthy proliferation of the MSCs on the tri-layered scaffold. </w:t>
      </w:r>
      <w:proofErr w:type="spellStart"/>
      <w:r w:rsidRPr="00610A40">
        <w:rPr>
          <w:rFonts w:eastAsia="SimSun"/>
          <w:color w:val="auto"/>
          <w:szCs w:val="24"/>
          <w:lang w:eastAsia="zh-CN"/>
        </w:rPr>
        <w:t>Valvular</w:t>
      </w:r>
      <w:proofErr w:type="spellEnd"/>
      <w:r w:rsidRPr="00610A40">
        <w:rPr>
          <w:rFonts w:eastAsia="SimSun"/>
          <w:color w:val="auto"/>
          <w:szCs w:val="24"/>
          <w:lang w:eastAsia="zh-CN"/>
        </w:rPr>
        <w:t xml:space="preserve"> interstitial </w:t>
      </w:r>
      <w:r w:rsidRPr="00610A40">
        <w:rPr>
          <w:rFonts w:eastAsia="SimSun"/>
          <w:color w:val="auto"/>
          <w:szCs w:val="24"/>
          <w:lang w:eastAsia="zh-CN"/>
        </w:rPr>
        <w:lastRenderedPageBreak/>
        <w:t xml:space="preserve">cells (VICs) were also cultured on the tri-layer scaffold over 4 weeks. It demonstrated a similar amount of DNA, collagen, ECM and GAG compared to that seeded with MSCs. One of the greatest challenges in tissue engineering is the formation of thrombus over time. When comparing the tri-layered scaffold to gelatin-coated plates, very few platelet clusters were seen. This indicates that the tri-layered scaffold was not </w:t>
      </w:r>
      <w:proofErr w:type="spellStart"/>
      <w:r w:rsidRPr="00610A40">
        <w:rPr>
          <w:rFonts w:eastAsia="SimSun"/>
          <w:color w:val="auto"/>
          <w:szCs w:val="24"/>
          <w:lang w:eastAsia="zh-CN"/>
        </w:rPr>
        <w:t>thrombogenic</w:t>
      </w:r>
      <w:proofErr w:type="spellEnd"/>
      <w:r w:rsidRPr="00610A40">
        <w:rPr>
          <w:rFonts w:eastAsia="SimSun"/>
          <w:color w:val="auto"/>
          <w:szCs w:val="24"/>
          <w:lang w:eastAsia="zh-CN"/>
        </w:rPr>
        <w:t xml:space="preserve">. An ex vivo test setup was used to test the function of these PGS/PCL tri-layered valves in the PV position of a fresh porcine heart. The system was controlled to oscillate between a pressure of 30 mmHg for pulmonary systole and 10 mmHg for pulmonary diastole. The tri-layered scaffold demonstrated adequate diastolic leaflet </w:t>
      </w:r>
      <w:proofErr w:type="spellStart"/>
      <w:r w:rsidRPr="00610A40">
        <w:rPr>
          <w:rFonts w:eastAsia="SimSun"/>
          <w:color w:val="auto"/>
          <w:szCs w:val="24"/>
          <w:lang w:eastAsia="zh-CN"/>
        </w:rPr>
        <w:t>coaptation</w:t>
      </w:r>
      <w:proofErr w:type="spellEnd"/>
      <w:r w:rsidRPr="00610A40">
        <w:rPr>
          <w:rFonts w:eastAsia="SimSun"/>
          <w:color w:val="auto"/>
          <w:szCs w:val="24"/>
          <w:lang w:eastAsia="zh-CN"/>
        </w:rPr>
        <w:t xml:space="preserve">. </w:t>
      </w:r>
      <w:r w:rsidRPr="00610A40">
        <w:rPr>
          <w:color w:val="auto"/>
          <w:szCs w:val="24"/>
        </w:rPr>
        <w:t>Although natural biological materials (such as collagen, fibrin, gelatin and alginate) had been extensively investigated for myocardial tissue engineering, they have variable physical properties and poor mechanical properties</w:t>
      </w:r>
      <w:r w:rsidRPr="00610A40">
        <w:rPr>
          <w:color w:val="auto"/>
          <w:szCs w:val="24"/>
        </w:rPr>
        <w:fldChar w:fldCharType="begin" w:fldLock="1"/>
      </w:r>
      <w:r w:rsidR="00565E2A" w:rsidRPr="00610A40">
        <w:rPr>
          <w:color w:val="auto"/>
          <w:szCs w:val="24"/>
        </w:rPr>
        <w:instrText>ADDIN CSL_CITATION { "citationItems" : [ { "id" : "ITEM-1", "itemData" : { "DOI" : "10.1016/j.mser.2007.08.001", "ISBN" : "0927-796X", "ISSN" : "0927796X", "PMID" : "15003161", "author" : [ { "dropping-particle" : "", "family" : "Chen", "given" : "Q.Z.", "non-dropping-particle" : "", "parse-names" : false, "suffix" : "" }, { "dropping-particle" : "", "family" : "Harding", "given" : "S.E.", "non-dropping-particle" : "", "parse-names" : false, "suffix" : "" }, { "dropping-particle" : "", "family" : "Ali", "given" : "N.N.", "non-dropping-particle" : "", "parse-names" : false, "suffix" : "" }, { "dropping-particle" : "", "family" : "Lyon", "given" : "a.R.", "non-dropping-particle" : "", "parse-names" : false, "suffix" : "" }, { "dropping-particle" : "", "family" : "Boccaccini", "given" : "a.R.", "non-dropping-particle" : "", "parse-names" : false, "suffix" : "" } ], "container-title" : "Materials Science and Engineering R", "id" : "ITEM-1", "issued" : { "date-parts" : [ [ "2008" ] ] }, "page" : "1-37", "title" : "Biomaterials in cardiac tissue engineering : Ten years of research survey", "type" : "article-journal", "volume" : "59" }, "uris" : [ "http://www.mendeley.com/documents/?uuid=2ed36063-c78c-410b-bff9-5205fc721f7e", "http://www.mendeley.com/documents/?uuid=97ce399f-417f-4a87-b9c9-968a695c7b1f" ] } ], "mendeley" : { "formattedCitation" : "&lt;sup&gt;141&lt;/sup&gt;", "plainTextFormattedCitation" : "141", "previouslyFormattedCitation" : "&lt;sup&gt;140&lt;/sup&gt;"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141</w:t>
      </w:r>
      <w:r w:rsidRPr="00610A40">
        <w:rPr>
          <w:color w:val="auto"/>
          <w:szCs w:val="24"/>
        </w:rPr>
        <w:fldChar w:fldCharType="end"/>
      </w:r>
      <w:r w:rsidRPr="00610A40">
        <w:rPr>
          <w:color w:val="auto"/>
          <w:szCs w:val="24"/>
        </w:rPr>
        <w:t>. There are also concerns of immunogenicity with respect to naturally derived collagen</w:t>
      </w:r>
      <w:r w:rsidRPr="00610A40">
        <w:rPr>
          <w:color w:val="auto"/>
          <w:szCs w:val="24"/>
        </w:rPr>
        <w:fldChar w:fldCharType="begin" w:fldLock="1"/>
      </w:r>
      <w:r w:rsidR="00565E2A" w:rsidRPr="00610A40">
        <w:rPr>
          <w:color w:val="auto"/>
          <w:szCs w:val="24"/>
        </w:rPr>
        <w:instrText>ADDIN CSL_CITATION { "citationItems" : [ { "id" : "ITEM-1", "itemData" : { "DOI" : "10.1016/j.mser.2007.08.001", "ISBN" : "0927-796X", "ISSN" : "0927796X", "PMID" : "15003161", "author" : [ { "dropping-particle" : "", "family" : "Chen", "given" : "Q.Z.", "non-dropping-particle" : "", "parse-names" : false, "suffix" : "" }, { "dropping-particle" : "", "family" : "Harding", "given" : "S.E.", "non-dropping-particle" : "", "parse-names" : false, "suffix" : "" }, { "dropping-particle" : "", "family" : "Ali", "given" : "N.N.", "non-dropping-particle" : "", "parse-names" : false, "suffix" : "" }, { "dropping-particle" : "", "family" : "Lyon", "given" : "a.R.", "non-dropping-particle" : "", "parse-names" : false, "suffix" : "" }, { "dropping-particle" : "", "family" : "Boccaccini", "given" : "a.R.", "non-dropping-particle" : "", "parse-names" : false, "suffix" : "" } ], "container-title" : "Materials Science and Engineering R", "id" : "ITEM-1", "issued" : { "date-parts" : [ [ "2008" ] ] }, "page" : "1-37", "title" : "Biomaterials in cardiac tissue engineering : Ten years of research survey", "type" : "article-journal", "volume" : "59" }, "uris" : [ "http://www.mendeley.com/documents/?uuid=2ed36063-c78c-410b-bff9-5205fc721f7e", "http://www.mendeley.com/documents/?uuid=97ce399f-417f-4a87-b9c9-968a695c7b1f" ] } ], "mendeley" : { "formattedCitation" : "&lt;sup&gt;141&lt;/sup&gt;", "plainTextFormattedCitation" : "141", "previouslyFormattedCitation" : "&lt;sup&gt;140&lt;/sup&gt;"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141</w:t>
      </w:r>
      <w:r w:rsidRPr="00610A40">
        <w:rPr>
          <w:color w:val="auto"/>
          <w:szCs w:val="24"/>
        </w:rPr>
        <w:fldChar w:fldCharType="end"/>
      </w:r>
      <w:r w:rsidRPr="00610A40">
        <w:rPr>
          <w:color w:val="auto"/>
          <w:szCs w:val="24"/>
        </w:rPr>
        <w:t>. Synthetic materials, on the other hand, have advantages over natural polymers due to the reproducibility and high biocompatibility and biodegradability</w:t>
      </w:r>
      <w:r w:rsidRPr="00610A40">
        <w:rPr>
          <w:color w:val="auto"/>
          <w:szCs w:val="24"/>
        </w:rPr>
        <w:fldChar w:fldCharType="begin" w:fldLock="1"/>
      </w:r>
      <w:r w:rsidR="00565E2A" w:rsidRPr="00610A40">
        <w:rPr>
          <w:color w:val="auto"/>
          <w:szCs w:val="24"/>
        </w:rPr>
        <w:instrText>ADDIN CSL_CITATION { "citationItems" : [ { "id" : "ITEM-1", "itemData" : { "DOI" : "10.1016/j.mser.2007.08.001", "ISBN" : "0927-796X", "ISSN" : "0927796X", "PMID" : "15003161", "author" : [ { "dropping-particle" : "", "family" : "Chen", "given" : "Q.Z.", "non-dropping-particle" : "", "parse-names" : false, "suffix" : "" }, { "dropping-particle" : "", "family" : "Harding", "given" : "S.E.", "non-dropping-particle" : "", "parse-names" : false, "suffix" : "" }, { "dropping-particle" : "", "family" : "Ali", "given" : "N.N.", "non-dropping-particle" : "", "parse-names" : false, "suffix" : "" }, { "dropping-particle" : "", "family" : "Lyon", "given" : "a.R.", "non-dropping-particle" : "", "parse-names" : false, "suffix" : "" }, { "dropping-particle" : "", "family" : "Boccaccini", "given" : "a.R.", "non-dropping-particle" : "", "parse-names" : false, "suffix" : "" } ], "container-title" : "Materials Science and Engineering R", "id" : "ITEM-1", "issued" : { "date-parts" : [ [ "2008" ] ] }, "page" : "1-37", "title" : "Biomaterials in cardiac tissue engineering : Ten years of research survey", "type" : "article-journal", "volume" : "59" }, "uris" : [ "http://www.mendeley.com/documents/?uuid=2ed36063-c78c-410b-bff9-5205fc721f7e", "http://www.mendeley.com/documents/?uuid=97ce399f-417f-4a87-b9c9-968a695c7b1f" ] } ], "mendeley" : { "formattedCitation" : "&lt;sup&gt;141&lt;/sup&gt;", "plainTextFormattedCitation" : "141", "previouslyFormattedCitation" : "&lt;sup&gt;140&lt;/sup&gt;"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141</w:t>
      </w:r>
      <w:r w:rsidRPr="00610A40">
        <w:rPr>
          <w:color w:val="auto"/>
          <w:szCs w:val="24"/>
        </w:rPr>
        <w:fldChar w:fldCharType="end"/>
      </w:r>
      <w:r w:rsidRPr="00610A40">
        <w:rPr>
          <w:color w:val="auto"/>
          <w:szCs w:val="24"/>
        </w:rPr>
        <w:t xml:space="preserve">. </w:t>
      </w:r>
    </w:p>
    <w:p w14:paraId="1848C660" w14:textId="77777777" w:rsidR="008C5439" w:rsidRPr="00610A40" w:rsidRDefault="008C5439">
      <w:pPr>
        <w:spacing w:after="200" w:line="276" w:lineRule="auto"/>
        <w:jc w:val="left"/>
        <w:rPr>
          <w:rFonts w:cs="Times New Roman"/>
          <w:b/>
          <w:bCs/>
          <w:color w:val="auto"/>
          <w:kern w:val="36"/>
          <w:szCs w:val="24"/>
        </w:rPr>
      </w:pPr>
      <w:r w:rsidRPr="00610A40">
        <w:rPr>
          <w:color w:val="auto"/>
          <w:szCs w:val="24"/>
        </w:rPr>
        <w:br w:type="page"/>
      </w:r>
    </w:p>
    <w:p w14:paraId="04E063B7" w14:textId="3072F7FB" w:rsidR="008C0ADC" w:rsidRPr="00610A40" w:rsidRDefault="00007C8A">
      <w:pPr>
        <w:pStyle w:val="Heading1"/>
      </w:pPr>
      <w:r w:rsidRPr="00610A40">
        <w:lastRenderedPageBreak/>
        <w:t>6</w:t>
      </w:r>
      <w:r w:rsidR="00972EB2" w:rsidRPr="00610A40">
        <w:t>. Polyesters in Vascular Tissue Engineering</w:t>
      </w:r>
    </w:p>
    <w:p w14:paraId="32EEE2F2" w14:textId="45A01613" w:rsidR="00E34EDA" w:rsidRPr="00610A40" w:rsidRDefault="00007C8A" w:rsidP="004A0094">
      <w:pPr>
        <w:pStyle w:val="Heading2"/>
      </w:pPr>
      <w:r w:rsidRPr="00610A40">
        <w:t>6</w:t>
      </w:r>
      <w:r w:rsidR="00E34EDA" w:rsidRPr="00610A40">
        <w:t>.1 Properties of blood vessels</w:t>
      </w:r>
    </w:p>
    <w:p w14:paraId="2F5E232C" w14:textId="4DAEA90E" w:rsidR="00972EB2" w:rsidRPr="00610A40" w:rsidRDefault="00972EB2" w:rsidP="00972EB2">
      <w:pPr>
        <w:rPr>
          <w:color w:val="auto"/>
          <w:szCs w:val="24"/>
        </w:rPr>
      </w:pPr>
      <w:r w:rsidRPr="00610A40">
        <w:rPr>
          <w:color w:val="auto"/>
          <w:szCs w:val="24"/>
        </w:rPr>
        <w:t xml:space="preserve">The mechanical properties required for vascular tissue scaffold depends on what type of blood vessel </w:t>
      </w:r>
      <w:r w:rsidR="00531EC7" w:rsidRPr="00610A40">
        <w:rPr>
          <w:color w:val="auto"/>
          <w:szCs w:val="24"/>
        </w:rPr>
        <w:t>is being</w:t>
      </w:r>
      <w:r w:rsidRPr="00610A40">
        <w:rPr>
          <w:color w:val="auto"/>
          <w:szCs w:val="24"/>
        </w:rPr>
        <w:t xml:space="preserve"> engineer</w:t>
      </w:r>
      <w:r w:rsidR="00531EC7" w:rsidRPr="00610A40">
        <w:rPr>
          <w:color w:val="auto"/>
          <w:szCs w:val="24"/>
        </w:rPr>
        <w:t>ed</w:t>
      </w:r>
      <w:r w:rsidRPr="00610A40">
        <w:rPr>
          <w:color w:val="auto"/>
          <w:szCs w:val="24"/>
        </w:rPr>
        <w:t>. Although all blood vessels are lined with endothelial cells on their luminal surfaces, its elasticity and dimension may vary greatly. The elasticity of the blood vessel walls is primarily contributed by two molecular components: the elastin fibers and the collagen fibers</w:t>
      </w:r>
      <w:r w:rsidR="009F252C" w:rsidRPr="00610A40">
        <w:rPr>
          <w:rFonts w:cs="Times New Roman"/>
          <w:color w:val="auto"/>
          <w:szCs w:val="24"/>
        </w:rPr>
        <w:t xml:space="preserve"> with moduli of</w:t>
      </w:r>
      <w:r w:rsidRPr="00610A40">
        <w:rPr>
          <w:color w:val="auto"/>
          <w:szCs w:val="24"/>
        </w:rPr>
        <w:t xml:space="preserve"> 0.</w:t>
      </w:r>
      <w:r w:rsidR="00A022D6" w:rsidRPr="00610A40">
        <w:rPr>
          <w:color w:val="auto"/>
          <w:szCs w:val="24"/>
        </w:rPr>
        <w:t>3</w:t>
      </w:r>
      <w:r w:rsidRPr="00610A40">
        <w:rPr>
          <w:color w:val="auto"/>
          <w:szCs w:val="24"/>
        </w:rPr>
        <w:t xml:space="preserve"> – 1 MPa</w:t>
      </w:r>
      <w:r w:rsidR="00A022D6" w:rsidRPr="00610A40">
        <w:rPr>
          <w:color w:val="auto"/>
          <w:szCs w:val="24"/>
        </w:rPr>
        <w:fldChar w:fldCharType="begin" w:fldLock="1"/>
      </w:r>
      <w:r w:rsidR="00565E2A" w:rsidRPr="00610A40">
        <w:rPr>
          <w:color w:val="auto"/>
          <w:szCs w:val="24"/>
        </w:rPr>
        <w:instrText>ADDIN CSL_CITATION { "citationItems" : [ { "id" : "ITEM-1", "itemData" : { "DOI" : "10.1016/j.progpolymsci.2012.05.003", "ISSN" : "00796700", "author" : [ { "dropping-particle" : "", "family" : "Chen", "given" : "Qizhi", "non-dropping-particle" : "", "parse-names" : false, "suffix" : "" }, { "dropping-particle" : "", "family" : "Liang", "given" : "Shuling", "non-dropping-particle" : "", "parse-names" : false, "suffix" : "" }, { "dropping-particle" : "", "family" : "Thouas", "given" : "George A.", "non-dropping-particle" : "", "parse-names" : false, "suffix" : "" } ], "container-title" : "Progress in Polymer Science", "id" : "ITEM-1", "issue" : "3-4", "issued" : { "date-parts" : [ [ "2013" ] ] }, "page" : "584-671", "publisher" : "Elsevier Ltd", "title" : "Elastomeric Biomaterials for Tissue Engineering", "type" : "article-journal", "volume" : "38" }, "uris" : [ "http://www.mendeley.com/documents/?uuid=2652891f-87cb-422a-92c4-f901ca24dc96" ] } ], "mendeley" : { "formattedCitation" : "&lt;sup&gt;1&lt;/sup&gt;", "plainTextFormattedCitation" : "1", "previouslyFormattedCitation" : "&lt;sup&gt;1&lt;/sup&gt;" }, "properties" : { "noteIndex" : 0 }, "schema" : "https://github.com/citation-style-language/schema/raw/master/csl-citation.json" }</w:instrText>
      </w:r>
      <w:r w:rsidR="00A022D6" w:rsidRPr="00610A40">
        <w:rPr>
          <w:color w:val="auto"/>
          <w:szCs w:val="24"/>
        </w:rPr>
        <w:fldChar w:fldCharType="separate"/>
      </w:r>
      <w:r w:rsidR="00EA6768" w:rsidRPr="00610A40">
        <w:rPr>
          <w:noProof/>
          <w:color w:val="auto"/>
          <w:szCs w:val="24"/>
          <w:vertAlign w:val="superscript"/>
        </w:rPr>
        <w:t>1</w:t>
      </w:r>
      <w:r w:rsidR="00A022D6" w:rsidRPr="00610A40">
        <w:rPr>
          <w:color w:val="auto"/>
          <w:szCs w:val="24"/>
        </w:rPr>
        <w:fldChar w:fldCharType="end"/>
      </w:r>
      <w:r w:rsidRPr="00610A40">
        <w:rPr>
          <w:color w:val="auto"/>
          <w:szCs w:val="24"/>
        </w:rPr>
        <w:t xml:space="preserve"> and approximately 1 </w:t>
      </w:r>
      <w:proofErr w:type="spellStart"/>
      <w:r w:rsidRPr="00610A40">
        <w:rPr>
          <w:color w:val="auto"/>
          <w:szCs w:val="24"/>
        </w:rPr>
        <w:t>GPa</w:t>
      </w:r>
      <w:proofErr w:type="spellEnd"/>
      <w:r w:rsidR="009F252C" w:rsidRPr="00610A40">
        <w:rPr>
          <w:color w:val="auto"/>
          <w:szCs w:val="24"/>
        </w:rPr>
        <w:t xml:space="preserve"> respectively</w:t>
      </w:r>
      <w:r w:rsidRPr="00610A40">
        <w:rPr>
          <w:color w:val="auto"/>
          <w:szCs w:val="24"/>
        </w:rPr>
        <w:fldChar w:fldCharType="begin" w:fldLock="1"/>
      </w:r>
      <w:r w:rsidR="00565E2A" w:rsidRPr="00610A40">
        <w:rPr>
          <w:color w:val="auto"/>
          <w:szCs w:val="24"/>
        </w:rPr>
        <w:instrText>ADDIN CSL_CITATION { "citationItems" : [ { "id" : "ITEM-1", "itemData" : { "DOI" : "10.3390/jfb6030500", "ISBN" : "6135227289", "ISSN" : "2079-4983", "PMID" : "26133386", "abstract" : "Vascular implants belong to a specialised class of medical textiles. The basic purpose of a vascular implant (graft and stent) is to act as an artificial conduit or substitute for a diseased artery. However, the long-term healing function depends on its ability to mimic the mechanical and biological behaviour of the artery. This requires a thorough understanding of the structure and function of an artery, which can then be translated into a synthetic structure based on the capabilities of the manufacturing method utilised. Common textile manufacturing techniques, such as weaving, knitting, braiding, and electrospinning, are frequently used to design vascular implants for research and commercial purposes for the past decades. However, the ability to match attributes of a vascular substitute to those of a native artery still remains a challenge. The synthetic implants have been found to cause disturbance in biological, biomechanical, and hemodynamic parameters at the implant site, which has been widely attributed to their structural design. In this work, we reviewed the design aspect of textile vascular implants and compared them to the structure of a natural artery as a basis for assessing the level of success as an implant. The outcome of this work is expected to encourage future design strategies for developing improved long lasting vascular implants.", "author" : [ { "dropping-particle" : "", "family" : "Singh", "given" : "Charanpreet", "non-dropping-particle" : "", "parse-names" : false, "suffix" : "" }, { "dropping-particle" : "", "family" : "Wong", "given" : "Cynthia", "non-dropping-particle" : "", "parse-names" : false, "suffix" : "" }, { "dropping-particle" : "", "family" : "Wang", "given" : "Xungai", "non-dropping-particle" : "", "parse-names" : false, "suffix" : "" } ], "container-title" : "Journal of Functional Biomaterials", "id" : "ITEM-1", "issue" : "3", "issued" : { "date-parts" : [ [ "2015" ] ] }, "page" : "500-525", "title" : "Medical Textiles as Vascular Implants and Their Success to Mimic Natural Arteries", "type" : "article-journal", "volume" : "6" }, "uris" : [ "http://www.mendeley.com/documents/?uuid=b6ca7341-b5fe-44eb-8340-7d7dee7597be", "http://www.mendeley.com/documents/?uuid=dc842a18-1692-451d-8461-43725c53a016" ] } ], "mendeley" : { "formattedCitation" : "&lt;sup&gt;171&lt;/sup&gt;", "plainTextFormattedCitation" : "171", "previouslyFormattedCitation" : "&lt;sup&gt;170&lt;/sup&gt;"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171</w:t>
      </w:r>
      <w:r w:rsidRPr="00610A40">
        <w:rPr>
          <w:color w:val="auto"/>
          <w:szCs w:val="24"/>
        </w:rPr>
        <w:fldChar w:fldCharType="end"/>
      </w:r>
      <w:r w:rsidRPr="00610A40">
        <w:rPr>
          <w:color w:val="auto"/>
          <w:szCs w:val="24"/>
        </w:rPr>
        <w:t xml:space="preserve">. </w:t>
      </w:r>
    </w:p>
    <w:p w14:paraId="49781198" w14:textId="297BB217" w:rsidR="00972EB2" w:rsidRPr="00610A40" w:rsidRDefault="00007C8A" w:rsidP="004A0094">
      <w:pPr>
        <w:pStyle w:val="Heading3"/>
      </w:pPr>
      <w:r w:rsidRPr="00610A40">
        <w:t>6</w:t>
      </w:r>
      <w:r w:rsidR="00E34EDA" w:rsidRPr="00610A40">
        <w:t xml:space="preserve">.1.1 </w:t>
      </w:r>
      <w:r w:rsidR="001F12C7" w:rsidRPr="00610A40">
        <w:t>Arteries</w:t>
      </w:r>
    </w:p>
    <w:p w14:paraId="1E47E06B" w14:textId="6B73FFEA" w:rsidR="00972EB2" w:rsidRPr="00610A40" w:rsidRDefault="00972EB2" w:rsidP="00972EB2">
      <w:pPr>
        <w:rPr>
          <w:color w:val="auto"/>
          <w:szCs w:val="24"/>
        </w:rPr>
      </w:pPr>
      <w:r w:rsidRPr="00610A40">
        <w:rPr>
          <w:color w:val="auto"/>
          <w:szCs w:val="24"/>
        </w:rPr>
        <w:t xml:space="preserve">The initial stiffness (Young’s modulus) of human </w:t>
      </w:r>
      <w:proofErr w:type="spellStart"/>
      <w:r w:rsidRPr="00610A40">
        <w:rPr>
          <w:color w:val="auto"/>
          <w:szCs w:val="24"/>
        </w:rPr>
        <w:t>arteria</w:t>
      </w:r>
      <w:proofErr w:type="spellEnd"/>
      <w:r w:rsidRPr="00610A40">
        <w:rPr>
          <w:color w:val="auto"/>
          <w:szCs w:val="24"/>
        </w:rPr>
        <w:t xml:space="preserve"> </w:t>
      </w:r>
      <w:proofErr w:type="spellStart"/>
      <w:r w:rsidRPr="00610A40">
        <w:rPr>
          <w:color w:val="auto"/>
          <w:szCs w:val="24"/>
        </w:rPr>
        <w:t>mesenterica</w:t>
      </w:r>
      <w:proofErr w:type="spellEnd"/>
      <w:r w:rsidRPr="00610A40">
        <w:rPr>
          <w:color w:val="auto"/>
          <w:szCs w:val="24"/>
        </w:rPr>
        <w:t xml:space="preserve"> inferior in the radial direction </w:t>
      </w:r>
      <w:r w:rsidR="00B94541" w:rsidRPr="00610A40">
        <w:rPr>
          <w:color w:val="auto"/>
          <w:szCs w:val="24"/>
        </w:rPr>
        <w:t xml:space="preserve">as measured to be </w:t>
      </w:r>
      <w:r w:rsidRPr="00610A40">
        <w:rPr>
          <w:color w:val="auto"/>
          <w:szCs w:val="24"/>
        </w:rPr>
        <w:t xml:space="preserve">5.7 </w:t>
      </w:r>
      <w:proofErr w:type="spellStart"/>
      <w:r w:rsidRPr="00610A40">
        <w:rPr>
          <w:color w:val="auto"/>
          <w:szCs w:val="24"/>
        </w:rPr>
        <w:t>MPa</w:t>
      </w:r>
      <w:proofErr w:type="spellEnd"/>
      <w:r w:rsidRPr="00610A40">
        <w:rPr>
          <w:color w:val="auto"/>
          <w:szCs w:val="24"/>
        </w:rPr>
        <w:t xml:space="preserve">, with a maximum tensile strength of 1.89 </w:t>
      </w:r>
      <w:proofErr w:type="spellStart"/>
      <w:r w:rsidRPr="00610A40">
        <w:rPr>
          <w:color w:val="auto"/>
          <w:szCs w:val="24"/>
        </w:rPr>
        <w:t>MPa</w:t>
      </w:r>
      <w:proofErr w:type="spellEnd"/>
      <w:r w:rsidRPr="00610A40">
        <w:rPr>
          <w:color w:val="auto"/>
          <w:szCs w:val="24"/>
        </w:rPr>
        <w:t xml:space="preserve"> and elongation at break of 345%</w:t>
      </w:r>
      <w:r w:rsidRPr="00610A40">
        <w:rPr>
          <w:color w:val="auto"/>
          <w:szCs w:val="24"/>
        </w:rPr>
        <w:fldChar w:fldCharType="begin" w:fldLock="1"/>
      </w:r>
      <w:r w:rsidR="00565E2A" w:rsidRPr="00610A40">
        <w:rPr>
          <w:color w:val="auto"/>
          <w:szCs w:val="24"/>
        </w:rPr>
        <w:instrText>ADDIN CSL_CITATION { "citationItems" : [ { "id" : "ITEM-1", "itemData" : { "DOI" : "http://dx.doi.org/10.1016/j.actbio.2009.10.002", "ISSN" : "1742-7061", "abstract" : "Biocompatible and elastic porous tubular structures based on poly(1,3-trimethylene carbonate), PTMC, were developed as scaffolds for tissue engineering of small-diameter blood vessels. High-molecular-weight PTMC (Mn = 4.37 \u00d7 105) was cross-linked by gamma-irradiation in an inert nitrogen atmosphere. The resulting networks (50\u201370% gel content) were elastic and creep resistant. The PTMC materials were highly biocompatible as determined by cell adhesion and proliferation studies using various relevant cell types (human umbilical vein endothelial cells (HUVECs), smooth muscle cells (SMCs) and mesenchymal stem cells (MSCs)). Dimensionally stable tubular scaffolds with an interconnected pore network were prepared by particulate leaching. Different cross-linked porous PTMC specimens with average pore sizes ranging between 55 and 116 \u03bcm, and porosities ranging from 59% to 83% were prepared. These scaffolds were highly compliant and flexible, with high elongations at break. Furthermore, their resistance to creep was excellent and under cyclic loading conditions (20 deformation cycles to 30% elongation) no permanent deformation occurred. Seeding of SMCs into the wall of the tubular structures was done by carefully perfusing cell suspensions with syringes from the lumen through the wall. The cells were then cultured for 7 days. Upon proliferation of the SMCs, the formed blood vessel constructs had excellent mechanical properties. Their radial tensile strengths had increased from 0.23 to 0.78 MPa, which is close to those of natural blood vessels.", "author" : [ { "dropping-particle" : "", "family" : "Song", "given" : "Y", "non-dropping-particle" : "", "parse-names" : false, "suffix" : "" }, { "dropping-particle" : "", "family" : "Kamphuis", "given" : "M M J", "non-dropping-particle" : "", "parse-names" : false, "suffix" : "" }, { "dropping-particle" : "", "family" : "Zhang", "given" : "Z", "non-dropping-particle" : "", "parse-names" : false, "suffix" : "" }, { "dropping-particle" : "", "family" : "Sterk", "given" : "L.M.Th.", "non-dropping-particle" : "", "parse-names" : false, "suffix" : "" }, { "dropping-particle" : "", "family" : "Vermes", "given" : "I", "non-dropping-particle" : "", "parse-names" : false, "suffix" : "" }, { "dropping-particle" : "", "family" : "Poot", "given" : "A A", "non-dropping-particle" : "", "parse-names" : false, "suffix" : "" }, { "dropping-particle" : "", "family" : "Feijen", "given" : "J", "non-dropping-particle" : "", "parse-names" : false, "suffix" : "" }, { "dropping-particle" : "", "family" : "Grijpma", "given" : "D W", "non-dropping-particle" : "", "parse-names" : false, "suffix" : "" } ], "container-title" : "Acta Biomaterialia", "id" : "ITEM-1", "issue" : "4", "issued" : { "date-parts" : [ [ "2010", "4" ] ] }, "page" : "1269-1277", "title" : "Flexible and elastic porous poly(trimethylene carbonate) structures for use in vascular tissue engineering", "type" : "article-journal", "volume" : "6" }, "uris" : [ "http://www.mendeley.com/documents/?uuid=75572975-3af2-40c4-b8f4-3be16a175f22" ] } ], "mendeley" : { "formattedCitation" : "&lt;sup&gt;70&lt;/sup&gt;", "plainTextFormattedCitation" : "70", "previouslyFormattedCitation" : "&lt;sup&gt;69&lt;/sup&gt;"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70</w:t>
      </w:r>
      <w:r w:rsidRPr="00610A40">
        <w:rPr>
          <w:color w:val="auto"/>
          <w:szCs w:val="24"/>
        </w:rPr>
        <w:fldChar w:fldCharType="end"/>
      </w:r>
      <w:r w:rsidRPr="00610A40">
        <w:rPr>
          <w:color w:val="auto"/>
          <w:szCs w:val="24"/>
        </w:rPr>
        <w:t xml:space="preserve">. Another set of measurements for the mechanical properties of the human coronary arteries found that the ultimate tensile stress of the adventitia layer </w:t>
      </w:r>
      <w:r w:rsidR="00B94541" w:rsidRPr="00610A40">
        <w:rPr>
          <w:color w:val="auto"/>
          <w:szCs w:val="24"/>
        </w:rPr>
        <w:t xml:space="preserve">was </w:t>
      </w:r>
      <w:r w:rsidRPr="00610A40">
        <w:rPr>
          <w:color w:val="auto"/>
          <w:szCs w:val="24"/>
        </w:rPr>
        <w:t xml:space="preserve">1.430 ± 0.604 </w:t>
      </w:r>
      <w:proofErr w:type="spellStart"/>
      <w:r w:rsidRPr="00610A40">
        <w:rPr>
          <w:color w:val="auto"/>
          <w:szCs w:val="24"/>
        </w:rPr>
        <w:t>MPa</w:t>
      </w:r>
      <w:proofErr w:type="spellEnd"/>
      <w:r w:rsidRPr="00610A40">
        <w:rPr>
          <w:color w:val="auto"/>
          <w:szCs w:val="24"/>
        </w:rPr>
        <w:t xml:space="preserve"> (circumferential) and 1.300 ± 0.692 </w:t>
      </w:r>
      <w:proofErr w:type="spellStart"/>
      <w:r w:rsidRPr="00610A40">
        <w:rPr>
          <w:color w:val="auto"/>
          <w:szCs w:val="24"/>
        </w:rPr>
        <w:t>MPa</w:t>
      </w:r>
      <w:proofErr w:type="spellEnd"/>
      <w:r w:rsidRPr="00610A40">
        <w:rPr>
          <w:color w:val="auto"/>
          <w:szCs w:val="24"/>
        </w:rPr>
        <w:t xml:space="preserve"> (longitudinal), media layer </w:t>
      </w:r>
      <w:r w:rsidR="00B94541" w:rsidRPr="00610A40">
        <w:rPr>
          <w:color w:val="auto"/>
          <w:szCs w:val="24"/>
        </w:rPr>
        <w:t xml:space="preserve">was </w:t>
      </w:r>
      <w:r w:rsidRPr="00610A40">
        <w:rPr>
          <w:color w:val="auto"/>
          <w:szCs w:val="24"/>
        </w:rPr>
        <w:t xml:space="preserve">0.446 ± 0.194 </w:t>
      </w:r>
      <w:proofErr w:type="spellStart"/>
      <w:r w:rsidRPr="00610A40">
        <w:rPr>
          <w:color w:val="auto"/>
          <w:szCs w:val="24"/>
        </w:rPr>
        <w:t>MPa</w:t>
      </w:r>
      <w:proofErr w:type="spellEnd"/>
      <w:r w:rsidRPr="00610A40">
        <w:rPr>
          <w:color w:val="auto"/>
          <w:szCs w:val="24"/>
        </w:rPr>
        <w:t xml:space="preserve"> (circumferential) and 0.419 ± 0.188 </w:t>
      </w:r>
      <w:proofErr w:type="spellStart"/>
      <w:r w:rsidRPr="00610A40">
        <w:rPr>
          <w:color w:val="auto"/>
          <w:szCs w:val="24"/>
        </w:rPr>
        <w:t>MPa</w:t>
      </w:r>
      <w:proofErr w:type="spellEnd"/>
      <w:r w:rsidRPr="00610A40">
        <w:rPr>
          <w:color w:val="auto"/>
          <w:szCs w:val="24"/>
        </w:rPr>
        <w:t xml:space="preserve"> (longitudinal) and intima layer </w:t>
      </w:r>
      <w:r w:rsidR="00B94541" w:rsidRPr="00610A40">
        <w:rPr>
          <w:color w:val="auto"/>
          <w:szCs w:val="24"/>
        </w:rPr>
        <w:t xml:space="preserve">was </w:t>
      </w:r>
      <w:r w:rsidRPr="00610A40">
        <w:rPr>
          <w:color w:val="auto"/>
          <w:szCs w:val="24"/>
        </w:rPr>
        <w:t xml:space="preserve">0.394 ± 0.223 </w:t>
      </w:r>
      <w:proofErr w:type="spellStart"/>
      <w:r w:rsidRPr="00610A40">
        <w:rPr>
          <w:color w:val="auto"/>
          <w:szCs w:val="24"/>
        </w:rPr>
        <w:t>MPa</w:t>
      </w:r>
      <w:proofErr w:type="spellEnd"/>
      <w:r w:rsidRPr="00610A40">
        <w:rPr>
          <w:color w:val="auto"/>
          <w:szCs w:val="24"/>
        </w:rPr>
        <w:t xml:space="preserve"> (circumferential) and 0.391 ± 0.144 </w:t>
      </w:r>
      <w:proofErr w:type="spellStart"/>
      <w:r w:rsidRPr="00610A40">
        <w:rPr>
          <w:color w:val="auto"/>
          <w:szCs w:val="24"/>
        </w:rPr>
        <w:t>MPa</w:t>
      </w:r>
      <w:proofErr w:type="spellEnd"/>
      <w:r w:rsidRPr="00610A40">
        <w:rPr>
          <w:color w:val="auto"/>
          <w:szCs w:val="24"/>
        </w:rPr>
        <w:t xml:space="preserve"> (longitudinal)</w:t>
      </w:r>
      <w:r w:rsidRPr="00610A40">
        <w:rPr>
          <w:color w:val="auto"/>
          <w:szCs w:val="24"/>
        </w:rPr>
        <w:fldChar w:fldCharType="begin" w:fldLock="1"/>
      </w:r>
      <w:r w:rsidR="00565E2A" w:rsidRPr="00610A40">
        <w:rPr>
          <w:color w:val="auto"/>
          <w:szCs w:val="24"/>
        </w:rPr>
        <w:instrText>ADDIN CSL_CITATION { "citationItems" : [ { "id" : "ITEM-1", "itemData" : { "DOI" : "10.1152/ajpheart.00934.2004.", "ISSN" : "0363-6135", "PMID" : "16006541", "abstract" : "At autopsy, 13 nonstenotic human left anterior descending coronary arteries [71.5 +/- 7.3 (mean +/- SD) yr old] were harvested, and related anamnesis was documented. Preconditioned prepared strips (n = 78) of segments from the midregion of the left anterior descending coronary artery from the individual layers in axial and circumferential directions were subjected to cyclic quasi-static uniaxial tension tests, and ultimate tensile stresses and stretches were documented. The ratio of outer diameter to total wall thickness was 0.189 +/- 0.014; ratios of adventitia, media, and intima thickness to total wall thickness were 0.4 +/- 0.03, 0.36 +/- 0.03, and 0.27 +/- 0.02, respectively; axial in situ stretch of 1.044 +/- 0.06 decreased with age. Stress-stretch responses for the individual tissues showed pronounced mechanical heterogeneity. The intima is the stiffest layer over the whole deformation domain, whereas the media in the longitudinal direction is the softest. All specimens exhibited small hysteresis and anisotropic and strong nonlinear behavior in both loading directions. The media and intima showed similar ultimate tensile stresses, which are on average three times smaller than ultimate tensile stresses in the adventitia (1,430 +/- 604 kPa circumferential and 1,300 +/- 692 kPa longitudinal). The ultimate tensile stretches are similar for all tissue layers. A recently proposed constitutive model was extended and used to represent the deformation behavior for each tissue type over the entire loading range. The study showed the need to model nonstenotic human coronary arteries with nonatherosclerotic intimal thickening as a composite structure composed of three solid mechanically relevant layers with different mechanical properties. The intima showed significant thickness, load-bearing capacity, and mechanical strength compared with the media and adventitia.", "author" : [ { "dropping-particle" : "", "family" : "Holzapfel", "given" : "Gerhard a", "non-dropping-particle" : "", "parse-names" : false, "suffix" : "" }, { "dropping-particle" : "", "family" : "Sommer", "given" : "Gerhard", "non-dropping-particle" : "", "parse-names" : false, "suffix" : "" }, { "dropping-particle" : "", "family" : "Gasser", "given" : "Christian T", "non-dropping-particle" : "", "parse-names" : false, "suffix" : "" }, { "dropping-particle" : "", "family" : "Regitnig", "given" : "Peter", "non-dropping-particle" : "", "parse-names" : false, "suffix" : "" } ], "container-title" : "Heart and Circulatory Physiology", "id" : "ITEM-1", "issue" : "5", "issued" : { "date-parts" : [ [ "2005" ] ] }, "page" : "2048-2058", "title" : "Determination of layer-specific mechanical properties of human coronary arteries with nonatherosclerotic intimal thickening and related constitutive modeling", "type" : "article-journal", "volume" : "289" }, "uris" : [ "http://www.mendeley.com/documents/?uuid=a81e94c9-fc6d-4774-89e6-c8eae7ba6f4e", "http://www.mendeley.com/documents/?uuid=8874bd5a-eaae-4e79-bf7a-8f41e081f90a" ] } ], "mendeley" : { "formattedCitation" : "&lt;sup&gt;172&lt;/sup&gt;", "plainTextFormattedCitation" : "172", "previouslyFormattedCitation" : "&lt;sup&gt;171&lt;/sup&gt;"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172</w:t>
      </w:r>
      <w:r w:rsidRPr="00610A40">
        <w:rPr>
          <w:color w:val="auto"/>
          <w:szCs w:val="24"/>
        </w:rPr>
        <w:fldChar w:fldCharType="end"/>
      </w:r>
      <w:r w:rsidRPr="00610A40">
        <w:rPr>
          <w:color w:val="auto"/>
          <w:szCs w:val="24"/>
        </w:rPr>
        <w:t xml:space="preserve">. A few more studies characterized the circumferential tensile strength of human coronary arteries to be </w:t>
      </w:r>
      <w:r w:rsidR="00E34EDA" w:rsidRPr="00610A40">
        <w:rPr>
          <w:color w:val="auto"/>
          <w:szCs w:val="24"/>
        </w:rPr>
        <w:t xml:space="preserve"> between </w:t>
      </w:r>
      <w:r w:rsidRPr="00610A40">
        <w:rPr>
          <w:color w:val="auto"/>
          <w:szCs w:val="24"/>
        </w:rPr>
        <w:t>0.39</w:t>
      </w:r>
      <w:r w:rsidR="00BD4CA7" w:rsidRPr="00610A40">
        <w:rPr>
          <w:color w:val="auto"/>
          <w:szCs w:val="24"/>
        </w:rPr>
        <w:t xml:space="preserve"> </w:t>
      </w:r>
      <w:proofErr w:type="spellStart"/>
      <w:r w:rsidR="00E34EDA" w:rsidRPr="00610A40">
        <w:rPr>
          <w:color w:val="auto"/>
          <w:szCs w:val="24"/>
        </w:rPr>
        <w:t>MPa</w:t>
      </w:r>
      <w:proofErr w:type="spellEnd"/>
      <w:r w:rsidR="00E34EDA" w:rsidRPr="00610A40">
        <w:rPr>
          <w:color w:val="auto"/>
          <w:szCs w:val="24"/>
        </w:rPr>
        <w:t xml:space="preserve"> </w:t>
      </w:r>
      <w:r w:rsidRPr="00610A40">
        <w:rPr>
          <w:color w:val="auto"/>
          <w:szCs w:val="24"/>
        </w:rPr>
        <w:t>and 1.80</w:t>
      </w:r>
      <w:r w:rsidR="00BD4CA7" w:rsidRPr="00610A40">
        <w:rPr>
          <w:color w:val="auto"/>
          <w:szCs w:val="24"/>
        </w:rPr>
        <w:t xml:space="preserve"> </w:t>
      </w:r>
      <w:r w:rsidRPr="00610A40">
        <w:rPr>
          <w:color w:val="auto"/>
          <w:szCs w:val="24"/>
        </w:rPr>
        <w:t>MPa</w:t>
      </w:r>
      <w:r w:rsidR="00E34EDA" w:rsidRPr="00610A40">
        <w:rPr>
          <w:color w:val="auto"/>
          <w:szCs w:val="24"/>
        </w:rPr>
        <w:fldChar w:fldCharType="begin" w:fldLock="1"/>
      </w:r>
      <w:r w:rsidR="00565E2A" w:rsidRPr="00610A40">
        <w:rPr>
          <w:color w:val="auto"/>
          <w:szCs w:val="24"/>
        </w:rPr>
        <w:instrText>ADDIN CSL_CITATION { "citationItems" : [ { "id" : "ITEM-1", "itemData" : { "DOI" : "10.1109/IEMBS.2010.5627560", "ISBN" : "978-1-4244-4123-5", "ISSN" : "1557-170X", "PMID" : "21096878", "abstract" : "The lack of reliable mechanical data on coronary arteries and, more specifically, on their wall strength hampers the application of numerical models and simulations to vascular problems, and precludes physicians from knowing in advance the response of coronary arteries to the different interventions. Studies of the mechanical properties of coronary arteries have been carried out almost exclusively on animals. Only a few studies have tried to characterize the in vivo behavior of human coronaries through tests under physiological conditions. In this work, the mechanical properties of human coronary arteries have been characterized. Whole samples from human right (RC) and left anterior descending (LAD) coronary arteries aged between 23 and 83 years have been studied by means of in-vitro tensile testing up to failure.", "author" : [ { "dropping-particle" : "", "family" : "Claes", "given" : "E", "non-dropping-particle" : "", "parse-names" : false, "suffix" : "" }, { "dropping-particle" : "", "family" : "Atienza", "given" : "J M", "non-dropping-particle" : "", "parse-names" : false, "suffix" : "" }, { "dropping-particle" : "V", "family" : "Guinea", "given" : "G", "non-dropping-particle" : "", "parse-names" : false, "suffix" : "" }, { "dropping-particle" : "", "family" : "Rojo", "given" : "F J", "non-dropping-particle" : "", "parse-names" : false, "suffix" : "" }, { "dropping-particle" : "", "family" : "Bernal", "given" : "J M", "non-dropping-particle" : "", "parse-names" : false, "suffix" : "" }, { "dropping-particle" : "", "family" : "Revuelta", "given" : "J M", "non-dropping-particle" : "", "parse-names" : false, "suffix" : "" }, { "dropping-particle" : "", "family" : "Elices", "given" : "M", "non-dropping-particle" : "", "parse-names" : false, "suffix" : "" } ], "container-title" : "2010 Annual International Conference of the IEEE Engineering in Medicine and Biology", "id" : "ITEM-1", "issued" : { "date-parts" : [ [ "2010" ] ] }, "page" : "3792-3795", "title" : "Mechanical properties of human coronary arteries", "type" : "article-journal" }, "uris" : [ "http://www.mendeley.com/documents/?uuid=c0ebb8fe-20d9-4dc0-8c02-f6987797f893" ] }, { "id" : "ITEM-2", "itemData" : { "DOI" : "10.1016/j.jtcvs.2008.07.023", "ISSN" : "00225223", "PMID" : "19154911", "abstract" : "Objective: We sought to examine in age-matched subjects the biomechanical and compositional remodeling associated with ascending thoracic aortic aneurysms according to region and direction. Methods: Whole, fresh, degenerative ascending thoracic aortic aneurysms were taken from 26 patients (age, 69 ?? 2 years; maximum aortic diameter, 5.9 ?? 0.3 cm) during elective surgical intervention, and 15 nonaneurysmal ascending thoracic aortas were obtained during autopsies (age, 66 ?? 3 years; maximum aortic diameter, 3.3 ?? 0.2 cm). These were cut into anterior, right lateral, posterior, and left lateral regions, and circumferentially and longitudinally oriented specimens were prepared. The aortic specimens were submitted to histomorphometric and biomechanical studies, including measurement of failure strain (ie, extensibility), failure stress (ie, strength), and peak elastic modulus (ie, stiffness). Results: Wall elastin, but not collagen content, decreased in aneurysmal specimens, displaying lower wall thickness and failure strain, higher peak elastic modulus, and equal failure stress than control specimens in the majority of regions and directions. Similar differences were noted in pooled data from all regions. Regional variations in mechanical parameters were mostly found in longitudinally oriented tissue. Circumferential specimens showed higher failure stress and peak elastic modulus but equal failure strain than longitudinal specimens. Conclusions: Our findings contradict previous studies on ascending thoracic and abdominal aortic aneurysms, suggesting that the former might not cause weakening but rather only stiffening and reduction in tissue extensibility and elastin content. Marked heterogeneity was evident in healthy and aneurysmal aortas. The present data offer insight into the pathogenesis of aneurysm dissection. Information on directional and regional variations is pertinent because dissections develop circumferentially and bulging preferentially occurs in the anterior region. ?? 2009 The American Association for Thoracic Surgery.", "author" : [ { "dropping-particle" : "", "family" : "Iliopoulos", "given" : "Dimitrios C.", "non-dropping-particle" : "", "parse-names" : false, "suffix" : "" }, { "dropping-particle" : "", "family" : "Kritharis", "given" : "Eleftherios P.", "non-dropping-particle" : "", "parse-names" : false, "suffix" : "" }, { "dropping-particle" : "", "family" : "Giagini", "given" : "Athina T.", "non-dropping-particle" : "", "parse-names" : false, "suffix" : "" }, { "dropping-particle" : "", "family" : "Papadodima", "given" : "Stavroula A.", "non-dropping-particle" : "", "parse-names" : false, "suffix" : "" }, { "dropping-particle" : "", "family" : "Sokolis", "given" : "Dimitrios P.", "non-dropping-particle" : "", "parse-names" : false, "suffix" : "" } ], "container-title" : "Journal of Thoracic and Cardiovascular Surgery", "id" : "ITEM-2", "issue" : "1", "issued" : { "date-parts" : [ [ "2009" ] ] }, "page" : "101-109", "publisher" : "The American Association for Thoracic Surgery", "title" : "Ascending thoracic aortic aneurysms are associated with compositional remodeling and vessel stiffening but not weakening in age-matched subjects", "type" : "article-journal", "volume" : "137" }, "uris" : [ "http://www.mendeley.com/documents/?uuid=2b5debf9-9fd0-4c41-bbbb-62775e9dc9a7" ] }, { "id" : "ITEM-3", "itemData" : { "DOI" : "10.1016/S0003-4975(02)04711-2", "ISSN" : "00034975", "author" : [ { "dropping-particle" : "", "family" : "Vorp", "given" : "David A", "non-dropping-particle" : "", "parse-names" : false, "suffix" : "" }, { "dropping-particle" : "", "family" : "Schiro", "given" : "Brian J", "non-dropping-particle" : "", "parse-names" : false, "suffix" : "" }, { "dropping-particle" : "", "family" : "Ehrlich", "given" : "Marek P", "non-dropping-particle" : "", "parse-names" : false, "suffix" : "" }, { "dropping-particle" : "", "family" : "Juvonen", "given" : "Tatu S", "non-dropping-particle" : "", "parse-names" : false, "suffix" : "" }, { "dropping-particle" : "", "family" : "Ergin", "given" : "M.Arisan", "non-dropping-particle" : "", "parse-names" : false, "suffix" : "" }, { "dropping-particle" : "", "family" : "Griffith", "given" : "Bartley P", "non-dropping-particle" : "", "parse-names" : false, "suffix" : "" } ], "container-title" : "The Annals of Thoracic Surgery", "id" : "ITEM-3", "issue" : "4", "issued" : { "date-parts" : [ [ "2003", "4" ] ] }, "page" : "1210-1214", "title" : "Effect of aneurysm on the tensile strength and biomechanical behavior of the ascending thoracic aorta", "type" : "article-journal", "volume" : "75" }, "uris" : [ "http://www.mendeley.com/documents/?uuid=fc91f012-c9a0-45ea-b50f-397b238d7b4e" ] } ], "mendeley" : { "formattedCitation" : "&lt;sup&gt;173\u2013175&lt;/sup&gt;", "plainTextFormattedCitation" : "173\u2013175", "previouslyFormattedCitation" : "&lt;sup&gt;172\u2013174&lt;/sup&gt;" }, "properties" : { "noteIndex" : 0 }, "schema" : "https://github.com/citation-style-language/schema/raw/master/csl-citation.json" }</w:instrText>
      </w:r>
      <w:r w:rsidR="00E34EDA" w:rsidRPr="00610A40">
        <w:rPr>
          <w:color w:val="auto"/>
          <w:szCs w:val="24"/>
        </w:rPr>
        <w:fldChar w:fldCharType="separate"/>
      </w:r>
      <w:r w:rsidR="00565E2A" w:rsidRPr="00610A40">
        <w:rPr>
          <w:noProof/>
          <w:color w:val="auto"/>
          <w:szCs w:val="24"/>
          <w:vertAlign w:val="superscript"/>
        </w:rPr>
        <w:t>173–175</w:t>
      </w:r>
      <w:r w:rsidR="00E34EDA" w:rsidRPr="00610A40">
        <w:rPr>
          <w:color w:val="auto"/>
          <w:szCs w:val="24"/>
        </w:rPr>
        <w:fldChar w:fldCharType="end"/>
      </w:r>
      <w:r w:rsidRPr="00610A40">
        <w:rPr>
          <w:color w:val="auto"/>
          <w:szCs w:val="24"/>
        </w:rPr>
        <w:t xml:space="preserve">, depending on age group and method of measurement. Younger individuals have blood vessels that are more elastic </w:t>
      </w:r>
      <w:r w:rsidR="00B94541" w:rsidRPr="00610A40">
        <w:rPr>
          <w:color w:val="auto"/>
          <w:szCs w:val="24"/>
        </w:rPr>
        <w:t xml:space="preserve">and therefore </w:t>
      </w:r>
      <w:r w:rsidRPr="00610A40">
        <w:rPr>
          <w:color w:val="auto"/>
          <w:szCs w:val="24"/>
        </w:rPr>
        <w:t>lower modul</w:t>
      </w:r>
      <w:r w:rsidR="00B94541" w:rsidRPr="00610A40">
        <w:rPr>
          <w:color w:val="auto"/>
          <w:szCs w:val="24"/>
        </w:rPr>
        <w:t>i</w:t>
      </w:r>
      <w:r w:rsidRPr="00610A40">
        <w:rPr>
          <w:color w:val="auto"/>
          <w:szCs w:val="24"/>
        </w:rPr>
        <w:t>. Human carotid artery modulus in healthy volunteers was measured to be in a range of 0.15±0.04 to 0.89±0.27 MPa</w:t>
      </w:r>
      <w:r w:rsidRPr="00610A40">
        <w:rPr>
          <w:color w:val="auto"/>
          <w:szCs w:val="24"/>
        </w:rPr>
        <w:fldChar w:fldCharType="begin" w:fldLock="1"/>
      </w:r>
      <w:r w:rsidR="00565E2A" w:rsidRPr="00610A40">
        <w:rPr>
          <w:color w:val="auto"/>
          <w:szCs w:val="24"/>
        </w:rPr>
        <w:instrText>ADDIN CSL_CITATION { "citationItems" : [ { "id" : "ITEM-1", "itemData" : { "DOI" : "10.1016/j.ultras.2011.09.006", "ISSN" : "0041624X", "PMID" : "22030473", "abstract" : "Arterial stiffness is well accepted as a reliable indicator of arterial disease. Increase in carotid arterial stiffness has been associated with carotid arterial disease, e.g., atherosclerotic plaque, thrombosis, stenosis, etc. Several methods for carotid arterial stiffness assessment have been proposed. In this study, in vivo noninvasive assessment using applanation tonometry and an ultrasound-based motion estimation technique was applied in seven healthy volunteers (age 28\u00b13.6years old) to determine pressure and wall displacement in the left common carotid artery (CCA), respectively. The carotid pressure was obtained using a calibration method by assuming that the mean and diastolic blood pressures remained constant throughout the arterial tree. The regional carotid arterial wall displacement was estimated using a 1D cross-correlation technique on the ultrasound radio frequency (RF) signals acquired at a frame rate of 505-1010Hz. Young's moduli were estimated under two different assumptions: (i) a linear elastic two-parallel spring model and (ii) a two-dimensional, nonlinear, hyperelastic model. The circumferential stress (\u03c3(\u03b8)) and strain (\u025b(\u03b8)) relationship was then established in humans in vivo. A slope change in the circumferential stress-strain curve was observed and defined as the transition point. The Young's moduli of the elastic lamellae (E(1)), elastin-collagen fibers (E(2)) and collagen fibers (E(3)) and the incremental Young's moduli before ( [Formula: see text] ) and after the transition point ( [Formula: see text] ) were determined from the first and second approach, respectively, to describe the contribution of the complex mechanical interaction of the different arterial wall constituents. The average moduli E(1), E(2) and E(3) from seven healthy volunteers were found to be equal to 0.15\u00b10.04, 0.89\u00b10.27 and 0.75\u00b10.29MPa, respectively. The average moduli [Formula: see text] and [Formula: see text] of the intact wall (both the tunica adventitia and tunica media layers) were found to be equal to 0.16\u00b10.04MPa and 0.90\u00b10.25MPa, respectively. The average moduli [Formula: see text] and [Formula: see text] of the tunica adventitia were found to be equal to 0.18\u00b10.05MPa and 0.84\u00b10.22MPa, respectively. The average moduli [Formula: see text] and [Formula: see text] of the tunica media were found to be equal to 0.19\u00b10.05MPa and 0.90\u00b10.25MPa, respectively. The stiffness of the carotid artery increased with strain during the systolic phase. In conclu\u2026", "author" : [ { "dropping-particle" : "", "family" : "Khamdaeng", "given" : "T.", "non-dropping-particle" : "", "parse-names" : false, "suffix" : "" }, { "dropping-particle" : "", "family" : "Luo", "given" : "J.", "non-dropping-particle" : "", "parse-names" : false, "suffix" : "" }, { "dropping-particle" : "", "family" : "Vappou", "given" : "J.", "non-dropping-particle" : "", "parse-names" : false, "suffix" : "" }, { "dropping-particle" : "", "family" : "Terdtoon", "given" : "P.", "non-dropping-particle" : "", "parse-names" : false, "suffix" : "" }, { "dropping-particle" : "", "family" : "Konofagou", "given" : "E.E.", "non-dropping-particle" : "", "parse-names" : false, "suffix" : "" } ], "container-title" : "Ultrasonics", "id" : "ITEM-1", "issue" : "3", "issued" : { "date-parts" : [ [ "2012", "3" ] ] }, "page" : "402-411", "title" : "Arterial stiffness identification of the human carotid artery using the stress?strain relationship in vivo", "type" : "article-journal", "volume" : "52" }, "uris" : [ "http://www.mendeley.com/documents/?uuid=95320d3e-a65b-335c-9d05-ccd3b9c807ae", "http://www.mendeley.com/documents/?uuid=dee41c8e-a829-4ad9-ab76-9555ba339849" ] } ], "mendeley" : { "formattedCitation" : "&lt;sup&gt;176&lt;/sup&gt;", "plainTextFormattedCitation" : "176", "previouslyFormattedCitation" : "&lt;sup&gt;175&lt;/sup&gt;"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176</w:t>
      </w:r>
      <w:r w:rsidRPr="00610A40">
        <w:rPr>
          <w:color w:val="auto"/>
          <w:szCs w:val="24"/>
        </w:rPr>
        <w:fldChar w:fldCharType="end"/>
      </w:r>
      <w:r w:rsidRPr="00610A40">
        <w:rPr>
          <w:color w:val="auto"/>
          <w:szCs w:val="24"/>
        </w:rPr>
        <w:t xml:space="preserve">. Another group measured </w:t>
      </w:r>
      <w:r w:rsidRPr="00610A40">
        <w:rPr>
          <w:color w:val="auto"/>
          <w:szCs w:val="24"/>
          <w:shd w:val="clear" w:color="auto" w:fill="FFFFFF"/>
        </w:rPr>
        <w:t xml:space="preserve">stiffness of a typical artery to be in the range of 0.2 - 0.6 </w:t>
      </w:r>
      <w:proofErr w:type="spellStart"/>
      <w:r w:rsidRPr="00610A40">
        <w:rPr>
          <w:color w:val="auto"/>
          <w:szCs w:val="24"/>
          <w:shd w:val="clear" w:color="auto" w:fill="FFFFFF"/>
        </w:rPr>
        <w:t>MPa</w:t>
      </w:r>
      <w:proofErr w:type="spellEnd"/>
      <w:r w:rsidRPr="00610A40">
        <w:rPr>
          <w:color w:val="auto"/>
          <w:szCs w:val="24"/>
          <w:shd w:val="clear" w:color="auto" w:fill="FFFFFF"/>
        </w:rPr>
        <w:t xml:space="preserve"> in the lower modulus region and 2 - 6 </w:t>
      </w:r>
      <w:proofErr w:type="spellStart"/>
      <w:r w:rsidRPr="00610A40">
        <w:rPr>
          <w:color w:val="auto"/>
          <w:szCs w:val="24"/>
          <w:shd w:val="clear" w:color="auto" w:fill="FFFFFF"/>
        </w:rPr>
        <w:t>MPa</w:t>
      </w:r>
      <w:proofErr w:type="spellEnd"/>
      <w:r w:rsidRPr="00610A40">
        <w:rPr>
          <w:color w:val="auto"/>
          <w:szCs w:val="24"/>
          <w:shd w:val="clear" w:color="auto" w:fill="FFFFFF"/>
        </w:rPr>
        <w:t xml:space="preserve"> in the upper region which was believed to be dominated by collagen fiber mechanics. The lower modulus region </w:t>
      </w:r>
      <w:r w:rsidR="00B94541" w:rsidRPr="00610A40">
        <w:rPr>
          <w:color w:val="auto"/>
          <w:szCs w:val="24"/>
          <w:shd w:val="clear" w:color="auto" w:fill="FFFFFF"/>
        </w:rPr>
        <w:t>was</w:t>
      </w:r>
      <w:r w:rsidRPr="00610A40">
        <w:rPr>
          <w:color w:val="auto"/>
          <w:szCs w:val="24"/>
          <w:shd w:val="clear" w:color="auto" w:fill="FFFFFF"/>
        </w:rPr>
        <w:t xml:space="preserve"> linear up to about 50% strain in most vessels at which point the mechanics changed to that of the upper modulus </w:t>
      </w:r>
      <w:r w:rsidRPr="00610A40">
        <w:rPr>
          <w:color w:val="auto"/>
          <w:szCs w:val="24"/>
          <w:shd w:val="clear" w:color="auto" w:fill="FFFFFF"/>
        </w:rPr>
        <w:lastRenderedPageBreak/>
        <w:t>region</w:t>
      </w:r>
      <w:r w:rsidRPr="00610A40">
        <w:rPr>
          <w:color w:val="auto"/>
          <w:szCs w:val="24"/>
          <w:shd w:val="clear" w:color="auto" w:fill="FFFFFF"/>
        </w:rPr>
        <w:fldChar w:fldCharType="begin" w:fldLock="1"/>
      </w:r>
      <w:r w:rsidR="00565E2A" w:rsidRPr="00610A40">
        <w:rPr>
          <w:color w:val="auto"/>
          <w:szCs w:val="24"/>
          <w:shd w:val="clear" w:color="auto" w:fill="FFFFFF"/>
        </w:rPr>
        <w:instrText>ADDIN CSL_CITATION { "citationItems" : [ { "id" : "ITEM-1", "itemData" : { "ISSN" : "1941-5893", "PMID" : "22518247", "abstract" : "BACKGROUND Blood vessel mechanics has traditionally been of interest to researchers and clinicians. Changes in mechanical properties of arteries have been associated with various diseases. OBJECTIVE To provide a comprehensive review directed towards understanding the basic biomechanical properties of cerebral arteries under normal and diseased conditions. METHODS Literature review supplemented by personal knowledge. RESULTS The mechanical properties of vascular tissue may depend on several factors including macromolecular volume fraction, molecular orientation, and volume or number of cells such as smooth muscle cells. Mechanical properties of a blood vessel have been characterized using different methods such as in vitro tensile testing, non-invasive ultrasound examination, and mathematical models. Experiments are complicated by the variation in properties and content of materials that make up the vessel wall and more challenging as the size of the vessel of interest decreases. Therapeutic interventions aiming to alter the mechanical response are either pharmaceutical: including calcium channel blockers, angiotensin converting enzyme inhibitors (ACEI), angiotensin receptor blockers (ARB), and \u03b2-blockers; or, mechanical interventions such as angioplasty, stent placement, mechanical thrombectomy, or embolization procedures. CONCLUSION It is apparent from the literature that macromolecular and cellular mechanics of blood vessels are not fully understood. Therefore, further studies are necessary to better understand contribution of these mechanisms to the overall mechanics of the vascular tissue.", "author" : [ { "dropping-particle" : "", "family" : "Ebrahimi", "given" : "Ali P", "non-dropping-particle" : "", "parse-names" : false, "suffix" : "" } ], "container-title" : "Journal of vascular and interventional neurology", "id" : "ITEM-1", "issue" : "2", "issued" : { "date-parts" : [ [ "2009", "4" ] ] }, "page" : "155-62", "publisher" : "Zeenat Qureshi Stroke Research Center", "title" : "Mechanical properties of normal and diseased cerebrovascular system.", "type" : "article-journal", "volume" : "2" }, "uris" : [ "http://www.mendeley.com/documents/?uuid=49aeb39a-aaa5-3cda-be87-234c866e6c26", "http://www.mendeley.com/documents/?uuid=e2cb81ea-d008-40cb-a9f7-2b802926d444" ] } ], "mendeley" : { "formattedCitation" : "&lt;sup&gt;177&lt;/sup&gt;", "plainTextFormattedCitation" : "177", "previouslyFormattedCitation" : "&lt;sup&gt;176&lt;/sup&gt;" }, "properties" : { "noteIndex" : 0 }, "schema" : "https://github.com/citation-style-language/schema/raw/master/csl-citation.json" }</w:instrText>
      </w:r>
      <w:r w:rsidRPr="00610A40">
        <w:rPr>
          <w:color w:val="auto"/>
          <w:szCs w:val="24"/>
          <w:shd w:val="clear" w:color="auto" w:fill="FFFFFF"/>
        </w:rPr>
        <w:fldChar w:fldCharType="separate"/>
      </w:r>
      <w:r w:rsidR="00565E2A" w:rsidRPr="00610A40">
        <w:rPr>
          <w:noProof/>
          <w:color w:val="auto"/>
          <w:szCs w:val="24"/>
          <w:shd w:val="clear" w:color="auto" w:fill="FFFFFF"/>
          <w:vertAlign w:val="superscript"/>
        </w:rPr>
        <w:t>177</w:t>
      </w:r>
      <w:r w:rsidRPr="00610A40">
        <w:rPr>
          <w:color w:val="auto"/>
          <w:szCs w:val="24"/>
          <w:shd w:val="clear" w:color="auto" w:fill="FFFFFF"/>
        </w:rPr>
        <w:fldChar w:fldCharType="end"/>
      </w:r>
      <w:r w:rsidRPr="00610A40">
        <w:rPr>
          <w:color w:val="auto"/>
          <w:szCs w:val="24"/>
          <w:shd w:val="clear" w:color="auto" w:fill="FFFFFF"/>
        </w:rPr>
        <w:t xml:space="preserve">. </w:t>
      </w:r>
      <w:r w:rsidRPr="00610A40">
        <w:rPr>
          <w:color w:val="auto"/>
          <w:szCs w:val="24"/>
        </w:rPr>
        <w:t>The maximum circumferential strain of human arteries is about 20% whereas that of pigs is about 60% to 70%</w:t>
      </w:r>
      <w:r w:rsidRPr="00610A40">
        <w:rPr>
          <w:color w:val="auto"/>
          <w:szCs w:val="24"/>
        </w:rPr>
        <w:fldChar w:fldCharType="begin" w:fldLock="1"/>
      </w:r>
      <w:r w:rsidR="00565E2A" w:rsidRPr="00610A40">
        <w:rPr>
          <w:color w:val="auto"/>
          <w:szCs w:val="24"/>
        </w:rPr>
        <w:instrText>ADDIN CSL_CITATION { "citationItems" : [ { "id" : "ITEM-1", "itemData" : { "DOI" : "10.1016/S0003-4975(03)00263-7", "ISSN" : "00034975", "abstract" : "&lt;h2&gt;Abstract&lt;/h2&gt;&lt;h3&gt;Background&lt;/h3&gt;&lt;p&gt;To determine whether the pig is an appropriate experimental animal for studies on distal anastomotic connectors in coronary artery bypass surgery, the mechanical properties of young porcine and old human coronary and internal mammary arteries were compared within and beyond the physiologic range of strains.&lt;/p&gt;&lt;h3&gt;Methods&lt;/h3&gt;&lt;p&gt;Coronary arteries from 6 humans and 8 pigs were studied as well as internal mammary arteries of 3 humans and 6 pigs (human, aged 61 to 85 years; pig, 78.7 \u00b1 5.8 kg [mean \u00b1 SD]). Pressure-diameter, pressure-axial force, circumferential and axial stress-strain relations, and dimensions were measured.&lt;/p&gt;&lt;h3&gt;Results&lt;/h3&gt;&lt;p&gt;The dimensions of the porcine and human coronary and internal mammary artery were generally similar but wall thickness was smaller in the porcine internal mammary artery (0.35 \u00b1 0.07 mm versus 0.71 \u00b1 0.06 mm, respectively, &lt;i&gt;p&lt;/i&gt; = 0.002). The porcine internal mammary artery wall was less elastic than the coronary artery wall, whereas in humans both arteries displayed similar elasticity. Overall the porcine arteries were far more elastic in both circumferential and axial direction compared with the human arteries. Consequently the porcine arteries could be safely stretched by 60% to 70% compared with about 20% for the human arteries before reaching their maximum circumferential strain.&lt;/p&gt;&lt;h3&gt;Conclusions&lt;/h3&gt;&lt;p&gt;The three times greater elasticity of porcine compared with human coronary and internal mammary artery walls may result in underestimation of wall stress and the risk of wall injury when coronary connectors that involve overstretching of the wall are evaluated in the pig.&lt;/p&gt;", "author" : [ { "dropping-particle" : "", "family" : "Andel", "given" : "Carolien J", "non-dropping-particle" : "van", "parse-names" : false, "suffix" : "" }, { "dropping-particle" : "V", "family" : "Pistecky", "given" : "Peter", "non-dropping-particle" : "", "parse-names" : false, "suffix" : "" }, { "dropping-particle" : "", "family" : "Borst", "given" : "Cornelius", "non-dropping-particle" : "", "parse-names" : false, "suffix" : "" }, { "dropping-particle" : "", "family" : "al.", "given" : "et", "non-dropping-particle" : "", "parse-names" : false, "suffix" : "" }, { "dropping-particle" : "", "family" : "Rafeh", "given" : "W.", "non-dropping-particle" : "", "parse-names" : false, "suffix" : "" }, { "dropping-particle" : "", "family" : "Al-Halees", "given" : "Z.", "non-dropping-particle" : "", "parse-names" : false, "suffix" : "" } ], "container-title" : "The Annals of Thoracic Surgery", "id" : "ITEM-1", "issue" : "1", "issued" : { "date-parts" : [ [ "2003", "7" ] ] }, "page" : "58-64", "publisher" : "Springer-Verlag, London", "title" : "Mechanical properties of porcine and human arteries: implications for coronary anastomotic connectors", "type" : "article-journal", "volume" : "76" }, "uris" : [ "http://www.mendeley.com/documents/?uuid=509d3e5e-9568-3ea5-bb3b-c3894d05c32f", "http://www.mendeley.com/documents/?uuid=de8ac4de-6af6-40b4-8419-b4d5d86f51d9" ] } ], "mendeley" : { "formattedCitation" : "&lt;sup&gt;178&lt;/sup&gt;", "plainTextFormattedCitation" : "178", "previouslyFormattedCitation" : "&lt;sup&gt;177&lt;/sup&gt;"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178</w:t>
      </w:r>
      <w:r w:rsidRPr="00610A40">
        <w:rPr>
          <w:color w:val="auto"/>
          <w:szCs w:val="24"/>
        </w:rPr>
        <w:fldChar w:fldCharType="end"/>
      </w:r>
      <w:r w:rsidRPr="00610A40">
        <w:rPr>
          <w:color w:val="auto"/>
          <w:szCs w:val="24"/>
        </w:rPr>
        <w:t xml:space="preserve">. </w:t>
      </w:r>
      <w:proofErr w:type="gramStart"/>
      <w:r w:rsidRPr="00610A40">
        <w:rPr>
          <w:color w:val="auto"/>
          <w:szCs w:val="24"/>
        </w:rPr>
        <w:t>Evans et.al.</w:t>
      </w:r>
      <w:proofErr w:type="gramEnd"/>
      <w:r w:rsidRPr="00610A40">
        <w:rPr>
          <w:color w:val="auto"/>
          <w:szCs w:val="24"/>
        </w:rPr>
        <w:t xml:space="preserve"> also found the human arterial strain to be around 100%</w:t>
      </w:r>
      <w:r w:rsidRPr="00610A40">
        <w:rPr>
          <w:color w:val="auto"/>
          <w:szCs w:val="24"/>
        </w:rPr>
        <w:fldChar w:fldCharType="begin" w:fldLock="1"/>
      </w:r>
      <w:r w:rsidR="00565E2A" w:rsidRPr="00610A40">
        <w:rPr>
          <w:color w:val="auto"/>
          <w:szCs w:val="24"/>
        </w:rPr>
        <w:instrText>ADDIN CSL_CITATION { "citationItems" : [ { "id" : "ITEM-1", "itemData" : { "author" : [ { "dropping-particle" : "", "family" : "Evans FG", "given" : "", "non-dropping-particle" : "", "parse-names" : false, "suffix" : "" } ], "id" : "ITEM-1", "issued" : { "date-parts" : [ [ "1980" ] ] }, "publisher" : "Baltimore: Williams &amp; Wilkins", "title" : "Strength of Biological Materials", "type" : "book" }, "uris" : [ "http://www.mendeley.com/documents/?uuid=4a583f04-d50a-4910-b98f-8b1e9e85373a", "http://www.mendeley.com/documents/?uuid=304e2a75-e2fb-457b-9728-c2d85bbd7226" ] } ], "mendeley" : { "formattedCitation" : "&lt;sup&gt;179&lt;/sup&gt;", "plainTextFormattedCitation" : "179", "previouslyFormattedCitation" : "&lt;sup&gt;178&lt;/sup&gt;"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179</w:t>
      </w:r>
      <w:r w:rsidRPr="00610A40">
        <w:rPr>
          <w:color w:val="auto"/>
          <w:szCs w:val="24"/>
        </w:rPr>
        <w:fldChar w:fldCharType="end"/>
      </w:r>
      <w:r w:rsidRPr="00610A40">
        <w:rPr>
          <w:color w:val="auto"/>
          <w:szCs w:val="24"/>
        </w:rPr>
        <w:t xml:space="preserve">. </w:t>
      </w:r>
    </w:p>
    <w:p w14:paraId="46792770" w14:textId="096BF85F" w:rsidR="00972EB2" w:rsidRPr="00610A40" w:rsidRDefault="00007C8A" w:rsidP="004A0094">
      <w:pPr>
        <w:pStyle w:val="Heading3"/>
      </w:pPr>
      <w:r w:rsidRPr="00610A40">
        <w:t>6</w:t>
      </w:r>
      <w:r w:rsidR="00E34EDA" w:rsidRPr="00610A40">
        <w:t xml:space="preserve">.1.2 </w:t>
      </w:r>
      <w:r w:rsidR="001F12C7" w:rsidRPr="00610A40">
        <w:t>Veins</w:t>
      </w:r>
    </w:p>
    <w:p w14:paraId="30EAC0DD" w14:textId="44B1B569" w:rsidR="00972EB2" w:rsidRPr="00610A40" w:rsidRDefault="00B94541" w:rsidP="00972EB2">
      <w:pPr>
        <w:rPr>
          <w:color w:val="auto"/>
          <w:szCs w:val="24"/>
        </w:rPr>
      </w:pPr>
      <w:r w:rsidRPr="00610A40">
        <w:rPr>
          <w:color w:val="auto"/>
          <w:szCs w:val="24"/>
        </w:rPr>
        <w:t>Veins tend to be less elastic with generally higher moduli</w:t>
      </w:r>
      <w:r w:rsidR="00972EB2" w:rsidRPr="00610A40">
        <w:rPr>
          <w:color w:val="auto"/>
          <w:szCs w:val="24"/>
        </w:rPr>
        <w:t xml:space="preserve">. The saphenous vein </w:t>
      </w:r>
      <w:r w:rsidRPr="00610A40">
        <w:rPr>
          <w:color w:val="auto"/>
          <w:szCs w:val="24"/>
        </w:rPr>
        <w:t xml:space="preserve">was measured to have </w:t>
      </w:r>
      <w:proofErr w:type="gramStart"/>
      <w:r w:rsidRPr="00610A40">
        <w:rPr>
          <w:color w:val="auto"/>
          <w:szCs w:val="24"/>
        </w:rPr>
        <w:t xml:space="preserve">a </w:t>
      </w:r>
      <w:r w:rsidR="00972EB2" w:rsidRPr="00610A40">
        <w:rPr>
          <w:color w:val="auto"/>
          <w:szCs w:val="24"/>
        </w:rPr>
        <w:t>strength</w:t>
      </w:r>
      <w:proofErr w:type="gramEnd"/>
      <w:r w:rsidR="00972EB2" w:rsidRPr="00610A40">
        <w:rPr>
          <w:color w:val="auto"/>
          <w:szCs w:val="24"/>
        </w:rPr>
        <w:t xml:space="preserve"> of 5.38 ± 0.6 </w:t>
      </w:r>
      <w:proofErr w:type="spellStart"/>
      <w:r w:rsidR="00972EB2" w:rsidRPr="00610A40">
        <w:rPr>
          <w:color w:val="auto"/>
          <w:szCs w:val="24"/>
        </w:rPr>
        <w:t>MPa</w:t>
      </w:r>
      <w:proofErr w:type="spellEnd"/>
      <w:r w:rsidR="00972EB2" w:rsidRPr="00610A40">
        <w:rPr>
          <w:color w:val="auto"/>
          <w:szCs w:val="24"/>
        </w:rPr>
        <w:t xml:space="preserve"> (longitudinal) and 2.61 ± 0.67 </w:t>
      </w:r>
      <w:proofErr w:type="spellStart"/>
      <w:r w:rsidR="00972EB2" w:rsidRPr="00610A40">
        <w:rPr>
          <w:color w:val="auto"/>
          <w:szCs w:val="24"/>
        </w:rPr>
        <w:t>MPa</w:t>
      </w:r>
      <w:proofErr w:type="spellEnd"/>
      <w:r w:rsidR="00972EB2" w:rsidRPr="00610A40">
        <w:rPr>
          <w:color w:val="auto"/>
          <w:szCs w:val="24"/>
        </w:rPr>
        <w:t xml:space="preserve"> (circumferential), and stretch ratio of 1.32 ± 0.04 (longitudinal) and 1.55 ± 0.06 (circumferential). The human umbilical vein </w:t>
      </w:r>
      <w:r w:rsidRPr="00610A40">
        <w:rPr>
          <w:color w:val="auto"/>
          <w:szCs w:val="24"/>
        </w:rPr>
        <w:t>was</w:t>
      </w:r>
      <w:r w:rsidR="00972EB2" w:rsidRPr="00610A40">
        <w:rPr>
          <w:color w:val="auto"/>
          <w:szCs w:val="24"/>
        </w:rPr>
        <w:t xml:space="preserve"> 1.65 ± 0.11 </w:t>
      </w:r>
      <w:proofErr w:type="spellStart"/>
      <w:r w:rsidR="00972EB2" w:rsidRPr="00610A40">
        <w:rPr>
          <w:color w:val="auto"/>
          <w:szCs w:val="24"/>
        </w:rPr>
        <w:t>MPa</w:t>
      </w:r>
      <w:proofErr w:type="spellEnd"/>
      <w:r w:rsidR="00972EB2" w:rsidRPr="00610A40">
        <w:rPr>
          <w:color w:val="auto"/>
          <w:szCs w:val="24"/>
        </w:rPr>
        <w:t xml:space="preserve"> (longitudinal) and 0.97 ± 0.19 </w:t>
      </w:r>
      <w:proofErr w:type="spellStart"/>
      <w:r w:rsidR="00972EB2" w:rsidRPr="00610A40">
        <w:rPr>
          <w:color w:val="auto"/>
          <w:szCs w:val="24"/>
        </w:rPr>
        <w:t>MPa</w:t>
      </w:r>
      <w:proofErr w:type="spellEnd"/>
      <w:r w:rsidR="00972EB2" w:rsidRPr="00610A40">
        <w:rPr>
          <w:color w:val="auto"/>
          <w:szCs w:val="24"/>
        </w:rPr>
        <w:t xml:space="preserve"> (circumferential) </w:t>
      </w:r>
      <w:r w:rsidRPr="00610A40">
        <w:rPr>
          <w:color w:val="auto"/>
          <w:szCs w:val="24"/>
        </w:rPr>
        <w:t xml:space="preserve">in strength </w:t>
      </w:r>
      <w:r w:rsidR="00972EB2" w:rsidRPr="00610A40">
        <w:rPr>
          <w:color w:val="auto"/>
          <w:szCs w:val="24"/>
        </w:rPr>
        <w:t>and</w:t>
      </w:r>
      <w:r w:rsidRPr="00610A40">
        <w:rPr>
          <w:color w:val="auto"/>
          <w:szCs w:val="24"/>
        </w:rPr>
        <w:t xml:space="preserve"> had a</w:t>
      </w:r>
      <w:r w:rsidR="00972EB2" w:rsidRPr="00610A40">
        <w:rPr>
          <w:color w:val="auto"/>
          <w:szCs w:val="24"/>
        </w:rPr>
        <w:t xml:space="preserve"> stretch ratio of 1.33 ± 0.04 (longitudinal) and 1.90 ± 0.16 (circumferential)</w:t>
      </w:r>
      <w:r w:rsidR="00972EB2" w:rsidRPr="00610A40">
        <w:rPr>
          <w:color w:val="auto"/>
          <w:szCs w:val="24"/>
        </w:rPr>
        <w:fldChar w:fldCharType="begin" w:fldLock="1"/>
      </w:r>
      <w:r w:rsidR="00565E2A" w:rsidRPr="00610A40">
        <w:rPr>
          <w:color w:val="auto"/>
          <w:szCs w:val="24"/>
        </w:rPr>
        <w:instrText>ADDIN CSL_CITATION { "citationItems" : [ { "id" : "ITEM-1", "itemData" : { "DOI" : "10.1186/1475-925X-11-59", "ISSN" : "1475-925X", "PMID" : "22917177", "abstract" : "BACKGROUND: As a main cause of mortality in developed countries, Coronary Artery Disease (CAD) is known as silent killer with a considerable cost to be dedicated for its treatment. Coronary Artery Bypass Graft (CABG) is a common remedy for CAD for which different blood vessels are used as a detour. There is a lack of knowledge about mechanical properties of human blood vessels used for CABG, and while these properties have a great impact on long-term patency of a CABG. Thus, studying these properties, especially those of human umbilical veins which have not been considered yet, looks utterly necessary.\\n\\nMETHODS: Umbilical vein, as well as human Saphenous vein, are respectively obtained after cesarean and CABG. First, histological tests were performed to investigate different fiber contents of the samples. Having prepared samples carefully, force-displacement results of samples were rendered to real stress-strain measurements and then a fourth-order polynomial was used to prove the non-linear behavior of these two vessels.\\n\\nRESULTS: Results were analyzed in two directions, i.e. circumferentially and longitudinally, which then were compared with each other. The comparison between stiffness and elasticity of these veins showed that Saphenous vein's stiffness is much higher than that of umbilical vein and also, it is less stretchable. Furthermore, for both vessels, longitudinal stiffness was higher than that of circumferential and in stark contrast, stretch ratio in circumferential direction came much higher than longitudinal orientation.\\n\\nCONCLUSION: Blood pressure is very high in the region of aorta, so there should be a stiff blood vessel in this area and previous investigations showed that stiffer vessels would have a better influence on the flow of bypass. To this end, the current study has made an attempt to compare these two blood vessels' stiffness, finding that Saphenous vein is stiffer than umbilical vein which is somehow as stiff as rat aortic vessels. As blood vessel's stiffness is directly related to elastin and mainly collagen content, results showed the lower amount of these two contents in umbilical vein regarding Saphenous vein.", "author" : [ { "dropping-particle" : "", "family" : "Hamedani", "given" : "Borhan Alhosseini", "non-dropping-particle" : "", "parse-names" : false, "suffix" : "" }, { "dropping-particle" : "", "family" : "Navidbakhsh", "given" : "Mahdi", "non-dropping-particle" : "", "parse-names" : false, "suffix" : "" }, { "dropping-particle" : "", "family" : "Tafti", "given" : "Hossein Ahmadi", "non-dropping-particle" : "", "parse-names" : false, "suffix" : "" } ], "container-title" : "Biomedical engineering online", "id" : "ITEM-1", "issue" : "1", "issued" : { "date-parts" : [ [ "2012" ] ] }, "page" : "59", "title" : "Comparison between mechanical properties of human saphenous vein and umbilical vein.", "type" : "article-journal", "volume" : "11" }, "uris" : [ "http://www.mendeley.com/documents/?uuid=16021bcf-dfa0-466d-9863-c5d76cc79607", "http://www.mendeley.com/documents/?uuid=6cb6c94f-c081-4c44-8e2b-dd769261b77a" ] } ], "mendeley" : { "formattedCitation" : "&lt;sup&gt;180&lt;/sup&gt;", "plainTextFormattedCitation" : "180", "previouslyFormattedCitation" : "&lt;sup&gt;179&lt;/sup&gt;" }, "properties" : { "noteIndex" : 0 }, "schema" : "https://github.com/citation-style-language/schema/raw/master/csl-citation.json" }</w:instrText>
      </w:r>
      <w:r w:rsidR="00972EB2" w:rsidRPr="00610A40">
        <w:rPr>
          <w:color w:val="auto"/>
          <w:szCs w:val="24"/>
        </w:rPr>
        <w:fldChar w:fldCharType="separate"/>
      </w:r>
      <w:r w:rsidR="00565E2A" w:rsidRPr="00610A40">
        <w:rPr>
          <w:noProof/>
          <w:color w:val="auto"/>
          <w:szCs w:val="24"/>
          <w:vertAlign w:val="superscript"/>
        </w:rPr>
        <w:t>180</w:t>
      </w:r>
      <w:r w:rsidR="00972EB2" w:rsidRPr="00610A40">
        <w:rPr>
          <w:color w:val="auto"/>
          <w:szCs w:val="24"/>
        </w:rPr>
        <w:fldChar w:fldCharType="end"/>
      </w:r>
      <w:r w:rsidR="00972EB2" w:rsidRPr="00610A40">
        <w:rPr>
          <w:color w:val="auto"/>
          <w:szCs w:val="24"/>
        </w:rPr>
        <w:t xml:space="preserve">. </w:t>
      </w:r>
    </w:p>
    <w:p w14:paraId="38F5BB92" w14:textId="0E240A17" w:rsidR="00972EB2" w:rsidRPr="00610A40" w:rsidRDefault="00007C8A" w:rsidP="004A0094">
      <w:pPr>
        <w:pStyle w:val="Heading3"/>
      </w:pPr>
      <w:r w:rsidRPr="00610A40">
        <w:t>6</w:t>
      </w:r>
      <w:r w:rsidR="00E34EDA" w:rsidRPr="00610A40">
        <w:t xml:space="preserve">.1.3 </w:t>
      </w:r>
      <w:r w:rsidR="001F12C7" w:rsidRPr="00610A40">
        <w:t>Dimensions</w:t>
      </w:r>
    </w:p>
    <w:p w14:paraId="4629AF59" w14:textId="25D9F949" w:rsidR="00972EB2" w:rsidRPr="00610A40" w:rsidRDefault="00972EB2" w:rsidP="00972EB2">
      <w:pPr>
        <w:rPr>
          <w:color w:val="auto"/>
          <w:szCs w:val="24"/>
        </w:rPr>
      </w:pPr>
      <w:r w:rsidRPr="00610A40">
        <w:rPr>
          <w:color w:val="auto"/>
          <w:szCs w:val="24"/>
        </w:rPr>
        <w:t xml:space="preserve">The dimensions of the blood vessels of interest </w:t>
      </w:r>
      <w:r w:rsidR="00BD4CA7" w:rsidRPr="00610A40">
        <w:rPr>
          <w:color w:val="auto"/>
          <w:szCs w:val="24"/>
        </w:rPr>
        <w:t>are</w:t>
      </w:r>
      <w:r w:rsidRPr="00610A40">
        <w:rPr>
          <w:color w:val="auto"/>
          <w:szCs w:val="24"/>
        </w:rPr>
        <w:t xml:space="preserve"> also important as the vascular tissue engineering material must be able to be fabricated into such dimensions to facilitate its function. The diameter of the distributing arteries range between 0.5 and 3.5</w:t>
      </w:r>
      <w:r w:rsidR="00BD4CA7" w:rsidRPr="00610A40">
        <w:rPr>
          <w:color w:val="auto"/>
          <w:szCs w:val="24"/>
        </w:rPr>
        <w:t xml:space="preserve"> </w:t>
      </w:r>
      <w:r w:rsidRPr="00610A40">
        <w:rPr>
          <w:color w:val="auto"/>
          <w:szCs w:val="24"/>
        </w:rPr>
        <w:t xml:space="preserve">mm, and the arteriolar network of between 100 and 1000 </w:t>
      </w:r>
      <w:r w:rsidRPr="00610A40">
        <w:rPr>
          <w:rFonts w:ascii="Calibri" w:hAnsi="Calibri"/>
          <w:color w:val="auto"/>
          <w:szCs w:val="24"/>
        </w:rPr>
        <w:t>µ</w:t>
      </w:r>
      <w:r w:rsidRPr="00610A40">
        <w:rPr>
          <w:color w:val="auto"/>
          <w:szCs w:val="24"/>
        </w:rPr>
        <w:t>m</w:t>
      </w:r>
      <w:r w:rsidRPr="00610A40">
        <w:rPr>
          <w:color w:val="auto"/>
          <w:szCs w:val="24"/>
        </w:rPr>
        <w:fldChar w:fldCharType="begin" w:fldLock="1"/>
      </w:r>
      <w:r w:rsidR="00565E2A" w:rsidRPr="00610A40">
        <w:rPr>
          <w:color w:val="auto"/>
          <w:szCs w:val="24"/>
        </w:rPr>
        <w:instrText>ADDIN CSL_CITATION { "citationItems" : [ { "id" : "ITEM-1", "itemData" : { "DOI" : "10.1016/j.actbio.2013.01.005", "ISSN" : "1742-7061", "author" : [ { "dropping-particle" : "", "family" : "Diban", "given" : "Nazely", "non-dropping-particle" : "", "parse-names" : false, "suffix" : "" }, { "dropping-particle" : "", "family" : "Haimi", "given" : "Suvi", "non-dropping-particle" : "", "parse-names" : false, "suffix" : "" }, { "dropping-particle" : "", "family" : "Bolhuis-versteeg", "given" : "Lydia", "non-dropping-particle" : "", "parse-names" : false, "suffix" : "" }, { "dropping-particle" : "", "family" : "Teixeira", "given" : "Sandra", "non-dropping-particle" : "", "parse-names" : false, "suffix" : "" }, { "dropping-particle" : "", "family" : "Miettinen", "given" : "Susanna", "non-dropping-particle" : "", "parse-names" : false, "suffix" : "" }, { "dropping-particle" : "", "family" : "Poot", "given" : "Andr\u00e9", "non-dropping-particle" : "", "parse-names" : false, "suffix" : "" }, { "dropping-particle" : "", "family" : "Grijpma", "given" : "Dirk", "non-dropping-particle" : "", "parse-names" : false, "suffix" : "" }, { "dropping-particle" : "", "family" : "Stamatialis", "given" : "Dimitrios", "non-dropping-particle" : "", "parse-names" : false, "suffix" : "" } ], "container-title" : "Acta Biomaterialia", "id" : "ITEM-1", "issue" : "5", "issued" : { "date-parts" : [ [ "2013" ] ] }, "page" : "6450-6458", "publisher" : "Acta Materialia Inc.", "title" : "Hollow fibers of poly(lactide-co-glycolide) and poly(\u03b5-caprolactone) blends for vascular tissue engineering applications", "type" : "article-journal", "volume" : "9" }, "uris" : [ "http://www.mendeley.com/documents/?uuid=85d33e51-77db-44ab-9c78-8d43b217151b", "http://www.mendeley.com/documents/?uuid=3a84f95b-69a6-4b64-9040-d67abf749f28" ] } ], "mendeley" : { "formattedCitation" : "&lt;sup&gt;181&lt;/sup&gt;", "plainTextFormattedCitation" : "181", "previouslyFormattedCitation" : "&lt;sup&gt;180&lt;/sup&gt;"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181</w:t>
      </w:r>
      <w:r w:rsidRPr="00610A40">
        <w:rPr>
          <w:color w:val="auto"/>
          <w:szCs w:val="24"/>
        </w:rPr>
        <w:fldChar w:fldCharType="end"/>
      </w:r>
      <w:r w:rsidRPr="00610A40">
        <w:rPr>
          <w:color w:val="auto"/>
          <w:szCs w:val="24"/>
        </w:rPr>
        <w:t>. One report measured the outer diameters of coronary arteries of young volunteers (23 and 35 years old) to be ranged between 3.42 mm and 3.84 mm while that of elder volunteers (60 to 83 years old) to be between 3.93 mm and 5.98 mm</w:t>
      </w:r>
      <w:r w:rsidRPr="00610A40">
        <w:rPr>
          <w:color w:val="auto"/>
          <w:szCs w:val="24"/>
        </w:rPr>
        <w:fldChar w:fldCharType="begin" w:fldLock="1"/>
      </w:r>
      <w:r w:rsidR="00565E2A" w:rsidRPr="00610A40">
        <w:rPr>
          <w:color w:val="auto"/>
          <w:szCs w:val="24"/>
        </w:rPr>
        <w:instrText>ADDIN CSL_CITATION { "citationItems" : [ { "id" : "ITEM-1", "itemData" : { "DOI" : "10.1109/IEMBS.2010.5627560", "ISBN" : "978-1-4244-4123-5", "ISSN" : "1557-170X", "PMID" : "21096878", "abstract" : "The lack of reliable mechanical data on coronary arteries and, more specifically, on their wall strength hampers the application of numerical models and simulations to vascular problems, and precludes physicians from knowing in advance the response of coronary arteries to the different interventions. Studies of the mechanical properties of coronary arteries have been carried out almost exclusively on animals. Only a few studies have tried to characterize the in vivo behavior of human coronaries through tests under physiological conditions. In this work, the mechanical properties of human coronary arteries have been characterized. Whole samples from human right (RC) and left anterior descending (LAD) coronary arteries aged between 23 and 83 years have been studied by means of in-vitro tensile testing up to failure.", "author" : [ { "dropping-particle" : "", "family" : "Claes", "given" : "E", "non-dropping-particle" : "", "parse-names" : false, "suffix" : "" }, { "dropping-particle" : "", "family" : "Atienza", "given" : "J M", "non-dropping-particle" : "", "parse-names" : false, "suffix" : "" }, { "dropping-particle" : "V", "family" : "Guinea", "given" : "G", "non-dropping-particle" : "", "parse-names" : false, "suffix" : "" }, { "dropping-particle" : "", "family" : "Rojo", "given" : "F J", "non-dropping-particle" : "", "parse-names" : false, "suffix" : "" }, { "dropping-particle" : "", "family" : "Bernal", "given" : "J M", "non-dropping-particle" : "", "parse-names" : false, "suffix" : "" }, { "dropping-particle" : "", "family" : "Revuelta", "given" : "J M", "non-dropping-particle" : "", "parse-names" : false, "suffix" : "" }, { "dropping-particle" : "", "family" : "Elices", "given" : "M", "non-dropping-particle" : "", "parse-names" : false, "suffix" : "" } ], "container-title" : "2010 Annual International Conference of the IEEE Engineering in Medicine and Biology", "id" : "ITEM-1", "issued" : { "date-parts" : [ [ "2010" ] ] }, "page" : "3792-3795", "title" : "Mechanical properties of human coronary arteries", "type" : "article-journal" }, "uris" : [ "http://www.mendeley.com/documents/?uuid=c0ebb8fe-20d9-4dc0-8c02-f6987797f893", "http://www.mendeley.com/documents/?uuid=262488ce-e538-4a08-ac2b-94eb33dd3458" ] } ], "mendeley" : { "formattedCitation" : "&lt;sup&gt;173&lt;/sup&gt;", "plainTextFormattedCitation" : "173", "previouslyFormattedCitation" : "&lt;sup&gt;172&lt;/sup&gt;"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173</w:t>
      </w:r>
      <w:r w:rsidRPr="00610A40">
        <w:rPr>
          <w:color w:val="auto"/>
          <w:szCs w:val="24"/>
        </w:rPr>
        <w:fldChar w:fldCharType="end"/>
      </w:r>
      <w:r w:rsidRPr="00610A40">
        <w:rPr>
          <w:color w:val="auto"/>
          <w:szCs w:val="24"/>
        </w:rPr>
        <w:t>. Another study reported the outer diameter of left anterior descending artery of the heart to be 4.5 ± 0.3 mm and thickness of the vessel wall to be 0.87 ± 0.23 mm, respectively</w:t>
      </w:r>
      <w:r w:rsidRPr="00610A40">
        <w:rPr>
          <w:color w:val="auto"/>
          <w:szCs w:val="24"/>
        </w:rPr>
        <w:fldChar w:fldCharType="begin" w:fldLock="1"/>
      </w:r>
      <w:r w:rsidR="00565E2A" w:rsidRPr="00610A40">
        <w:rPr>
          <w:color w:val="auto"/>
          <w:szCs w:val="24"/>
        </w:rPr>
        <w:instrText>ADDIN CSL_CITATION { "citationItems" : [ { "id" : "ITEM-1", "itemData" : { "DOI" : "10.1152/ajpheart.00934.2004.", "ISSN" : "0363-6135", "PMID" : "16006541", "abstract" : "At autopsy, 13 nonstenotic human left anterior descending coronary arteries [71.5 +/- 7.3 (mean +/- SD) yr old] were harvested, and related anamnesis was documented. Preconditioned prepared strips (n = 78) of segments from the midregion of the left anterior descending coronary artery from the individual layers in axial and circumferential directions were subjected to cyclic quasi-static uniaxial tension tests, and ultimate tensile stresses and stretches were documented. The ratio of outer diameter to total wall thickness was 0.189 +/- 0.014; ratios of adventitia, media, and intima thickness to total wall thickness were 0.4 +/- 0.03, 0.36 +/- 0.03, and 0.27 +/- 0.02, respectively; axial in situ stretch of 1.044 +/- 0.06 decreased with age. Stress-stretch responses for the individual tissues showed pronounced mechanical heterogeneity. The intima is the stiffest layer over the whole deformation domain, whereas the media in the longitudinal direction is the softest. All specimens exhibited small hysteresis and anisotropic and strong nonlinear behavior in both loading directions. The media and intima showed similar ultimate tensile stresses, which are on average three times smaller than ultimate tensile stresses in the adventitia (1,430 +/- 604 kPa circumferential and 1,300 +/- 692 kPa longitudinal). The ultimate tensile stretches are similar for all tissue layers. A recently proposed constitutive model was extended and used to represent the deformation behavior for each tissue type over the entire loading range. The study showed the need to model nonstenotic human coronary arteries with nonatherosclerotic intimal thickening as a composite structure composed of three solid mechanically relevant layers with different mechanical properties. The intima showed significant thickness, load-bearing capacity, and mechanical strength compared with the media and adventitia.", "author" : [ { "dropping-particle" : "", "family" : "Holzapfel", "given" : "Gerhard a", "non-dropping-particle" : "", "parse-names" : false, "suffix" : "" }, { "dropping-particle" : "", "family" : "Sommer", "given" : "Gerhard", "non-dropping-particle" : "", "parse-names" : false, "suffix" : "" }, { "dropping-particle" : "", "family" : "Gasser", "given" : "Christian T", "non-dropping-particle" : "", "parse-names" : false, "suffix" : "" }, { "dropping-particle" : "", "family" : "Regitnig", "given" : "Peter", "non-dropping-particle" : "", "parse-names" : false, "suffix" : "" } ], "container-title" : "Heart and Circulatory Physiology", "id" : "ITEM-1", "issue" : "5", "issued" : { "date-parts" : [ [ "2005" ] ] }, "page" : "2048-2058", "title" : "Determination of layer-specific mechanical properties of human coronary arteries with nonatherosclerotic intimal thickening and related constitutive modeling", "type" : "article-journal", "volume" : "289" }, "uris" : [ "http://www.mendeley.com/documents/?uuid=8874bd5a-eaae-4e79-bf7a-8f41e081f90a", "http://www.mendeley.com/documents/?uuid=a81e94c9-fc6d-4774-89e6-c8eae7ba6f4e" ] } ], "mendeley" : { "formattedCitation" : "&lt;sup&gt;172&lt;/sup&gt;", "plainTextFormattedCitation" : "172", "previouslyFormattedCitation" : "&lt;sup&gt;171&lt;/sup&gt;"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172</w:t>
      </w:r>
      <w:r w:rsidRPr="00610A40">
        <w:rPr>
          <w:color w:val="auto"/>
          <w:szCs w:val="24"/>
        </w:rPr>
        <w:fldChar w:fldCharType="end"/>
      </w:r>
      <w:r w:rsidRPr="00610A40">
        <w:rPr>
          <w:color w:val="auto"/>
          <w:szCs w:val="24"/>
        </w:rPr>
        <w:t>. A separate study found consistent dimensions of the human coronary arteries at an average outer diameter of 3.54 ± 0.51</w:t>
      </w:r>
      <w:r w:rsidR="00E34EDA" w:rsidRPr="00610A40">
        <w:rPr>
          <w:color w:val="auto"/>
          <w:szCs w:val="24"/>
        </w:rPr>
        <w:t xml:space="preserve"> mm</w:t>
      </w:r>
      <w:r w:rsidRPr="00610A40">
        <w:rPr>
          <w:color w:val="auto"/>
          <w:szCs w:val="24"/>
        </w:rPr>
        <w:t xml:space="preserve"> and average wall thickness of 0.89 ± 0.21</w:t>
      </w:r>
      <w:r w:rsidR="00E34EDA" w:rsidRPr="00610A40">
        <w:rPr>
          <w:color w:val="auto"/>
          <w:szCs w:val="24"/>
        </w:rPr>
        <w:t xml:space="preserve"> mm</w:t>
      </w:r>
      <w:r w:rsidRPr="00610A40">
        <w:rPr>
          <w:color w:val="auto"/>
          <w:szCs w:val="24"/>
        </w:rPr>
        <w:fldChar w:fldCharType="begin" w:fldLock="1"/>
      </w:r>
      <w:r w:rsidR="00565E2A" w:rsidRPr="00610A40">
        <w:rPr>
          <w:color w:val="auto"/>
          <w:szCs w:val="24"/>
        </w:rPr>
        <w:instrText>ADDIN CSL_CITATION { "citationItems" : [ { "id" : "ITEM-1", "itemData" : { "DOI" : "10.1016/S0003-4975(03)00263-7", "ISSN" : "00034975", "abstract" : "&lt;h2&gt;Abstract&lt;/h2&gt;&lt;h3&gt;Background&lt;/h3&gt;&lt;p&gt;To determine whether the pig is an appropriate experimental animal for studies on distal anastomotic connectors in coronary artery bypass surgery, the mechanical properties of young porcine and old human coronary and internal mammary arteries were compared within and beyond the physiologic range of strains.&lt;/p&gt;&lt;h3&gt;Methods&lt;/h3&gt;&lt;p&gt;Coronary arteries from 6 humans and 8 pigs were studied as well as internal mammary arteries of 3 humans and 6 pigs (human, aged 61 to 85 years; pig, 78.7 \u00b1 5.8 kg [mean \u00b1 SD]). Pressure-diameter, pressure-axial force, circumferential and axial stress-strain relations, and dimensions were measured.&lt;/p&gt;&lt;h3&gt;Results&lt;/h3&gt;&lt;p&gt;The dimensions of the porcine and human coronary and internal mammary artery were generally similar but wall thickness was smaller in the porcine internal mammary artery (0.35 \u00b1 0.07 mm versus 0.71 \u00b1 0.06 mm, respectively, &lt;i&gt;p&lt;/i&gt; = 0.002). The porcine internal mammary artery wall was less elastic than the coronary artery wall, whereas in humans both arteries displayed similar elasticity. Overall the porcine arteries were far more elastic in both circumferential and axial direction compared with the human arteries. Consequently the porcine arteries could be safely stretched by 60% to 70% compared with about 20% for the human arteries before reaching their maximum circumferential strain.&lt;/p&gt;&lt;h3&gt;Conclusions&lt;/h3&gt;&lt;p&gt;The three times greater elasticity of porcine compared with human coronary and internal mammary artery walls may result in underestimation of wall stress and the risk of wall injury when coronary connectors that involve overstretching of the wall are evaluated in the pig.&lt;/p&gt;", "author" : [ { "dropping-particle" : "", "family" : "Andel", "given" : "Carolien J", "non-dropping-particle" : "van", "parse-names" : false, "suffix" : "" }, { "dropping-particle" : "V", "family" : "Pistecky", "given" : "Peter", "non-dropping-particle" : "", "parse-names" : false, "suffix" : "" }, { "dropping-particle" : "", "family" : "Borst", "given" : "Cornelius", "non-dropping-particle" : "", "parse-names" : false, "suffix" : "" }, { "dropping-particle" : "", "family" : "al.", "given" : "et", "non-dropping-particle" : "", "parse-names" : false, "suffix" : "" }, { "dropping-particle" : "", "family" : "Rafeh", "given" : "W.", "non-dropping-particle" : "", "parse-names" : false, "suffix" : "" }, { "dropping-particle" : "", "family" : "Al-Halees", "given" : "Z.", "non-dropping-particle" : "", "parse-names" : false, "suffix" : "" } ], "container-title" : "The Annals of Thoracic Surgery", "id" : "ITEM-1", "issue" : "1", "issued" : { "date-parts" : [ [ "2003", "7" ] ] }, "page" : "58-64", "publisher" : "Springer-Verlag, London", "title" : "Mechanical properties of porcine and human arteries: implications for coronary anastomotic connectors", "type" : "article-journal", "volume" : "76" }, "uris" : [ "http://www.mendeley.com/documents/?uuid=de8ac4de-6af6-40b4-8419-b4d5d86f51d9", "http://www.mendeley.com/documents/?uuid=509d3e5e-9568-3ea5-bb3b-c3894d05c32f" ] } ], "mendeley" : { "formattedCitation" : "&lt;sup&gt;178&lt;/sup&gt;", "plainTextFormattedCitation" : "178", "previouslyFormattedCitation" : "&lt;sup&gt;177&lt;/sup&gt;"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178</w:t>
      </w:r>
      <w:r w:rsidRPr="00610A40">
        <w:rPr>
          <w:color w:val="auto"/>
          <w:szCs w:val="24"/>
        </w:rPr>
        <w:fldChar w:fldCharType="end"/>
      </w:r>
      <w:r w:rsidRPr="00610A40">
        <w:rPr>
          <w:color w:val="auto"/>
          <w:szCs w:val="24"/>
        </w:rPr>
        <w:t xml:space="preserve">. </w:t>
      </w:r>
    </w:p>
    <w:p w14:paraId="4838C4F8" w14:textId="77777777" w:rsidR="00972EB2" w:rsidRPr="00610A40" w:rsidRDefault="00972EB2" w:rsidP="00972EB2">
      <w:pPr>
        <w:rPr>
          <w:color w:val="auto"/>
          <w:szCs w:val="24"/>
        </w:rPr>
      </w:pPr>
    </w:p>
    <w:p w14:paraId="44E93D8D" w14:textId="0B870643" w:rsidR="00972EB2" w:rsidRPr="00610A40" w:rsidRDefault="00972EB2" w:rsidP="00972EB2">
      <w:pPr>
        <w:rPr>
          <w:color w:val="auto"/>
          <w:szCs w:val="24"/>
        </w:rPr>
      </w:pPr>
      <w:r w:rsidRPr="00610A40">
        <w:rPr>
          <w:color w:val="auto"/>
          <w:szCs w:val="24"/>
        </w:rPr>
        <w:t xml:space="preserve">Although the mechanical properties required for vascular tissue engineering is very similar to that of cardiac tissue engineering, vascular tissue scaffolds face a different set of requirements. </w:t>
      </w:r>
      <w:r w:rsidRPr="00610A40">
        <w:rPr>
          <w:color w:val="auto"/>
          <w:szCs w:val="24"/>
        </w:rPr>
        <w:lastRenderedPageBreak/>
        <w:t>The main concerns of vascular grafts are excessive platelet activation, thrombosis, smooth muscle cell intimal hyperplasia and stenosis</w:t>
      </w:r>
      <w:r w:rsidR="00B94541" w:rsidRPr="00610A40">
        <w:rPr>
          <w:color w:val="auto"/>
          <w:szCs w:val="24"/>
        </w:rPr>
        <w:t xml:space="preserve"> of the graft</w:t>
      </w:r>
      <w:r w:rsidRPr="00610A40">
        <w:rPr>
          <w:color w:val="auto"/>
          <w:szCs w:val="24"/>
        </w:rPr>
        <w:fldChar w:fldCharType="begin" w:fldLock="1"/>
      </w:r>
      <w:r w:rsidR="00565E2A" w:rsidRPr="00610A40">
        <w:rPr>
          <w:color w:val="auto"/>
          <w:szCs w:val="24"/>
        </w:rPr>
        <w:instrText>ADDIN CSL_CITATION { "citationItems" : [ { "id" : "ITEM-1", "itemData" : { "DOI" : "10.1021/acsami.5b03892", "ISBN" : "1944-8244", "ISSN" : "19448252", "PMID" : "26204095", "abstract" : "Although significant advances have been made in the development of artificial vascular grafts, small-diameter grafts still suffer from excessive platelet activation, thrombus formation, smooth muscle cell intimal hyperplasia, and high occurrences of restenosis. Recent discoveries demonstrating the excellent blood-contacting properties of the natural elastic lamina have raised the possibility that an acellular elastic lamina could effectively serve as a patent blood-contacting surface in engineered vascular grafts. However, the elastic lamina alone lacks the requisite mechanical properties to function as a viable vascular graft. Here, we have screened a wide range of biodegradable and biostable medical-grade polymers for their ability to adhere to the outer surface of the elastic lamina and allow cellular repopulation following engraftment in the rat abdominal aorta. We demonstrate a novel method for the fabrication of elastic lamina-polymeric hybrid small-diameter vascular grafts and identify poly(ether urethane) (PEU 1074A) as ideal for this purpose. In vivo results demonstrate graft patency over 21 days, with low thrombus formation, mild inflammation, and the general absence of smooth muscle cell hyperplasia on the graft's luminal surface. The results provide a new direction for developing small-diameter vascular grafts that are mass-producible, shelf-stable, and universally compatible due to a lack of immune response and inhibit the in-graft restenosis response that is common to nonautologous materials.", "author" : [ { "dropping-particle" : "", "family" : "McCarthy", "given" : "Connor W.", "non-dropping-particle" : "", "parse-names" : false, "suffix" : "" }, { "dropping-particle" : "", "family" : "Ahrens", "given" : "Danielle C.", "non-dropping-particle" : "", "parse-names" : false, "suffix" : "" }, { "dropping-particle" : "", "family" : "Joda", "given" : "David", "non-dropping-particle" : "", "parse-names" : false, "suffix" : "" }, { "dropping-particle" : "", "family" : "Curtis", "given" : "Tyler E.", "non-dropping-particle" : "", "parse-names" : false, "suffix" : "" }, { "dropping-particle" : "", "family" : "Bowen", "given" : "Patrick K.", "non-dropping-particle" : "", "parse-names" : false, "suffix" : "" }, { "dropping-particle" : "", "family" : "Guillory", "given" : "Roger J.", "non-dropping-particle" : "", "parse-names" : false, "suffix" : "" }, { "dropping-particle" : "", "family" : "Liu", "given" : "Shu Q.", "non-dropping-particle" : "", "parse-names" : false, "suffix" : "" }, { "dropping-particle" : "", "family" : "Zhao", "given" : "Feng", "non-dropping-particle" : "", "parse-names" : false, "suffix" : "" }, { "dropping-particle" : "", "family" : "Frost", "given" : "Megan C.", "non-dropping-particle" : "", "parse-names" : false, "suffix" : "" }, { "dropping-particle" : "", "family" : "Goldman", "given" : "Jeremy", "non-dropping-particle" : "", "parse-names" : false, "suffix" : "" } ], "container-title" : "ACS Applied Materials and Interfaces", "id" : "ITEM-1", "issue" : "30", "issued" : { "date-parts" : [ [ "2015" ] ] }, "page" : "16202-16212", "title" : "Fabrication and Short-Term in Vivo Performance of a Natural Elastic Lamina-Polymeric Hybrid Vascular Graft", "type" : "article-journal", "volume" : "7" }, "uris" : [ "http://www.mendeley.com/documents/?uuid=666ad168-b901-431a-bbdc-97d997ab6fb2", "http://www.mendeley.com/documents/?uuid=934c8a3b-861c-48a7-857d-dc336cdae903" ] } ], "mendeley" : { "formattedCitation" : "&lt;sup&gt;182&lt;/sup&gt;", "plainTextFormattedCitation" : "182", "previouslyFormattedCitation" : "&lt;sup&gt;181&lt;/sup&gt;"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182</w:t>
      </w:r>
      <w:r w:rsidRPr="00610A40">
        <w:rPr>
          <w:color w:val="auto"/>
          <w:szCs w:val="24"/>
        </w:rPr>
        <w:fldChar w:fldCharType="end"/>
      </w:r>
      <w:r w:rsidRPr="00610A40">
        <w:rPr>
          <w:color w:val="auto"/>
          <w:szCs w:val="24"/>
          <w:vertAlign w:val="superscript"/>
        </w:rPr>
        <w:t>,</w:t>
      </w:r>
      <w:r w:rsidRPr="00610A40">
        <w:rPr>
          <w:color w:val="auto"/>
          <w:szCs w:val="24"/>
        </w:rPr>
        <w:fldChar w:fldCharType="begin" w:fldLock="1"/>
      </w:r>
      <w:r w:rsidR="00565E2A" w:rsidRPr="00610A40">
        <w:rPr>
          <w:color w:val="auto"/>
          <w:szCs w:val="24"/>
        </w:rPr>
        <w:instrText>ADDIN CSL_CITATION { "citationItems" : [ { "id" : "ITEM-1", "itemData" : { "DOI" : "10.1016/j.matlet.2016.01.154", "ISSN" : "0167577X", "author" : [ { "dropping-particle" : "", "family" : "Hu", "given" : "J.-J.", "non-dropping-particle" : "", "parse-names" : false, "suffix" : "" }, { "dropping-particle" : "", "family" : "Lu", "given" : "P.-C.", "non-dropping-particle" : "", "parse-names" : false, "suffix" : "" }, { "dropping-particle" : "", "family" : "Lou", "given" : "C.-W.", "non-dropping-particle" : "", "parse-names" : false, "suffix" : "" }, { "dropping-particle" : "", "family" : "Lee", "given" : "M.-C.", "non-dropping-particle" : "", "parse-names" : false, "suffix" : "" }, { "dropping-particle" : "", "family" : "Lin", "given" : "J.-H.", "non-dropping-particle" : "", "parse-names" : false, "suffix" : "" } ], "container-title" : "Materials Letters", "id" : "ITEM-1", "issued" : { "date-parts" : [ [ "2016" ] ] }, "page" : "42-45", "publisher" : "Elsevier", "title" : "Small-diameter vascular grafts composed of polyester/spandex fibers: Manufacturing techniques and property evaluations", "type" : "article-journal", "volume" : "171" }, "uris" : [ "http://www.mendeley.com/documents/?uuid=ef1c0b2a-f931-418f-9d86-709101db51f1", "http://www.mendeley.com/documents/?uuid=1db21b6d-1197-468d-abc5-aca097525675" ] } ], "mendeley" : { "formattedCitation" : "&lt;sup&gt;183&lt;/sup&gt;", "plainTextFormattedCitation" : "183", "previouslyFormattedCitation" : "&lt;sup&gt;182&lt;/sup&gt;"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183</w:t>
      </w:r>
      <w:r w:rsidRPr="00610A40">
        <w:rPr>
          <w:color w:val="auto"/>
          <w:szCs w:val="24"/>
        </w:rPr>
        <w:fldChar w:fldCharType="end"/>
      </w:r>
      <w:r w:rsidRPr="00610A40">
        <w:rPr>
          <w:color w:val="auto"/>
          <w:szCs w:val="24"/>
        </w:rPr>
        <w:t xml:space="preserve">. </w:t>
      </w:r>
    </w:p>
    <w:p w14:paraId="42EB33CC" w14:textId="77777777" w:rsidR="00972EB2" w:rsidRPr="00610A40" w:rsidRDefault="00972EB2" w:rsidP="00972EB2">
      <w:pPr>
        <w:rPr>
          <w:color w:val="auto"/>
          <w:szCs w:val="24"/>
        </w:rPr>
      </w:pPr>
    </w:p>
    <w:p w14:paraId="542EF053" w14:textId="17A3C2F7" w:rsidR="00972EB2" w:rsidRPr="00610A40" w:rsidRDefault="00007C8A" w:rsidP="00972EB2">
      <w:pPr>
        <w:pStyle w:val="Heading2"/>
        <w:rPr>
          <w:sz w:val="24"/>
          <w:szCs w:val="24"/>
        </w:rPr>
      </w:pPr>
      <w:r w:rsidRPr="00610A40">
        <w:rPr>
          <w:sz w:val="24"/>
          <w:szCs w:val="24"/>
        </w:rPr>
        <w:t>6</w:t>
      </w:r>
      <w:r w:rsidR="001F12C7" w:rsidRPr="00610A40">
        <w:rPr>
          <w:sz w:val="24"/>
          <w:szCs w:val="24"/>
        </w:rPr>
        <w:t>.</w:t>
      </w:r>
      <w:r w:rsidR="00E34EDA" w:rsidRPr="00610A40">
        <w:rPr>
          <w:sz w:val="24"/>
          <w:szCs w:val="24"/>
        </w:rPr>
        <w:t>2</w:t>
      </w:r>
      <w:r w:rsidR="001F12C7" w:rsidRPr="00610A40">
        <w:rPr>
          <w:sz w:val="24"/>
          <w:szCs w:val="24"/>
        </w:rPr>
        <w:t xml:space="preserve"> </w:t>
      </w:r>
      <w:r w:rsidR="00972EB2" w:rsidRPr="00610A40">
        <w:rPr>
          <w:sz w:val="24"/>
          <w:szCs w:val="24"/>
        </w:rPr>
        <w:t>Citric acid-based polyesters for vascular engineering</w:t>
      </w:r>
    </w:p>
    <w:p w14:paraId="27C68A7A" w14:textId="007B3076" w:rsidR="00972EB2" w:rsidRPr="00610A40" w:rsidRDefault="00972EB2" w:rsidP="00972EB2">
      <w:pPr>
        <w:rPr>
          <w:color w:val="auto"/>
          <w:szCs w:val="24"/>
        </w:rPr>
      </w:pPr>
      <w:r w:rsidRPr="00610A40">
        <w:rPr>
          <w:color w:val="auto"/>
          <w:szCs w:val="24"/>
        </w:rPr>
        <w:t xml:space="preserve">One strategy to reduce stenosis is by engineering anti-oxidant properties into vascular graft materials. It was known that excessive ROS and oxidative stress </w:t>
      </w:r>
      <w:r w:rsidR="00B94541" w:rsidRPr="00610A40">
        <w:rPr>
          <w:color w:val="auto"/>
          <w:szCs w:val="24"/>
        </w:rPr>
        <w:t xml:space="preserve">play </w:t>
      </w:r>
      <w:r w:rsidRPr="00610A40">
        <w:rPr>
          <w:color w:val="auto"/>
          <w:szCs w:val="24"/>
        </w:rPr>
        <w:t>important</w:t>
      </w:r>
      <w:r w:rsidR="00B94541" w:rsidRPr="00610A40">
        <w:rPr>
          <w:color w:val="auto"/>
          <w:szCs w:val="24"/>
        </w:rPr>
        <w:t xml:space="preserve"> roles</w:t>
      </w:r>
      <w:r w:rsidRPr="00610A40">
        <w:rPr>
          <w:color w:val="auto"/>
          <w:szCs w:val="24"/>
        </w:rPr>
        <w:t xml:space="preserve"> in the formation of atherosclerosis and restenosis. </w:t>
      </w:r>
      <w:r w:rsidR="00D5605F" w:rsidRPr="00610A40">
        <w:rPr>
          <w:color w:val="auto"/>
          <w:szCs w:val="24"/>
        </w:rPr>
        <w:t>Poly (</w:t>
      </w:r>
      <w:r w:rsidRPr="00610A40">
        <w:rPr>
          <w:color w:val="auto"/>
          <w:szCs w:val="24"/>
        </w:rPr>
        <w:t>1</w:t>
      </w:r>
      <w:proofErr w:type="gramStart"/>
      <w:r w:rsidRPr="00610A40">
        <w:rPr>
          <w:color w:val="auto"/>
          <w:szCs w:val="24"/>
        </w:rPr>
        <w:t>,8</w:t>
      </w:r>
      <w:proofErr w:type="gramEnd"/>
      <w:r w:rsidRPr="00610A40">
        <w:rPr>
          <w:color w:val="auto"/>
          <w:szCs w:val="24"/>
        </w:rPr>
        <w:t xml:space="preserve">-octandiol-co-citric acid) (POC) as well as other </w:t>
      </w:r>
      <w:proofErr w:type="spellStart"/>
      <w:r w:rsidRPr="00610A40">
        <w:rPr>
          <w:color w:val="auto"/>
          <w:szCs w:val="24"/>
        </w:rPr>
        <w:t>polydiol</w:t>
      </w:r>
      <w:proofErr w:type="spellEnd"/>
      <w:r w:rsidRPr="00610A40">
        <w:rPr>
          <w:color w:val="auto"/>
          <w:szCs w:val="24"/>
        </w:rPr>
        <w:t xml:space="preserve"> citrates had been proven to exhibit antioxidant activities. Citric acid is a </w:t>
      </w:r>
      <w:proofErr w:type="spellStart"/>
      <w:r w:rsidRPr="00610A40">
        <w:rPr>
          <w:color w:val="auto"/>
          <w:szCs w:val="24"/>
        </w:rPr>
        <w:t>tricarboxylic</w:t>
      </w:r>
      <w:proofErr w:type="spellEnd"/>
      <w:r w:rsidRPr="00610A40">
        <w:rPr>
          <w:color w:val="auto"/>
          <w:szCs w:val="24"/>
        </w:rPr>
        <w:t xml:space="preserve"> acid that is inexpensive and non-toxic as it is a natural metabolic product in the Krebs cycle in the human body. It can be used to form elastic polyesters with different types of alcohols via controlled polymerization techniques.  </w:t>
      </w:r>
    </w:p>
    <w:p w14:paraId="06BB3A7F" w14:textId="77777777" w:rsidR="00972EB2" w:rsidRPr="00610A40" w:rsidRDefault="00972EB2" w:rsidP="00972EB2">
      <w:pPr>
        <w:rPr>
          <w:color w:val="auto"/>
          <w:szCs w:val="24"/>
        </w:rPr>
      </w:pPr>
    </w:p>
    <w:p w14:paraId="764AFA2B" w14:textId="5E0747C1" w:rsidR="00972EB2" w:rsidRPr="00610A40" w:rsidRDefault="00972EB2" w:rsidP="00972EB2">
      <w:pPr>
        <w:rPr>
          <w:color w:val="auto"/>
          <w:szCs w:val="24"/>
        </w:rPr>
      </w:pPr>
      <w:r w:rsidRPr="00610A40">
        <w:rPr>
          <w:color w:val="auto"/>
          <w:szCs w:val="24"/>
        </w:rPr>
        <w:t>One of the most commonly used elastic polyester is poly(1,8-octandiol-co-citric acid) (POC)</w:t>
      </w:r>
      <w:r w:rsidRPr="00610A40">
        <w:rPr>
          <w:color w:val="auto"/>
          <w:szCs w:val="24"/>
        </w:rPr>
        <w:fldChar w:fldCharType="begin" w:fldLock="1"/>
      </w:r>
      <w:r w:rsidR="00565E2A" w:rsidRPr="00610A40">
        <w:rPr>
          <w:color w:val="auto"/>
          <w:szCs w:val="24"/>
        </w:rPr>
        <w:instrText>ADDIN CSL_CITATION { "citationItems" : [ { "id" : "ITEM-1", "itemData" : { "DOI" : "10.1002/adma.200306264", "ISBN" : "0935-9648", "ISSN" : "09359648", "abstract" : "The synthesis and characterization of novel biodegradable elastomers, exemplified by poly(1,8-octanediol-co-citric acid), is reported. Biodegradation, mechanical, and biocompatibility data suggest very good potential for use as porous scaffolds in cardiovascular tissue engineering (see Figure). Material properties can be tailored by modulating the monomer ratio and post-polymerization conditions.", "author" : [ { "dropping-particle" : "", "family" : "Yang", "given" : "Jian", "non-dropping-particle" : "", "parse-names" : false, "suffix" : "" }, { "dropping-particle" : "", "family" : "Webb", "given" : "Antonio R.", "non-dropping-particle" : "", "parse-names" : false, "suffix" : "" }, { "dropping-particle" : "", "family" : "Ameer", "given" : "Guillermo a.", "non-dropping-particle" : "", "parse-names" : false, "suffix" : "" } ], "container-title" : "Advanced Materials", "id" : "ITEM-1", "issue" : "6", "issued" : { "date-parts" : [ [ "2004" ] ] }, "page" : "511-516", "title" : "Novel Citric Acid-Based Biodegradable Elastomers for Tissue Engineering", "type" : "article-journal", "volume" : "16" }, "uris" : [ "http://www.mendeley.com/documents/?uuid=a9c887d0-b8a1-4f12-bf4c-72b756b2655f" ] } ], "mendeley" : { "formattedCitation" : "&lt;sup&gt;60&lt;/sup&gt;", "plainTextFormattedCitation" : "60", "previouslyFormattedCitation" : "&lt;sup&gt;60&lt;/sup&gt;" }, "properties" : { "noteIndex" : 0 }, "schema" : "https://github.com/citation-style-language/schema/raw/master/csl-citation.json" }</w:instrText>
      </w:r>
      <w:r w:rsidRPr="00610A40">
        <w:rPr>
          <w:color w:val="auto"/>
          <w:szCs w:val="24"/>
        </w:rPr>
        <w:fldChar w:fldCharType="separate"/>
      </w:r>
      <w:r w:rsidR="00E907D0" w:rsidRPr="00610A40">
        <w:rPr>
          <w:noProof/>
          <w:color w:val="auto"/>
          <w:szCs w:val="24"/>
          <w:vertAlign w:val="superscript"/>
        </w:rPr>
        <w:t>60</w:t>
      </w:r>
      <w:r w:rsidRPr="00610A40">
        <w:rPr>
          <w:color w:val="auto"/>
          <w:szCs w:val="24"/>
        </w:rPr>
        <w:fldChar w:fldCharType="end"/>
      </w:r>
      <w:r w:rsidRPr="00610A40">
        <w:rPr>
          <w:color w:val="auto"/>
          <w:szCs w:val="24"/>
        </w:rPr>
        <w:t xml:space="preserve">. </w:t>
      </w:r>
    </w:p>
    <w:p w14:paraId="356C2E3F" w14:textId="67F8DEDB" w:rsidR="00972EB2" w:rsidRPr="00610A40" w:rsidRDefault="00972EB2" w:rsidP="00972EB2">
      <w:pPr>
        <w:rPr>
          <w:color w:val="auto"/>
          <w:szCs w:val="24"/>
        </w:rPr>
      </w:pPr>
      <w:r w:rsidRPr="00610A40">
        <w:rPr>
          <w:color w:val="auto"/>
          <w:szCs w:val="24"/>
        </w:rPr>
        <w:t>Films of POC were cultured with human aortic smooth muscle cells (HASMC) and human aortic endothelial cells (HAEC)</w:t>
      </w:r>
      <w:r w:rsidR="001556FC" w:rsidRPr="00610A40">
        <w:rPr>
          <w:color w:val="auto"/>
          <w:szCs w:val="24"/>
        </w:rPr>
        <w:fldChar w:fldCharType="begin" w:fldLock="1"/>
      </w:r>
      <w:r w:rsidR="00565E2A" w:rsidRPr="00610A40">
        <w:rPr>
          <w:color w:val="auto"/>
          <w:szCs w:val="24"/>
        </w:rPr>
        <w:instrText>ADDIN CSL_CITATION { "citationItems" : [ { "id" : "ITEM-1", "itemData" : { "DOI" : "10.1002/adma.200306264", "ISBN" : "0935-9648", "ISSN" : "09359648", "abstract" : "The synthesis and characterization of novel biodegradable elastomers, exemplified by poly(1,8-octanediol-co-citric acid), is reported. Biodegradation, mechanical, and biocompatibility data suggest very good potential for use as porous scaffolds in cardiovascular tissue engineering (see Figure). Material properties can be tailored by modulating the monomer ratio and post-polymerization conditions.", "author" : [ { "dropping-particle" : "", "family" : "Yang", "given" : "Jian", "non-dropping-particle" : "", "parse-names" : false, "suffix" : "" }, { "dropping-particle" : "", "family" : "Webb", "given" : "Antonio R.", "non-dropping-particle" : "", "parse-names" : false, "suffix" : "" }, { "dropping-particle" : "", "family" : "Ameer", "given" : "Guillermo a.", "non-dropping-particle" : "", "parse-names" : false, "suffix" : "" } ], "container-title" : "Advanced Materials", "id" : "ITEM-1", "issue" : "6", "issued" : { "date-parts" : [ [ "2004" ] ] }, "page" : "511-516", "title" : "Novel Citric Acid-Based Biodegradable Elastomers for Tissue Engineering", "type" : "article-journal", "volume" : "16" }, "uris" : [ "http://www.mendeley.com/documents/?uuid=a9c887d0-b8a1-4f12-bf4c-72b756b2655f" ] } ], "mendeley" : { "formattedCitation" : "&lt;sup&gt;60&lt;/sup&gt;", "plainTextFormattedCitation" : "60", "previouslyFormattedCitation" : "&lt;sup&gt;60&lt;/sup&gt;" }, "properties" : { "noteIndex" : 0 }, "schema" : "https://github.com/citation-style-language/schema/raw/master/csl-citation.json" }</w:instrText>
      </w:r>
      <w:r w:rsidR="001556FC" w:rsidRPr="00610A40">
        <w:rPr>
          <w:color w:val="auto"/>
          <w:szCs w:val="24"/>
        </w:rPr>
        <w:fldChar w:fldCharType="separate"/>
      </w:r>
      <w:r w:rsidR="00E907D0" w:rsidRPr="00610A40">
        <w:rPr>
          <w:noProof/>
          <w:color w:val="auto"/>
          <w:szCs w:val="24"/>
          <w:vertAlign w:val="superscript"/>
        </w:rPr>
        <w:t>60</w:t>
      </w:r>
      <w:r w:rsidR="001556FC" w:rsidRPr="00610A40">
        <w:rPr>
          <w:color w:val="auto"/>
          <w:szCs w:val="24"/>
        </w:rPr>
        <w:fldChar w:fldCharType="end"/>
      </w:r>
      <w:r w:rsidRPr="00610A40">
        <w:rPr>
          <w:color w:val="auto"/>
          <w:szCs w:val="24"/>
        </w:rPr>
        <w:t xml:space="preserve">. The cell viability of POC was on par, if not better, than that of </w:t>
      </w:r>
      <w:r w:rsidR="00D5605F" w:rsidRPr="00610A40">
        <w:rPr>
          <w:color w:val="auto"/>
          <w:szCs w:val="24"/>
        </w:rPr>
        <w:t>poly (</w:t>
      </w:r>
      <w:r w:rsidRPr="00610A40">
        <w:rPr>
          <w:color w:val="auto"/>
          <w:szCs w:val="24"/>
        </w:rPr>
        <w:t>L-lactic acid)</w:t>
      </w:r>
      <w:r w:rsidR="004B539B" w:rsidRPr="00610A40">
        <w:rPr>
          <w:color w:val="auto"/>
          <w:szCs w:val="24"/>
        </w:rPr>
        <w:t xml:space="preserve"> (PLLA)</w:t>
      </w:r>
      <w:r w:rsidRPr="00610A40">
        <w:rPr>
          <w:color w:val="auto"/>
          <w:szCs w:val="24"/>
        </w:rPr>
        <w:t>. POC films also allowed for the attachment, proliferation and normal phenotype development for these two cell lines. The ability for vascular cells to adhere without a need for pre-treatment or coating of adhesion factors reduce the non-specific binding of other tissues/cells and reduce the cost of manufacturing. Using the salt leaching method, POC could be fabricated into porous scaffolds with pore sizes of 106</w:t>
      </w:r>
      <w:r w:rsidR="004B539B" w:rsidRPr="00610A40">
        <w:rPr>
          <w:color w:val="auto"/>
          <w:szCs w:val="24"/>
        </w:rPr>
        <w:t xml:space="preserve"> </w:t>
      </w:r>
      <w:r w:rsidR="004B539B" w:rsidRPr="00610A40">
        <w:rPr>
          <w:rFonts w:cs="Times New Roman"/>
          <w:color w:val="auto"/>
          <w:szCs w:val="24"/>
        </w:rPr>
        <w:t>±</w:t>
      </w:r>
      <w:r w:rsidRPr="00610A40">
        <w:rPr>
          <w:color w:val="auto"/>
          <w:szCs w:val="24"/>
        </w:rPr>
        <w:t xml:space="preserve"> 26 </w:t>
      </w:r>
      <w:r w:rsidRPr="00610A40">
        <w:rPr>
          <w:color w:val="auto"/>
          <w:szCs w:val="24"/>
        </w:rPr>
        <w:sym w:font="Symbol" w:char="F06D"/>
      </w:r>
      <w:r w:rsidRPr="00610A40">
        <w:rPr>
          <w:color w:val="auto"/>
          <w:szCs w:val="24"/>
        </w:rPr>
        <w:t>m and porosity of 90</w:t>
      </w:r>
      <w:r w:rsidR="004B539B" w:rsidRPr="00610A40">
        <w:rPr>
          <w:color w:val="auto"/>
          <w:szCs w:val="24"/>
        </w:rPr>
        <w:t xml:space="preserve"> </w:t>
      </w:r>
      <w:r w:rsidR="004B539B" w:rsidRPr="00610A40">
        <w:rPr>
          <w:rFonts w:cs="Times New Roman"/>
          <w:color w:val="auto"/>
          <w:szCs w:val="24"/>
        </w:rPr>
        <w:t>±</w:t>
      </w:r>
      <w:r w:rsidR="004B539B" w:rsidRPr="00610A40">
        <w:rPr>
          <w:color w:val="auto"/>
          <w:szCs w:val="24"/>
        </w:rPr>
        <w:t xml:space="preserve"> </w:t>
      </w:r>
      <w:r w:rsidRPr="00610A40">
        <w:rPr>
          <w:color w:val="auto"/>
          <w:szCs w:val="24"/>
        </w:rPr>
        <w:t xml:space="preserve">2%. The presence of </w:t>
      </w:r>
      <w:proofErr w:type="spellStart"/>
      <w:r w:rsidRPr="00610A40">
        <w:rPr>
          <w:color w:val="auto"/>
          <w:szCs w:val="24"/>
        </w:rPr>
        <w:t>micropores</w:t>
      </w:r>
      <w:proofErr w:type="spellEnd"/>
      <w:r w:rsidRPr="00610A40">
        <w:rPr>
          <w:color w:val="auto"/>
          <w:szCs w:val="24"/>
        </w:rPr>
        <w:t xml:space="preserve"> within the </w:t>
      </w:r>
      <w:proofErr w:type="spellStart"/>
      <w:r w:rsidRPr="00610A40">
        <w:rPr>
          <w:color w:val="auto"/>
          <w:szCs w:val="24"/>
        </w:rPr>
        <w:t>macropores</w:t>
      </w:r>
      <w:proofErr w:type="spellEnd"/>
      <w:r w:rsidRPr="00610A40">
        <w:rPr>
          <w:color w:val="auto"/>
          <w:szCs w:val="24"/>
        </w:rPr>
        <w:t xml:space="preserve"> also improves mass the transportation of nutrient into the scaffold. Such porous POC could</w:t>
      </w:r>
      <w:r w:rsidR="00BD4CA7" w:rsidRPr="00610A40">
        <w:rPr>
          <w:color w:val="auto"/>
          <w:szCs w:val="24"/>
        </w:rPr>
        <w:t xml:space="preserve"> also be fabricated into tubes </w:t>
      </w:r>
      <w:r w:rsidRPr="00610A40">
        <w:rPr>
          <w:color w:val="auto"/>
          <w:szCs w:val="24"/>
        </w:rPr>
        <w:t xml:space="preserve">as shown in </w:t>
      </w:r>
      <w:r w:rsidR="00944C77" w:rsidRPr="00610A40">
        <w:rPr>
          <w:color w:val="auto"/>
          <w:szCs w:val="24"/>
        </w:rPr>
        <w:fldChar w:fldCharType="begin"/>
      </w:r>
      <w:r w:rsidR="00944C77" w:rsidRPr="00610A40">
        <w:rPr>
          <w:color w:val="auto"/>
          <w:szCs w:val="24"/>
        </w:rPr>
        <w:instrText xml:space="preserve"> REF _Ref489036574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12</w:t>
      </w:r>
      <w:r w:rsidR="00944C77" w:rsidRPr="00610A40">
        <w:rPr>
          <w:color w:val="auto"/>
          <w:szCs w:val="24"/>
        </w:rPr>
        <w:fldChar w:fldCharType="end"/>
      </w:r>
      <w:r w:rsidRPr="00610A40">
        <w:rPr>
          <w:color w:val="auto"/>
          <w:szCs w:val="24"/>
        </w:rPr>
        <w:t>.</w:t>
      </w:r>
    </w:p>
    <w:p w14:paraId="4E4C98A5" w14:textId="77777777" w:rsidR="004B539B" w:rsidRPr="00610A40" w:rsidRDefault="004B539B" w:rsidP="00086775">
      <w:pPr>
        <w:keepNext/>
        <w:rPr>
          <w:color w:val="auto"/>
          <w:szCs w:val="24"/>
        </w:rPr>
      </w:pPr>
      <w:r w:rsidRPr="00610A40">
        <w:rPr>
          <w:noProof/>
          <w:color w:val="auto"/>
          <w:szCs w:val="24"/>
        </w:rPr>
        <w:lastRenderedPageBreak/>
        <w:drawing>
          <wp:inline distT="0" distB="0" distL="0" distR="0" wp14:anchorId="0184ADB5" wp14:editId="21D76F06">
            <wp:extent cx="1638300" cy="1211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8300" cy="1211580"/>
                    </a:xfrm>
                    <a:prstGeom prst="rect">
                      <a:avLst/>
                    </a:prstGeom>
                    <a:noFill/>
                    <a:ln>
                      <a:noFill/>
                    </a:ln>
                  </pic:spPr>
                </pic:pic>
              </a:graphicData>
            </a:graphic>
          </wp:inline>
        </w:drawing>
      </w:r>
    </w:p>
    <w:p w14:paraId="1236ECA6" w14:textId="2C94C571" w:rsidR="00972EB2" w:rsidRPr="00610A40" w:rsidRDefault="004B539B" w:rsidP="00086775">
      <w:pPr>
        <w:pStyle w:val="Caption"/>
        <w:rPr>
          <w:sz w:val="24"/>
          <w:szCs w:val="24"/>
        </w:rPr>
      </w:pPr>
      <w:bookmarkStart w:id="15" w:name="_Ref489036574"/>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12</w:t>
      </w:r>
      <w:r w:rsidR="00004924" w:rsidRPr="00610A40">
        <w:rPr>
          <w:noProof/>
          <w:sz w:val="24"/>
          <w:szCs w:val="24"/>
        </w:rPr>
        <w:fldChar w:fldCharType="end"/>
      </w:r>
      <w:bookmarkEnd w:id="15"/>
      <w:r w:rsidRPr="00610A40">
        <w:rPr>
          <w:sz w:val="24"/>
          <w:szCs w:val="24"/>
        </w:rPr>
        <w:t xml:space="preserve"> Images of POC scaffolds made in to tubes (non-porous POC on the left and porous POC on the right) and porous film (middle).</w:t>
      </w:r>
      <w:r w:rsidR="009A5BC6">
        <w:rPr>
          <w:sz w:val="24"/>
          <w:szCs w:val="24"/>
        </w:rPr>
        <w:t xml:space="preserve"> </w:t>
      </w:r>
      <w:r w:rsidR="009A5BC6" w:rsidRPr="00610A40">
        <w:rPr>
          <w:sz w:val="24"/>
          <w:szCs w:val="24"/>
        </w:rPr>
        <w:t xml:space="preserve">Reproduced from ref. </w:t>
      </w:r>
      <w:r w:rsidR="002E6354">
        <w:rPr>
          <w:sz w:val="24"/>
          <w:szCs w:val="24"/>
        </w:rPr>
        <w:t>60</w:t>
      </w:r>
      <w:r w:rsidR="009A5BC6" w:rsidRPr="00610A40">
        <w:rPr>
          <w:sz w:val="24"/>
          <w:szCs w:val="24"/>
        </w:rPr>
        <w:t xml:space="preserve"> with permission from </w:t>
      </w:r>
      <w:r w:rsidR="002E6354">
        <w:rPr>
          <w:sz w:val="24"/>
          <w:szCs w:val="24"/>
        </w:rPr>
        <w:t>Wiley</w:t>
      </w:r>
      <w:r w:rsidR="009A5BC6" w:rsidRPr="00610A40">
        <w:rPr>
          <w:sz w:val="24"/>
          <w:szCs w:val="24"/>
        </w:rPr>
        <w:t xml:space="preserve">, copyright </w:t>
      </w:r>
      <w:r w:rsidR="009A5BC6">
        <w:rPr>
          <w:sz w:val="24"/>
          <w:szCs w:val="24"/>
        </w:rPr>
        <w:t>20</w:t>
      </w:r>
      <w:r w:rsidR="002E6354">
        <w:rPr>
          <w:sz w:val="24"/>
          <w:szCs w:val="24"/>
        </w:rPr>
        <w:t>04</w:t>
      </w:r>
    </w:p>
    <w:p w14:paraId="602153E6" w14:textId="211562C2" w:rsidR="00972EB2" w:rsidRPr="00610A40" w:rsidRDefault="00972EB2" w:rsidP="00972EB2">
      <w:pPr>
        <w:rPr>
          <w:color w:val="auto"/>
          <w:szCs w:val="24"/>
        </w:rPr>
      </w:pPr>
      <w:r w:rsidRPr="00610A40">
        <w:rPr>
          <w:color w:val="auto"/>
          <w:szCs w:val="24"/>
        </w:rPr>
        <w:t xml:space="preserve">Subcutaneous implantations proved </w:t>
      </w:r>
      <w:r w:rsidR="00DD33EF" w:rsidRPr="00610A40">
        <w:rPr>
          <w:color w:val="auto"/>
          <w:szCs w:val="24"/>
        </w:rPr>
        <w:t xml:space="preserve">that </w:t>
      </w:r>
      <w:r w:rsidRPr="00610A40">
        <w:rPr>
          <w:color w:val="auto"/>
          <w:szCs w:val="24"/>
        </w:rPr>
        <w:t>POC films elicit</w:t>
      </w:r>
      <w:r w:rsidR="00DD33EF" w:rsidRPr="00610A40">
        <w:rPr>
          <w:color w:val="auto"/>
          <w:szCs w:val="24"/>
        </w:rPr>
        <w:t>ed</w:t>
      </w:r>
      <w:r w:rsidRPr="00610A40">
        <w:rPr>
          <w:color w:val="auto"/>
          <w:szCs w:val="24"/>
        </w:rPr>
        <w:t xml:space="preserve"> no chronic inflammatory response and an acceptable thickness of fibrous capsule formation of approximately 45 µm, which is comparable with that of </w:t>
      </w:r>
      <w:proofErr w:type="spellStart"/>
      <w:r w:rsidRPr="00610A40">
        <w:rPr>
          <w:color w:val="auto"/>
          <w:szCs w:val="24"/>
        </w:rPr>
        <w:t>polyglycerol</w:t>
      </w:r>
      <w:proofErr w:type="spellEnd"/>
      <w:r w:rsidRPr="00610A40">
        <w:rPr>
          <w:color w:val="auto"/>
          <w:szCs w:val="24"/>
        </w:rPr>
        <w:t xml:space="preserve"> </w:t>
      </w:r>
      <w:proofErr w:type="spellStart"/>
      <w:r w:rsidRPr="00610A40">
        <w:rPr>
          <w:color w:val="auto"/>
          <w:szCs w:val="24"/>
        </w:rPr>
        <w:t>sebacate</w:t>
      </w:r>
      <w:proofErr w:type="spellEnd"/>
      <w:r w:rsidRPr="00610A40">
        <w:rPr>
          <w:color w:val="auto"/>
          <w:szCs w:val="24"/>
        </w:rPr>
        <w:t xml:space="preserve"> (PGS). Such a thin fibrous capsule would not </w:t>
      </w:r>
      <w:r w:rsidR="00DD33EF" w:rsidRPr="00610A40">
        <w:rPr>
          <w:color w:val="auto"/>
          <w:szCs w:val="24"/>
        </w:rPr>
        <w:t xml:space="preserve">be of </w:t>
      </w:r>
      <w:r w:rsidRPr="00610A40">
        <w:rPr>
          <w:color w:val="auto"/>
          <w:szCs w:val="24"/>
        </w:rPr>
        <w:t>hind</w:t>
      </w:r>
      <w:r w:rsidR="00DD33EF" w:rsidRPr="00610A40">
        <w:rPr>
          <w:color w:val="auto"/>
          <w:szCs w:val="24"/>
        </w:rPr>
        <w:t>rance to</w:t>
      </w:r>
      <w:r w:rsidRPr="00610A40">
        <w:rPr>
          <w:color w:val="auto"/>
          <w:szCs w:val="24"/>
        </w:rPr>
        <w:t xml:space="preserve"> the mass transport between the cell-based implant and its surrounding. </w:t>
      </w:r>
      <w:r w:rsidR="00D5605F" w:rsidRPr="00610A40">
        <w:rPr>
          <w:color w:val="auto"/>
          <w:szCs w:val="24"/>
        </w:rPr>
        <w:t>Finally,</w:t>
      </w:r>
      <w:r w:rsidRPr="00610A40">
        <w:rPr>
          <w:color w:val="auto"/>
          <w:szCs w:val="24"/>
        </w:rPr>
        <w:t xml:space="preserve"> thin-walled POC tubes of </w:t>
      </w:r>
      <w:r w:rsidR="00DD33EF" w:rsidRPr="00610A40">
        <w:rPr>
          <w:color w:val="auto"/>
          <w:szCs w:val="24"/>
        </w:rPr>
        <w:t xml:space="preserve">an inner diameter of </w:t>
      </w:r>
      <w:r w:rsidRPr="00610A40">
        <w:rPr>
          <w:color w:val="auto"/>
          <w:szCs w:val="24"/>
        </w:rPr>
        <w:t xml:space="preserve">3.66 mm and </w:t>
      </w:r>
      <w:r w:rsidR="00DD33EF" w:rsidRPr="00610A40">
        <w:rPr>
          <w:color w:val="auto"/>
          <w:szCs w:val="24"/>
        </w:rPr>
        <w:t xml:space="preserve">a </w:t>
      </w:r>
      <w:r w:rsidRPr="00610A40">
        <w:rPr>
          <w:color w:val="auto"/>
          <w:szCs w:val="24"/>
        </w:rPr>
        <w:t>thick</w:t>
      </w:r>
      <w:r w:rsidR="00DD33EF" w:rsidRPr="00610A40">
        <w:rPr>
          <w:color w:val="auto"/>
          <w:szCs w:val="24"/>
        </w:rPr>
        <w:t>ness of 0.15 mm</w:t>
      </w:r>
      <w:r w:rsidRPr="00610A40">
        <w:rPr>
          <w:color w:val="auto"/>
          <w:szCs w:val="24"/>
        </w:rPr>
        <w:t xml:space="preserve"> have dimensions suitable for use as a small-diameter vascular graft. Its wall elasticity was compared to the human saphenous vein via a burst pressure test</w:t>
      </w:r>
      <w:r w:rsidR="00DD33EF" w:rsidRPr="00610A40">
        <w:rPr>
          <w:color w:val="auto"/>
          <w:szCs w:val="24"/>
        </w:rPr>
        <w:t xml:space="preserve">, </w:t>
      </w:r>
      <w:r w:rsidRPr="00610A40">
        <w:rPr>
          <w:color w:val="auto"/>
          <w:szCs w:val="24"/>
        </w:rPr>
        <w:t xml:space="preserve">where both tubes were inflated and the pressure at failure </w:t>
      </w:r>
      <w:r w:rsidR="00DD33EF" w:rsidRPr="00610A40">
        <w:rPr>
          <w:color w:val="auto"/>
          <w:szCs w:val="24"/>
        </w:rPr>
        <w:t xml:space="preserve">was </w:t>
      </w:r>
      <w:r w:rsidRPr="00610A40">
        <w:rPr>
          <w:color w:val="auto"/>
          <w:szCs w:val="24"/>
        </w:rPr>
        <w:t xml:space="preserve">recorded as the burst pressure. POC tube had a burst pressure of 1300 mmHg which </w:t>
      </w:r>
      <w:r w:rsidR="00DD33EF" w:rsidRPr="00610A40">
        <w:rPr>
          <w:color w:val="auto"/>
          <w:szCs w:val="24"/>
        </w:rPr>
        <w:t xml:space="preserve">was </w:t>
      </w:r>
      <w:r w:rsidRPr="00610A40">
        <w:rPr>
          <w:color w:val="auto"/>
          <w:szCs w:val="24"/>
        </w:rPr>
        <w:t>comparable with that of the saphenous vein at 1680 mmHg. Such mechanical properties ma</w:t>
      </w:r>
      <w:r w:rsidR="00DD33EF" w:rsidRPr="00610A40">
        <w:rPr>
          <w:color w:val="auto"/>
          <w:szCs w:val="24"/>
        </w:rPr>
        <w:t>de</w:t>
      </w:r>
      <w:r w:rsidRPr="00610A40">
        <w:rPr>
          <w:color w:val="auto"/>
          <w:szCs w:val="24"/>
        </w:rPr>
        <w:t xml:space="preserve"> POC a very promising candidate for use as blood vessel scaffold</w:t>
      </w:r>
      <w:r w:rsidR="00DD33EF" w:rsidRPr="00610A40">
        <w:rPr>
          <w:color w:val="auto"/>
          <w:szCs w:val="24"/>
        </w:rPr>
        <w:t>s</w:t>
      </w:r>
      <w:r w:rsidRPr="00610A40">
        <w:rPr>
          <w:color w:val="auto"/>
          <w:szCs w:val="24"/>
        </w:rPr>
        <w:t xml:space="preserve">. </w:t>
      </w:r>
    </w:p>
    <w:p w14:paraId="799C9636" w14:textId="77777777" w:rsidR="00972EB2" w:rsidRPr="00610A40" w:rsidRDefault="00972EB2" w:rsidP="00972EB2">
      <w:pPr>
        <w:rPr>
          <w:color w:val="auto"/>
          <w:szCs w:val="24"/>
        </w:rPr>
      </w:pPr>
    </w:p>
    <w:p w14:paraId="073B98E5" w14:textId="4DB9879B" w:rsidR="00972EB2" w:rsidRPr="00610A40" w:rsidRDefault="00972EB2" w:rsidP="00972EB2">
      <w:pPr>
        <w:rPr>
          <w:color w:val="auto"/>
          <w:szCs w:val="24"/>
        </w:rPr>
      </w:pPr>
      <w:r w:rsidRPr="00610A40">
        <w:rPr>
          <w:color w:val="auto"/>
          <w:szCs w:val="24"/>
        </w:rPr>
        <w:t xml:space="preserve">Citric acid could also be co-polymerized with other polymers to generate new materials for 3D scaffolding. </w:t>
      </w:r>
      <w:proofErr w:type="gramStart"/>
      <w:r w:rsidRPr="00610A40">
        <w:rPr>
          <w:color w:val="auto"/>
          <w:szCs w:val="24"/>
        </w:rPr>
        <w:t xml:space="preserve">By performing simple </w:t>
      </w:r>
      <w:proofErr w:type="spellStart"/>
      <w:r w:rsidRPr="00610A40">
        <w:rPr>
          <w:color w:val="auto"/>
          <w:szCs w:val="24"/>
        </w:rPr>
        <w:t>polycondensation</w:t>
      </w:r>
      <w:proofErr w:type="spellEnd"/>
      <w:r w:rsidRPr="00610A40">
        <w:rPr>
          <w:color w:val="auto"/>
          <w:szCs w:val="24"/>
        </w:rPr>
        <w:t xml:space="preserve"> between citric acid and </w:t>
      </w:r>
      <w:proofErr w:type="spellStart"/>
      <w:r w:rsidRPr="00610A40">
        <w:rPr>
          <w:color w:val="auto"/>
          <w:szCs w:val="24"/>
        </w:rPr>
        <w:t>polycaprolactone</w:t>
      </w:r>
      <w:proofErr w:type="spellEnd"/>
      <w:r w:rsidRPr="00610A40">
        <w:rPr>
          <w:color w:val="auto"/>
          <w:szCs w:val="24"/>
        </w:rPr>
        <w:t xml:space="preserve"> </w:t>
      </w:r>
      <w:proofErr w:type="spellStart"/>
      <w:r w:rsidRPr="00610A40">
        <w:rPr>
          <w:color w:val="auto"/>
          <w:szCs w:val="24"/>
        </w:rPr>
        <w:t>triol</w:t>
      </w:r>
      <w:proofErr w:type="spellEnd"/>
      <w:r w:rsidRPr="00610A40">
        <w:rPr>
          <w:color w:val="auto"/>
          <w:szCs w:val="24"/>
        </w:rPr>
        <w:t>, Lynda et.al.</w:t>
      </w:r>
      <w:proofErr w:type="gramEnd"/>
      <w:r w:rsidRPr="00610A40">
        <w:rPr>
          <w:color w:val="auto"/>
          <w:szCs w:val="24"/>
        </w:rPr>
        <w:t xml:space="preserve"> </w:t>
      </w:r>
      <w:proofErr w:type="gramStart"/>
      <w:r w:rsidRPr="00610A40">
        <w:rPr>
          <w:color w:val="auto"/>
          <w:szCs w:val="24"/>
        </w:rPr>
        <w:t>was</w:t>
      </w:r>
      <w:proofErr w:type="gramEnd"/>
      <w:r w:rsidRPr="00610A40">
        <w:rPr>
          <w:color w:val="auto"/>
          <w:szCs w:val="24"/>
        </w:rPr>
        <w:t xml:space="preserve"> able to create a range of citric acid-co-</w:t>
      </w:r>
      <w:proofErr w:type="spellStart"/>
      <w:r w:rsidRPr="00610A40">
        <w:rPr>
          <w:color w:val="auto"/>
          <w:szCs w:val="24"/>
        </w:rPr>
        <w:t>polycaprolactone</w:t>
      </w:r>
      <w:proofErr w:type="spellEnd"/>
      <w:r w:rsidRPr="00610A40">
        <w:rPr>
          <w:color w:val="auto"/>
          <w:szCs w:val="24"/>
        </w:rPr>
        <w:t xml:space="preserve"> </w:t>
      </w:r>
      <w:proofErr w:type="spellStart"/>
      <w:r w:rsidRPr="00610A40">
        <w:rPr>
          <w:color w:val="auto"/>
          <w:szCs w:val="24"/>
        </w:rPr>
        <w:t>triol</w:t>
      </w:r>
      <w:proofErr w:type="spellEnd"/>
      <w:r w:rsidRPr="00610A40">
        <w:rPr>
          <w:color w:val="auto"/>
          <w:szCs w:val="24"/>
        </w:rPr>
        <w:t xml:space="preserve">. The mixing of ratios of citric acid: </w:t>
      </w:r>
      <w:proofErr w:type="spellStart"/>
      <w:r w:rsidRPr="00610A40">
        <w:rPr>
          <w:color w:val="auto"/>
          <w:szCs w:val="24"/>
        </w:rPr>
        <w:t>polycaprolactone</w:t>
      </w:r>
      <w:proofErr w:type="spellEnd"/>
      <w:r w:rsidRPr="00610A40">
        <w:rPr>
          <w:color w:val="auto"/>
          <w:szCs w:val="24"/>
        </w:rPr>
        <w:t xml:space="preserve"> </w:t>
      </w:r>
      <w:proofErr w:type="spellStart"/>
      <w:r w:rsidRPr="00610A40">
        <w:rPr>
          <w:color w:val="auto"/>
          <w:szCs w:val="24"/>
        </w:rPr>
        <w:t>triol</w:t>
      </w:r>
      <w:proofErr w:type="spellEnd"/>
      <w:r w:rsidRPr="00610A40">
        <w:rPr>
          <w:color w:val="auto"/>
          <w:szCs w:val="24"/>
        </w:rPr>
        <w:t xml:space="preserve"> in the ratios of 1:1, 3:2 and 2:1 produced polyester samples that ha</w:t>
      </w:r>
      <w:r w:rsidR="00DD33EF" w:rsidRPr="00610A40">
        <w:rPr>
          <w:color w:val="auto"/>
          <w:szCs w:val="24"/>
        </w:rPr>
        <w:t>d</w:t>
      </w:r>
      <w:r w:rsidRPr="00610A40">
        <w:rPr>
          <w:color w:val="auto"/>
          <w:szCs w:val="24"/>
        </w:rPr>
        <w:t xml:space="preserve"> Young’s moduli of 0.56 </w:t>
      </w:r>
      <w:proofErr w:type="spellStart"/>
      <w:r w:rsidRPr="00610A40">
        <w:rPr>
          <w:color w:val="auto"/>
          <w:szCs w:val="24"/>
        </w:rPr>
        <w:t>MPa</w:t>
      </w:r>
      <w:proofErr w:type="spellEnd"/>
      <w:r w:rsidRPr="00610A40">
        <w:rPr>
          <w:color w:val="auto"/>
          <w:szCs w:val="24"/>
        </w:rPr>
        <w:t>, 1.08</w:t>
      </w:r>
      <w:r w:rsidR="00BD4CA7" w:rsidRPr="00610A40">
        <w:rPr>
          <w:color w:val="auto"/>
          <w:szCs w:val="24"/>
        </w:rPr>
        <w:t xml:space="preserve"> </w:t>
      </w:r>
      <w:proofErr w:type="spellStart"/>
      <w:r w:rsidRPr="00610A40">
        <w:rPr>
          <w:color w:val="auto"/>
          <w:szCs w:val="24"/>
        </w:rPr>
        <w:t>MPa</w:t>
      </w:r>
      <w:proofErr w:type="spellEnd"/>
      <w:r w:rsidRPr="00610A40">
        <w:rPr>
          <w:color w:val="auto"/>
          <w:szCs w:val="24"/>
        </w:rPr>
        <w:t xml:space="preserve"> and 2.44 </w:t>
      </w:r>
      <w:proofErr w:type="spellStart"/>
      <w:r w:rsidRPr="00610A40">
        <w:rPr>
          <w:color w:val="auto"/>
          <w:szCs w:val="24"/>
        </w:rPr>
        <w:t>MPa</w:t>
      </w:r>
      <w:proofErr w:type="spellEnd"/>
      <w:r w:rsidRPr="00610A40">
        <w:rPr>
          <w:color w:val="auto"/>
          <w:szCs w:val="24"/>
        </w:rPr>
        <w:t xml:space="preserve"> with % elongation at break of 177%, 146% and 61% respectively</w:t>
      </w:r>
      <w:r w:rsidRPr="00610A40">
        <w:rPr>
          <w:color w:val="auto"/>
          <w:szCs w:val="24"/>
        </w:rPr>
        <w:fldChar w:fldCharType="begin" w:fldLock="1"/>
      </w:r>
      <w:r w:rsidR="00565E2A" w:rsidRPr="00610A40">
        <w:rPr>
          <w:color w:val="auto"/>
          <w:szCs w:val="24"/>
        </w:rPr>
        <w:instrText>ADDIN CSL_CITATION { "citationItems" : [ { "id" : "ITEM-1", "itemData" : { "DOI" : "10.4161/biom.1.1.17301", "ISSN" : "21592535", "author" : [ { "dropping-particle" : "V.", "family" : "Thomas", "given" : "Lynda", "non-dropping-particle" : "", "parse-names" : false, "suffix" : "" }, { "dropping-particle" : "", "family" : "Nair", "given" : "Prabha D.", "non-dropping-particle" : "", "parse-names" : false, "suffix" : "" } ], "container-title" : "Biomatter", "id" : "ITEM-1", "issue" : "1", "issued" : { "date-parts" : [ [ "2011" ] ] }, "page" : "81-90", "title" : "(Citric acid-co-polycaprolactone triol) polyester: a biodegradable elastomer for soft tissue engineering.", "type" : "article-journal", "volume" : "1" }, "uris" : [ "http://www.mendeley.com/documents/?uuid=2b28942a-5f6c-4a19-84b7-d2b2c31527c0", "http://www.mendeley.com/documents/?uuid=b53b4d44-553e-4d5d-bed3-eef0b29c4f03" ] } ], "mendeley" : { "formattedCitation" : "&lt;sup&gt;184&lt;/sup&gt;", "plainTextFormattedCitation" : "184", "previouslyFormattedCitation" : "&lt;sup&gt;183&lt;/sup&gt;"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184</w:t>
      </w:r>
      <w:r w:rsidRPr="00610A40">
        <w:rPr>
          <w:color w:val="auto"/>
          <w:szCs w:val="24"/>
        </w:rPr>
        <w:fldChar w:fldCharType="end"/>
      </w:r>
      <w:r w:rsidRPr="00610A40">
        <w:rPr>
          <w:color w:val="auto"/>
          <w:szCs w:val="24"/>
        </w:rPr>
        <w:t xml:space="preserve">. This highly elastic material has high biocompatibility and biodegradability and its porosity could also be easily tunes by varying the </w:t>
      </w:r>
      <w:r w:rsidRPr="00610A40">
        <w:rPr>
          <w:color w:val="auto"/>
          <w:szCs w:val="24"/>
        </w:rPr>
        <w:lastRenderedPageBreak/>
        <w:t xml:space="preserve">size of the </w:t>
      </w:r>
      <w:proofErr w:type="spellStart"/>
      <w:r w:rsidRPr="00610A40">
        <w:rPr>
          <w:color w:val="auto"/>
          <w:szCs w:val="24"/>
        </w:rPr>
        <w:t>porogens</w:t>
      </w:r>
      <w:proofErr w:type="spellEnd"/>
      <w:r w:rsidRPr="00610A40">
        <w:rPr>
          <w:color w:val="auto"/>
          <w:szCs w:val="24"/>
        </w:rPr>
        <w:t xml:space="preserve"> added </w:t>
      </w:r>
      <w:r w:rsidR="00DD33EF" w:rsidRPr="00610A40">
        <w:rPr>
          <w:color w:val="auto"/>
          <w:szCs w:val="24"/>
        </w:rPr>
        <w:t>dur</w:t>
      </w:r>
      <w:r w:rsidRPr="00610A40">
        <w:rPr>
          <w:color w:val="auto"/>
          <w:szCs w:val="24"/>
        </w:rPr>
        <w:t xml:space="preserve">ing fabrication. In one demonstration of fabrication capability, the group fabricated porous models with pore sizes ranging from 34 </w:t>
      </w:r>
      <w:proofErr w:type="spellStart"/>
      <w:r w:rsidRPr="00610A40">
        <w:rPr>
          <w:color w:val="auto"/>
          <w:szCs w:val="24"/>
        </w:rPr>
        <w:t>μm</w:t>
      </w:r>
      <w:proofErr w:type="spellEnd"/>
      <w:r w:rsidRPr="00610A40">
        <w:rPr>
          <w:color w:val="auto"/>
          <w:szCs w:val="24"/>
        </w:rPr>
        <w:t xml:space="preserve"> to 105 </w:t>
      </w:r>
      <w:r w:rsidRPr="00610A40">
        <w:rPr>
          <w:color w:val="auto"/>
          <w:szCs w:val="24"/>
        </w:rPr>
        <w:sym w:font="Symbol" w:char="F06D"/>
      </w:r>
      <w:r w:rsidRPr="00610A40">
        <w:rPr>
          <w:color w:val="auto"/>
          <w:szCs w:val="24"/>
        </w:rPr>
        <w:t>m with a % porosity interconnected at 46.8%. This polyester could also be fabricated into thin films, tubes or porous scaffolds for tissue culture of rat aortic smooth muscle cells and human umbilical vein endothelial cells (HUVEC)</w:t>
      </w:r>
      <w:r w:rsidR="00DD33EF" w:rsidRPr="00610A40">
        <w:rPr>
          <w:color w:val="auto"/>
          <w:szCs w:val="24"/>
        </w:rPr>
        <w:t xml:space="preserve"> (</w:t>
      </w:r>
      <w:r w:rsidR="00944C77" w:rsidRPr="00610A40">
        <w:rPr>
          <w:color w:val="auto"/>
          <w:szCs w:val="24"/>
        </w:rPr>
        <w:fldChar w:fldCharType="begin"/>
      </w:r>
      <w:r w:rsidR="00944C77" w:rsidRPr="00610A40">
        <w:rPr>
          <w:color w:val="auto"/>
          <w:szCs w:val="24"/>
        </w:rPr>
        <w:instrText xml:space="preserve"> REF _Ref489036593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13</w:t>
      </w:r>
      <w:r w:rsidR="00944C77" w:rsidRPr="00610A40">
        <w:rPr>
          <w:color w:val="auto"/>
          <w:szCs w:val="24"/>
        </w:rPr>
        <w:fldChar w:fldCharType="end"/>
      </w:r>
      <w:r w:rsidR="00DD33EF" w:rsidRPr="00610A40">
        <w:rPr>
          <w:color w:val="auto"/>
          <w:szCs w:val="24"/>
        </w:rPr>
        <w:t>)</w:t>
      </w:r>
      <w:r w:rsidRPr="00610A40">
        <w:rPr>
          <w:color w:val="auto"/>
          <w:szCs w:val="24"/>
        </w:rPr>
        <w:t>. Conjugation with amino acids such as L-arginine had also been proven to be successful. Free amine –NH</w:t>
      </w:r>
      <w:r w:rsidRPr="00610A40">
        <w:rPr>
          <w:color w:val="auto"/>
          <w:szCs w:val="24"/>
          <w:vertAlign w:val="subscript"/>
        </w:rPr>
        <w:t xml:space="preserve">2 </w:t>
      </w:r>
      <w:r w:rsidRPr="00610A40">
        <w:rPr>
          <w:color w:val="auto"/>
          <w:szCs w:val="24"/>
        </w:rPr>
        <w:t xml:space="preserve">groups present also indicated potential conjugation of RGD or YIGSR peptides for better cell response. The group had successfully cultured primary endothelial and smooth muscle cells, expressing </w:t>
      </w:r>
      <w:r w:rsidR="00DD33EF" w:rsidRPr="00610A40">
        <w:rPr>
          <w:color w:val="auto"/>
          <w:szCs w:val="24"/>
        </w:rPr>
        <w:t xml:space="preserve">their </w:t>
      </w:r>
      <w:r w:rsidRPr="00610A40">
        <w:rPr>
          <w:color w:val="auto"/>
          <w:szCs w:val="24"/>
        </w:rPr>
        <w:t xml:space="preserve">specific markers. This confirmed the potential of </w:t>
      </w:r>
      <w:r w:rsidR="00DD33EF" w:rsidRPr="00610A40">
        <w:rPr>
          <w:color w:val="auto"/>
          <w:szCs w:val="24"/>
        </w:rPr>
        <w:t>(citric acid-co-</w:t>
      </w:r>
      <w:proofErr w:type="spellStart"/>
      <w:r w:rsidR="00DD33EF" w:rsidRPr="00610A40">
        <w:rPr>
          <w:color w:val="auto"/>
          <w:szCs w:val="24"/>
        </w:rPr>
        <w:t>polycaprolactone</w:t>
      </w:r>
      <w:proofErr w:type="spellEnd"/>
      <w:r w:rsidR="00DD33EF" w:rsidRPr="00610A40">
        <w:rPr>
          <w:color w:val="auto"/>
          <w:szCs w:val="24"/>
        </w:rPr>
        <w:t xml:space="preserve"> </w:t>
      </w:r>
      <w:proofErr w:type="spellStart"/>
      <w:r w:rsidR="00DD33EF" w:rsidRPr="00610A40">
        <w:rPr>
          <w:color w:val="auto"/>
          <w:szCs w:val="24"/>
        </w:rPr>
        <w:t>triol</w:t>
      </w:r>
      <w:proofErr w:type="spellEnd"/>
      <w:r w:rsidR="00DD33EF" w:rsidRPr="00610A40">
        <w:rPr>
          <w:color w:val="auto"/>
          <w:szCs w:val="24"/>
        </w:rPr>
        <w:t>)</w:t>
      </w:r>
      <w:r w:rsidR="00DD33EF" w:rsidRPr="00610A40" w:rsidDel="00DD33EF">
        <w:rPr>
          <w:color w:val="auto"/>
          <w:szCs w:val="24"/>
        </w:rPr>
        <w:t xml:space="preserve"> </w:t>
      </w:r>
      <w:r w:rsidRPr="00610A40">
        <w:rPr>
          <w:color w:val="auto"/>
          <w:szCs w:val="24"/>
        </w:rPr>
        <w:t xml:space="preserve">as a biocompatible and elastic scaffold for culturing of </w:t>
      </w:r>
      <w:r w:rsidR="00DD33EF" w:rsidRPr="00610A40">
        <w:rPr>
          <w:color w:val="auto"/>
          <w:szCs w:val="24"/>
        </w:rPr>
        <w:t xml:space="preserve">vascular </w:t>
      </w:r>
      <w:r w:rsidRPr="00610A40">
        <w:rPr>
          <w:color w:val="auto"/>
          <w:szCs w:val="24"/>
        </w:rPr>
        <w:t xml:space="preserve">tissues. </w:t>
      </w:r>
    </w:p>
    <w:p w14:paraId="23447717" w14:textId="77777777" w:rsidR="00DD33EF" w:rsidRPr="00610A40" w:rsidRDefault="00DD33EF" w:rsidP="00086775">
      <w:pPr>
        <w:keepNext/>
        <w:rPr>
          <w:color w:val="auto"/>
          <w:szCs w:val="24"/>
        </w:rPr>
      </w:pPr>
      <w:r w:rsidRPr="00610A40">
        <w:rPr>
          <w:noProof/>
          <w:color w:val="auto"/>
          <w:szCs w:val="24"/>
        </w:rPr>
        <w:drawing>
          <wp:inline distT="0" distB="0" distL="0" distR="0" wp14:anchorId="4A9075E9" wp14:editId="7C1C2550">
            <wp:extent cx="5943600" cy="214492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144923"/>
                    </a:xfrm>
                    <a:prstGeom prst="rect">
                      <a:avLst/>
                    </a:prstGeom>
                    <a:noFill/>
                    <a:ln>
                      <a:noFill/>
                    </a:ln>
                  </pic:spPr>
                </pic:pic>
              </a:graphicData>
            </a:graphic>
          </wp:inline>
        </w:drawing>
      </w:r>
    </w:p>
    <w:p w14:paraId="146545A9" w14:textId="58B84EC2" w:rsidR="00972EB2" w:rsidRPr="00610A40" w:rsidRDefault="00DD33EF" w:rsidP="00086775">
      <w:pPr>
        <w:pStyle w:val="Caption"/>
        <w:rPr>
          <w:sz w:val="24"/>
          <w:szCs w:val="24"/>
        </w:rPr>
      </w:pPr>
      <w:bookmarkStart w:id="16" w:name="_Ref489036593"/>
      <w:proofErr w:type="gramStart"/>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13</w:t>
      </w:r>
      <w:r w:rsidR="00004924" w:rsidRPr="00610A40">
        <w:rPr>
          <w:noProof/>
          <w:sz w:val="24"/>
          <w:szCs w:val="24"/>
        </w:rPr>
        <w:fldChar w:fldCharType="end"/>
      </w:r>
      <w:bookmarkEnd w:id="16"/>
      <w:r w:rsidRPr="00610A40">
        <w:rPr>
          <w:sz w:val="24"/>
          <w:szCs w:val="24"/>
        </w:rPr>
        <w:t xml:space="preserve"> (Citric acid-co-</w:t>
      </w:r>
      <w:proofErr w:type="spellStart"/>
      <w:r w:rsidRPr="00610A40">
        <w:rPr>
          <w:sz w:val="24"/>
          <w:szCs w:val="24"/>
        </w:rPr>
        <w:t>polycaprolactone</w:t>
      </w:r>
      <w:proofErr w:type="spellEnd"/>
      <w:r w:rsidRPr="00610A40">
        <w:rPr>
          <w:sz w:val="24"/>
          <w:szCs w:val="24"/>
        </w:rPr>
        <w:t xml:space="preserve"> </w:t>
      </w:r>
      <w:proofErr w:type="spellStart"/>
      <w:r w:rsidRPr="00610A40">
        <w:rPr>
          <w:sz w:val="24"/>
          <w:szCs w:val="24"/>
        </w:rPr>
        <w:t>triol</w:t>
      </w:r>
      <w:proofErr w:type="spellEnd"/>
      <w:r w:rsidRPr="00610A40">
        <w:rPr>
          <w:sz w:val="24"/>
          <w:szCs w:val="24"/>
        </w:rPr>
        <w:t>) fabricated into the form of a film, porous discs and a tube.</w:t>
      </w:r>
      <w:proofErr w:type="gramEnd"/>
      <w:r w:rsidRPr="00610A40">
        <w:rPr>
          <w:sz w:val="24"/>
          <w:szCs w:val="24"/>
        </w:rPr>
        <w:t xml:space="preserve"> </w:t>
      </w:r>
      <w:r w:rsidR="009A5BC6" w:rsidRPr="00610A40">
        <w:rPr>
          <w:sz w:val="24"/>
          <w:szCs w:val="24"/>
        </w:rPr>
        <w:t xml:space="preserve">Reproduced from ref. </w:t>
      </w:r>
      <w:r w:rsidR="009A5BC6">
        <w:rPr>
          <w:sz w:val="24"/>
          <w:szCs w:val="24"/>
        </w:rPr>
        <w:t>18</w:t>
      </w:r>
      <w:r w:rsidR="009A5BC6">
        <w:rPr>
          <w:sz w:val="24"/>
          <w:szCs w:val="24"/>
        </w:rPr>
        <w:t>4</w:t>
      </w:r>
      <w:r w:rsidR="009A5BC6" w:rsidRPr="00610A40">
        <w:rPr>
          <w:sz w:val="24"/>
          <w:szCs w:val="24"/>
        </w:rPr>
        <w:t xml:space="preserve"> with permission from </w:t>
      </w:r>
      <w:r w:rsidR="002E6354">
        <w:rPr>
          <w:sz w:val="24"/>
          <w:szCs w:val="24"/>
        </w:rPr>
        <w:t>Taylor and Francis</w:t>
      </w:r>
      <w:r w:rsidR="009A5BC6" w:rsidRPr="00610A40">
        <w:rPr>
          <w:sz w:val="24"/>
          <w:szCs w:val="24"/>
        </w:rPr>
        <w:t xml:space="preserve">, copyright </w:t>
      </w:r>
      <w:r w:rsidR="009A5BC6">
        <w:rPr>
          <w:sz w:val="24"/>
          <w:szCs w:val="24"/>
        </w:rPr>
        <w:t>20</w:t>
      </w:r>
      <w:r w:rsidR="002E6354">
        <w:rPr>
          <w:sz w:val="24"/>
          <w:szCs w:val="24"/>
        </w:rPr>
        <w:t>11</w:t>
      </w:r>
    </w:p>
    <w:p w14:paraId="5378593A" w14:textId="77777777" w:rsidR="00E27AC3" w:rsidRPr="00610A40" w:rsidRDefault="00E27AC3" w:rsidP="00972EB2">
      <w:pPr>
        <w:rPr>
          <w:color w:val="auto"/>
          <w:szCs w:val="24"/>
        </w:rPr>
      </w:pPr>
    </w:p>
    <w:p w14:paraId="0C2E2E47" w14:textId="044E1038" w:rsidR="00972EB2" w:rsidRPr="00610A40" w:rsidRDefault="00BD4CA7" w:rsidP="00972EB2">
      <w:pPr>
        <w:rPr>
          <w:color w:val="auto"/>
          <w:szCs w:val="24"/>
        </w:rPr>
      </w:pPr>
      <w:proofErr w:type="spellStart"/>
      <w:r w:rsidRPr="00610A40">
        <w:rPr>
          <w:color w:val="auto"/>
          <w:szCs w:val="24"/>
        </w:rPr>
        <w:t>Lith</w:t>
      </w:r>
      <w:proofErr w:type="spellEnd"/>
      <w:r w:rsidRPr="00610A40">
        <w:rPr>
          <w:color w:val="auto"/>
          <w:szCs w:val="24"/>
        </w:rPr>
        <w:t xml:space="preserve"> et </w:t>
      </w:r>
      <w:r w:rsidR="00972EB2" w:rsidRPr="00610A40">
        <w:rPr>
          <w:color w:val="auto"/>
          <w:szCs w:val="24"/>
        </w:rPr>
        <w:t>al. described the synthesis of poly(1,8-octanediol-co-citrate-co-ascorbate) (POCA), that has native, intrinsic antioxidant properties</w:t>
      </w:r>
      <w:r w:rsidR="00F516C5" w:rsidRPr="00610A40">
        <w:rPr>
          <w:color w:val="auto"/>
          <w:szCs w:val="24"/>
        </w:rPr>
        <w:fldChar w:fldCharType="begin" w:fldLock="1"/>
      </w:r>
      <w:r w:rsidR="00565E2A" w:rsidRPr="00610A40">
        <w:rPr>
          <w:color w:val="auto"/>
          <w:szCs w:val="24"/>
        </w:rPr>
        <w:instrText>ADDIN CSL_CITATION { "citationItems" : [ { "id" : "ITEM-1", "itemData" : { "DOI" : "10.1038/jid.2014.371", "ISBN" : "6176321972", "ISSN" : "15378276", "PMID" : "1000000221", "author" : [ { "dropping-particle" : "", "family" : "R.van Lith, E.K. Gregory, J. Yang, M.R. Kibbe", "given" : "G.A. Ameer", "non-dropping-particle" : "", "parse-names" : false, "suffix" : "" } ], "container-title" : "Biomaterials", "id" : "ITEM-1", "issue" : "28", "issued" : { "date-parts" : [ [ "2014" ] ] }, "page" : "8113-8122", "title" : "Engineering biodegradable polyester elastomers with antioxidant properities to attenuate oxidative stress in tissues", "type" : "article-journal", "volume" : "35" }, "uris" : [ "http://www.mendeley.com/documents/?uuid=ed55024e-b7f3-4768-aec5-1891d727e9aa", "http://www.mendeley.com/documents/?uuid=8f8fcc34-0f8a-4700-8d2d-64180461c27b" ] } ], "mendeley" : { "formattedCitation" : "&lt;sup&gt;185&lt;/sup&gt;", "plainTextFormattedCitation" : "185", "previouslyFormattedCitation" : "&lt;sup&gt;184&lt;/sup&gt;" }, "properties" : { "noteIndex" : 0 }, "schema" : "https://github.com/citation-style-language/schema/raw/master/csl-citation.json" }</w:instrText>
      </w:r>
      <w:r w:rsidR="00F516C5" w:rsidRPr="00610A40">
        <w:rPr>
          <w:color w:val="auto"/>
          <w:szCs w:val="24"/>
        </w:rPr>
        <w:fldChar w:fldCharType="separate"/>
      </w:r>
      <w:r w:rsidR="00565E2A" w:rsidRPr="00610A40">
        <w:rPr>
          <w:noProof/>
          <w:color w:val="auto"/>
          <w:szCs w:val="24"/>
          <w:vertAlign w:val="superscript"/>
        </w:rPr>
        <w:t>185</w:t>
      </w:r>
      <w:r w:rsidR="00F516C5" w:rsidRPr="00610A40">
        <w:rPr>
          <w:color w:val="auto"/>
          <w:szCs w:val="24"/>
        </w:rPr>
        <w:fldChar w:fldCharType="end"/>
      </w:r>
      <w:r w:rsidR="00972EB2" w:rsidRPr="00610A40">
        <w:rPr>
          <w:color w:val="auto"/>
          <w:szCs w:val="24"/>
        </w:rPr>
        <w:t xml:space="preserve">. The synthesis of the polyester was relatively simple: mix 1,8- </w:t>
      </w:r>
      <w:proofErr w:type="spellStart"/>
      <w:r w:rsidR="00972EB2" w:rsidRPr="00610A40">
        <w:rPr>
          <w:color w:val="auto"/>
          <w:szCs w:val="24"/>
        </w:rPr>
        <w:t>octanediol</w:t>
      </w:r>
      <w:proofErr w:type="spellEnd"/>
      <w:r w:rsidR="00972EB2" w:rsidRPr="00610A40">
        <w:rPr>
          <w:color w:val="auto"/>
          <w:szCs w:val="24"/>
        </w:rPr>
        <w:t xml:space="preserve">, citric acid and ascorbic acid at a ratio of 5:5:1 and heated at 160°C for 10 minutes, followed by 140°C for an additional 60 minutes. A few steps for purification and </w:t>
      </w:r>
      <w:r w:rsidR="00972EB2" w:rsidRPr="00610A40">
        <w:rPr>
          <w:color w:val="auto"/>
          <w:szCs w:val="24"/>
        </w:rPr>
        <w:lastRenderedPageBreak/>
        <w:t xml:space="preserve">sterilization was performed before soaking in DMEM media at 37°C to leach out the acidic products. The group used POC as a reference for comparison. Both POC and POCA showed rapid free radical scavenging with 100% radical scavenged in 24 hours with POCA significantly faster than POC. Over time, due to the slow release of ascorbic acid, the free radical scavenging power increased. POC was effective at free radical scavenging, probably due to the presence of citric acid in its backbone. Both POC and POCA also showed strong iron chelation properties due to the presence of citric acid, with POCA showing </w:t>
      </w:r>
      <w:r w:rsidR="004F5150" w:rsidRPr="00610A40">
        <w:rPr>
          <w:color w:val="auto"/>
          <w:szCs w:val="24"/>
        </w:rPr>
        <w:t>greater</w:t>
      </w:r>
      <w:r w:rsidR="00972EB2" w:rsidRPr="00610A40">
        <w:rPr>
          <w:color w:val="auto"/>
          <w:szCs w:val="24"/>
        </w:rPr>
        <w:t xml:space="preserve"> chelation strength. This was thought to be due to the accessibility of carboxylic and hydroxyl group </w:t>
      </w:r>
      <w:r w:rsidR="004F5150" w:rsidRPr="00610A40">
        <w:rPr>
          <w:color w:val="auto"/>
          <w:szCs w:val="24"/>
        </w:rPr>
        <w:t xml:space="preserve">on citric acid </w:t>
      </w:r>
      <w:r w:rsidR="00972EB2" w:rsidRPr="00610A40">
        <w:rPr>
          <w:color w:val="auto"/>
          <w:szCs w:val="24"/>
        </w:rPr>
        <w:t>in the presence of ascorbic acid. Using lipid peroxidation as a proxy for measuring the effect of reducing oxidative stress, it was shown that POCA strongly inhibited lipid peroxidation as assessed by the β-carotene bleaching assay. This exhibited the potential of POCA in reducing oxidative stress. These two biodegradable polyesters were shown to be able to retain their free radical scavenging and iron chelating capacity even after 1 month of incubation in PBS at 37°C. Their lipid peroxidation capacity, however, decreased by 14.7</w:t>
      </w:r>
      <w:r w:rsidR="00E27AC3" w:rsidRPr="00610A40">
        <w:rPr>
          <w:color w:val="auto"/>
          <w:szCs w:val="24"/>
        </w:rPr>
        <w:t xml:space="preserve"> </w:t>
      </w:r>
      <w:r w:rsidR="00972EB2" w:rsidRPr="00610A40">
        <w:rPr>
          <w:color w:val="auto"/>
          <w:szCs w:val="24"/>
        </w:rPr>
        <w:t>±</w:t>
      </w:r>
      <w:r w:rsidR="00E27AC3" w:rsidRPr="00610A40">
        <w:rPr>
          <w:color w:val="auto"/>
          <w:szCs w:val="24"/>
        </w:rPr>
        <w:t xml:space="preserve"> </w:t>
      </w:r>
      <w:r w:rsidR="00972EB2" w:rsidRPr="00610A40">
        <w:rPr>
          <w:color w:val="auto"/>
          <w:szCs w:val="24"/>
        </w:rPr>
        <w:t>1.1% for POC and 21.9</w:t>
      </w:r>
      <w:r w:rsidR="00E27AC3" w:rsidRPr="00610A40">
        <w:rPr>
          <w:color w:val="auto"/>
          <w:szCs w:val="24"/>
        </w:rPr>
        <w:t xml:space="preserve"> </w:t>
      </w:r>
      <w:r w:rsidR="00972EB2" w:rsidRPr="00610A40">
        <w:rPr>
          <w:color w:val="auto"/>
          <w:szCs w:val="24"/>
        </w:rPr>
        <w:t>±</w:t>
      </w:r>
      <w:r w:rsidR="00E27AC3" w:rsidRPr="00610A40">
        <w:rPr>
          <w:color w:val="auto"/>
          <w:szCs w:val="24"/>
        </w:rPr>
        <w:t xml:space="preserve"> </w:t>
      </w:r>
      <w:r w:rsidR="00972EB2" w:rsidRPr="00610A40">
        <w:rPr>
          <w:color w:val="auto"/>
          <w:szCs w:val="24"/>
        </w:rPr>
        <w:t>5.8% for POCA. Both POC and POCA were proven to be non</w:t>
      </w:r>
      <w:r w:rsidR="00E27AC3" w:rsidRPr="00610A40">
        <w:rPr>
          <w:color w:val="auto"/>
          <w:szCs w:val="24"/>
        </w:rPr>
        <w:t>-</w:t>
      </w:r>
      <w:r w:rsidR="00972EB2" w:rsidRPr="00610A40">
        <w:rPr>
          <w:color w:val="auto"/>
          <w:szCs w:val="24"/>
        </w:rPr>
        <w:t>cytotoxic to both human umbilical vein endothelial cells (HUVECs) and human aortic smooth muscle cells (HASMCs). It was of note that the proliferation of HASMCs gradually reduced by 15.6</w:t>
      </w:r>
      <w:r w:rsidR="00E27AC3" w:rsidRPr="00610A40">
        <w:rPr>
          <w:color w:val="auto"/>
          <w:szCs w:val="24"/>
        </w:rPr>
        <w:t xml:space="preserve"> </w:t>
      </w:r>
      <w:r w:rsidR="00972EB2" w:rsidRPr="00610A40">
        <w:rPr>
          <w:color w:val="auto"/>
          <w:szCs w:val="24"/>
        </w:rPr>
        <w:t>±</w:t>
      </w:r>
      <w:r w:rsidR="00E27AC3" w:rsidRPr="00610A40">
        <w:rPr>
          <w:color w:val="auto"/>
          <w:szCs w:val="24"/>
        </w:rPr>
        <w:t xml:space="preserve"> </w:t>
      </w:r>
      <w:r w:rsidR="00972EB2" w:rsidRPr="00610A40">
        <w:rPr>
          <w:color w:val="auto"/>
          <w:szCs w:val="24"/>
        </w:rPr>
        <w:t>0.9% and 40.5</w:t>
      </w:r>
      <w:r w:rsidR="00E27AC3" w:rsidRPr="00610A40">
        <w:rPr>
          <w:color w:val="auto"/>
          <w:szCs w:val="24"/>
        </w:rPr>
        <w:t xml:space="preserve"> </w:t>
      </w:r>
      <w:r w:rsidR="00972EB2" w:rsidRPr="00610A40">
        <w:rPr>
          <w:color w:val="auto"/>
          <w:szCs w:val="24"/>
        </w:rPr>
        <w:t>±</w:t>
      </w:r>
      <w:r w:rsidR="00E27AC3" w:rsidRPr="00610A40">
        <w:rPr>
          <w:color w:val="auto"/>
          <w:szCs w:val="24"/>
        </w:rPr>
        <w:t xml:space="preserve"> </w:t>
      </w:r>
      <w:r w:rsidR="00972EB2" w:rsidRPr="00610A40">
        <w:rPr>
          <w:color w:val="auto"/>
          <w:szCs w:val="24"/>
        </w:rPr>
        <w:t xml:space="preserve">3.5% by 5 days of in vitro culturing for POC and POCA respectively. This was a highly desirable effect in preventing intimal hyperplasia, which is the excessive growth of the intima layer of the blood vessel walls. When performing the oxidative stress test using the HUVECs, POC and POCA groups showed a slight decrease in basal oxidative stress (in the absence of hydrogen peroxide). When challenged by hydrogen peroxide, the oxidative stress in the POC and POCA groups did not increase and were significantly lower than the </w:t>
      </w:r>
      <w:proofErr w:type="spellStart"/>
      <w:r w:rsidR="00972EB2" w:rsidRPr="00610A40">
        <w:rPr>
          <w:color w:val="auto"/>
          <w:szCs w:val="24"/>
        </w:rPr>
        <w:t>ePTFE</w:t>
      </w:r>
      <w:proofErr w:type="spellEnd"/>
      <w:r w:rsidR="00972EB2" w:rsidRPr="00610A40">
        <w:rPr>
          <w:color w:val="auto"/>
          <w:szCs w:val="24"/>
        </w:rPr>
        <w:t xml:space="preserve"> control group after 5 min. </w:t>
      </w:r>
      <w:proofErr w:type="spellStart"/>
      <w:r w:rsidR="00972EB2" w:rsidRPr="00610A40">
        <w:rPr>
          <w:color w:val="auto"/>
          <w:szCs w:val="24"/>
        </w:rPr>
        <w:t>Menadion</w:t>
      </w:r>
      <w:proofErr w:type="spellEnd"/>
      <w:r w:rsidR="00972EB2" w:rsidRPr="00610A40">
        <w:rPr>
          <w:color w:val="auto"/>
          <w:szCs w:val="24"/>
        </w:rPr>
        <w:t xml:space="preserve"> </w:t>
      </w:r>
      <w:r w:rsidR="00972EB2" w:rsidRPr="00610A40">
        <w:rPr>
          <w:color w:val="auto"/>
          <w:szCs w:val="24"/>
        </w:rPr>
        <w:lastRenderedPageBreak/>
        <w:t xml:space="preserve">was added to polymer cultured HUVECs to induce the formation of intracellular ROS. POC and POCA groups preserved their cell morphology while the TCP control group experienced significant cell detachment and reduction in cell viability after 1 hour. Finally, POCA was coated on the inner luminal surface of an </w:t>
      </w:r>
      <w:proofErr w:type="spellStart"/>
      <w:r w:rsidR="00972EB2" w:rsidRPr="00610A40">
        <w:rPr>
          <w:color w:val="auto"/>
          <w:szCs w:val="24"/>
        </w:rPr>
        <w:t>ePTFE</w:t>
      </w:r>
      <w:proofErr w:type="spellEnd"/>
      <w:r w:rsidR="00972EB2" w:rsidRPr="00610A40">
        <w:rPr>
          <w:color w:val="auto"/>
          <w:szCs w:val="24"/>
        </w:rPr>
        <w:t xml:space="preserve"> vascular graft and implanted in a guinea pig aortic graft interposition model to investigate the extent of </w:t>
      </w:r>
      <w:proofErr w:type="spellStart"/>
      <w:r w:rsidR="00972EB2" w:rsidRPr="00610A40">
        <w:rPr>
          <w:color w:val="auto"/>
          <w:szCs w:val="24"/>
        </w:rPr>
        <w:t>neointima</w:t>
      </w:r>
      <w:proofErr w:type="spellEnd"/>
      <w:r w:rsidR="00972EB2" w:rsidRPr="00610A40">
        <w:rPr>
          <w:color w:val="auto"/>
          <w:szCs w:val="24"/>
        </w:rPr>
        <w:t xml:space="preserve"> hyperplasia. The POCA</w:t>
      </w:r>
      <w:r w:rsidR="00E27AC3" w:rsidRPr="00610A40">
        <w:rPr>
          <w:color w:val="auto"/>
          <w:szCs w:val="24"/>
        </w:rPr>
        <w:t>-</w:t>
      </w:r>
      <w:r w:rsidR="00972EB2" w:rsidRPr="00610A40">
        <w:rPr>
          <w:color w:val="auto"/>
          <w:szCs w:val="24"/>
        </w:rPr>
        <w:t xml:space="preserve">coated </w:t>
      </w:r>
      <w:proofErr w:type="spellStart"/>
      <w:r w:rsidR="00972EB2" w:rsidRPr="00610A40">
        <w:rPr>
          <w:color w:val="auto"/>
          <w:szCs w:val="24"/>
        </w:rPr>
        <w:t>ePTFE</w:t>
      </w:r>
      <w:proofErr w:type="spellEnd"/>
      <w:r w:rsidR="00972EB2" w:rsidRPr="00610A40">
        <w:rPr>
          <w:color w:val="auto"/>
          <w:szCs w:val="24"/>
        </w:rPr>
        <w:t xml:space="preserve"> graft showed platelet adhesion inhibition as well as a visibly reduced </w:t>
      </w:r>
      <w:proofErr w:type="spellStart"/>
      <w:r w:rsidR="00972EB2" w:rsidRPr="00610A40">
        <w:rPr>
          <w:color w:val="auto"/>
          <w:szCs w:val="24"/>
        </w:rPr>
        <w:t>neointimal</w:t>
      </w:r>
      <w:proofErr w:type="spellEnd"/>
      <w:r w:rsidR="00972EB2" w:rsidRPr="00610A40">
        <w:rPr>
          <w:color w:val="auto"/>
          <w:szCs w:val="24"/>
        </w:rPr>
        <w:t xml:space="preserve"> hyperplasia compared to the uncoated </w:t>
      </w:r>
      <w:proofErr w:type="spellStart"/>
      <w:r w:rsidR="00972EB2" w:rsidRPr="00610A40">
        <w:rPr>
          <w:color w:val="auto"/>
          <w:szCs w:val="24"/>
        </w:rPr>
        <w:t>ePTFE</w:t>
      </w:r>
      <w:proofErr w:type="spellEnd"/>
      <w:r w:rsidR="00972EB2" w:rsidRPr="00610A40">
        <w:rPr>
          <w:color w:val="auto"/>
          <w:szCs w:val="24"/>
        </w:rPr>
        <w:t xml:space="preserve">. </w:t>
      </w:r>
    </w:p>
    <w:p w14:paraId="62B21103" w14:textId="77777777" w:rsidR="00972EB2" w:rsidRPr="00610A40" w:rsidRDefault="00972EB2" w:rsidP="00972EB2">
      <w:pPr>
        <w:rPr>
          <w:color w:val="auto"/>
          <w:szCs w:val="24"/>
        </w:rPr>
      </w:pPr>
    </w:p>
    <w:p w14:paraId="2BCFFB35" w14:textId="47031AF9" w:rsidR="00972EB2" w:rsidRPr="00610A40" w:rsidRDefault="00972EB2" w:rsidP="00972EB2">
      <w:pPr>
        <w:rPr>
          <w:color w:val="auto"/>
          <w:szCs w:val="24"/>
        </w:rPr>
      </w:pPr>
      <w:r w:rsidRPr="00610A40">
        <w:rPr>
          <w:color w:val="auto"/>
          <w:szCs w:val="24"/>
        </w:rPr>
        <w:t>The same group went on to develop another POC-based vascular graft material to prevent intimal hyperplasia formation by incorporating all-trans retinoic acid (</w:t>
      </w:r>
      <w:proofErr w:type="spellStart"/>
      <w:r w:rsidRPr="00610A40">
        <w:rPr>
          <w:color w:val="auto"/>
          <w:szCs w:val="24"/>
        </w:rPr>
        <w:t>atRA</w:t>
      </w:r>
      <w:proofErr w:type="spellEnd"/>
      <w:r w:rsidRPr="00610A40">
        <w:rPr>
          <w:color w:val="auto"/>
          <w:szCs w:val="24"/>
        </w:rPr>
        <w:t xml:space="preserve">) (Vitamin A) </w:t>
      </w:r>
      <w:r w:rsidR="00BB66F6" w:rsidRPr="00610A40">
        <w:rPr>
          <w:color w:val="auto"/>
          <w:szCs w:val="24"/>
        </w:rPr>
        <w:t xml:space="preserve">by </w:t>
      </w:r>
      <w:proofErr w:type="spellStart"/>
      <w:r w:rsidR="00BB66F6" w:rsidRPr="00610A40">
        <w:rPr>
          <w:color w:val="auto"/>
          <w:szCs w:val="24"/>
        </w:rPr>
        <w:t>polycondensation</w:t>
      </w:r>
      <w:proofErr w:type="spellEnd"/>
      <w:r w:rsidR="00BB66F6" w:rsidRPr="00610A40">
        <w:rPr>
          <w:color w:val="auto"/>
          <w:szCs w:val="24"/>
        </w:rPr>
        <w:t xml:space="preserve"> </w:t>
      </w:r>
      <w:r w:rsidRPr="00610A40">
        <w:rPr>
          <w:color w:val="auto"/>
          <w:szCs w:val="24"/>
        </w:rPr>
        <w:t>instead of ascorbic acid (Vitamin C) this time</w:t>
      </w:r>
      <w:r w:rsidRPr="00610A40">
        <w:rPr>
          <w:color w:val="auto"/>
          <w:szCs w:val="24"/>
        </w:rPr>
        <w:fldChar w:fldCharType="begin" w:fldLock="1"/>
      </w:r>
      <w:r w:rsidR="00565E2A" w:rsidRPr="00610A40">
        <w:rPr>
          <w:color w:val="auto"/>
          <w:szCs w:val="24"/>
        </w:rPr>
        <w:instrText>ADDIN CSL_CITATION { "citationItems" : [ { "id" : "ITEM-1", "itemData" : { "DOI" : "10.1021/acsbiomaterials.5b00534", "ISSN" : "23739878", "author" : [ { "dropping-particle" : "", "family" : "Lith", "given" : "Robert", "non-dropping-particle" : "Van", "parse-names" : false, "suffix" : "" }, { "dropping-particle" : "", "family" : "Wang", "given" : "Xuesong", "non-dropping-particle" : "", "parse-names" : false, "suffix" : "" }, { "dropping-particle" : "", "family" : "Ameer", "given" : "Guillermo", "non-dropping-particle" : "", "parse-names" : false, "suffix" : "" } ], "container-title" : "ACS Biomaterials Science and Engineering", "id" : "ITEM-1", "issue" : "2", "issued" : { "date-parts" : [ [ "2016" ] ] }, "page" : "268-277", "title" : "Biodegradable Elastomers with Antioxidant and Retinoid-like Properties", "type" : "article-journal", "volume" : "2" }, "uris" : [ "http://www.mendeley.com/documents/?uuid=5f5a4b6e-bd11-43ad-8f6c-a95b974167d6", "http://www.mendeley.com/documents/?uuid=f69ed5f7-9813-41cc-bfd5-9c87b4d4a158" ] } ], "mendeley" : { "formattedCitation" : "&lt;sup&gt;186&lt;/sup&gt;", "plainTextFormattedCitation" : "186", "previouslyFormattedCitation" : "&lt;sup&gt;185&lt;/sup&gt;"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186</w:t>
      </w:r>
      <w:r w:rsidRPr="00610A40">
        <w:rPr>
          <w:color w:val="auto"/>
          <w:szCs w:val="24"/>
        </w:rPr>
        <w:fldChar w:fldCharType="end"/>
      </w:r>
      <w:r w:rsidRPr="00610A40">
        <w:rPr>
          <w:color w:val="auto"/>
          <w:szCs w:val="24"/>
        </w:rPr>
        <w:t xml:space="preserve">. </w:t>
      </w:r>
      <w:proofErr w:type="spellStart"/>
      <w:proofErr w:type="gramStart"/>
      <w:r w:rsidRPr="00610A40">
        <w:rPr>
          <w:color w:val="auto"/>
          <w:szCs w:val="24"/>
        </w:rPr>
        <w:t>atRA</w:t>
      </w:r>
      <w:proofErr w:type="spellEnd"/>
      <w:proofErr w:type="gramEnd"/>
      <w:r w:rsidRPr="00610A40">
        <w:rPr>
          <w:color w:val="auto"/>
          <w:szCs w:val="24"/>
        </w:rPr>
        <w:t xml:space="preserve"> was chosen for its ability to inhibit vascular smooth muscle cell (VSMC) proliferation, promote VSMC apoptosis, endothelial cell proliferation and nitric oxide production. </w:t>
      </w:r>
      <w:proofErr w:type="spellStart"/>
      <w:proofErr w:type="gramStart"/>
      <w:r w:rsidRPr="00610A40">
        <w:rPr>
          <w:color w:val="auto"/>
          <w:szCs w:val="24"/>
        </w:rPr>
        <w:t>atRA</w:t>
      </w:r>
      <w:proofErr w:type="spellEnd"/>
      <w:proofErr w:type="gramEnd"/>
      <w:r w:rsidRPr="00610A40">
        <w:rPr>
          <w:color w:val="auto"/>
          <w:szCs w:val="24"/>
        </w:rPr>
        <w:t xml:space="preserve"> systemic or localized delivery had also show</w:t>
      </w:r>
      <w:r w:rsidR="00E27AC3" w:rsidRPr="00610A40">
        <w:rPr>
          <w:color w:val="auto"/>
          <w:szCs w:val="24"/>
        </w:rPr>
        <w:t>n</w:t>
      </w:r>
      <w:r w:rsidRPr="00610A40">
        <w:rPr>
          <w:color w:val="auto"/>
          <w:szCs w:val="24"/>
        </w:rPr>
        <w:t xml:space="preserve"> promising results in inhibiting intimal hyperplasia in animals. </w:t>
      </w:r>
      <w:r w:rsidR="006F1C2D" w:rsidRPr="00610A40">
        <w:rPr>
          <w:color w:val="auto"/>
          <w:szCs w:val="24"/>
        </w:rPr>
        <w:t>However,</w:t>
      </w:r>
      <w:r w:rsidRPr="00610A40">
        <w:rPr>
          <w:color w:val="auto"/>
          <w:szCs w:val="24"/>
        </w:rPr>
        <w:t xml:space="preserve"> the doses required to inhibit intimal hyperplasia are approximately 30 times higher than what is currently utilized to treat cancers in patients. Therefore, some form of local exposure of vascular cells to </w:t>
      </w:r>
      <w:proofErr w:type="spellStart"/>
      <w:r w:rsidRPr="00610A40">
        <w:rPr>
          <w:color w:val="auto"/>
          <w:szCs w:val="24"/>
        </w:rPr>
        <w:t>atRA</w:t>
      </w:r>
      <w:proofErr w:type="spellEnd"/>
      <w:r w:rsidRPr="00610A40">
        <w:rPr>
          <w:color w:val="auto"/>
          <w:szCs w:val="24"/>
        </w:rPr>
        <w:t xml:space="preserve"> is needed. Pol</w:t>
      </w:r>
      <w:r w:rsidR="004F5150" w:rsidRPr="00610A40">
        <w:rPr>
          <w:color w:val="auto"/>
          <w:szCs w:val="24"/>
        </w:rPr>
        <w:t>y(1,8-octamethylene-citrate-co-</w:t>
      </w:r>
      <w:r w:rsidRPr="00610A40">
        <w:rPr>
          <w:color w:val="auto"/>
          <w:szCs w:val="24"/>
        </w:rPr>
        <w:t xml:space="preserve">retinate) (POCR) was synthesized by first synthesizing POC pre-polymer as previously described before adding </w:t>
      </w:r>
      <w:proofErr w:type="spellStart"/>
      <w:r w:rsidRPr="00610A40">
        <w:rPr>
          <w:color w:val="auto"/>
          <w:szCs w:val="24"/>
        </w:rPr>
        <w:t>atRA</w:t>
      </w:r>
      <w:proofErr w:type="spellEnd"/>
      <w:r w:rsidRPr="00610A40">
        <w:rPr>
          <w:color w:val="auto"/>
          <w:szCs w:val="24"/>
        </w:rPr>
        <w:t xml:space="preserve"> to solutions of POC in ethanol</w:t>
      </w:r>
      <w:r w:rsidR="00BB66F6" w:rsidRPr="00610A40">
        <w:rPr>
          <w:color w:val="auto"/>
          <w:szCs w:val="24"/>
        </w:rPr>
        <w:fldChar w:fldCharType="begin" w:fldLock="1"/>
      </w:r>
      <w:r w:rsidR="00565E2A" w:rsidRPr="00610A40">
        <w:rPr>
          <w:color w:val="auto"/>
          <w:szCs w:val="24"/>
        </w:rPr>
        <w:instrText>ADDIN CSL_CITATION { "citationItems" : [ { "id" : "ITEM-1", "itemData" : { "DOI" : "10.1021/acsbiomaterials.5b00534", "ISSN" : "23739878", "author" : [ { "dropping-particle" : "", "family" : "Lith", "given" : "Robert", "non-dropping-particle" : "Van", "parse-names" : false, "suffix" : "" }, { "dropping-particle" : "", "family" : "Wang", "given" : "Xuesong", "non-dropping-particle" : "", "parse-names" : false, "suffix" : "" }, { "dropping-particle" : "", "family" : "Ameer", "given" : "Guillermo", "non-dropping-particle" : "", "parse-names" : false, "suffix" : "" } ], "container-title" : "ACS Biomaterials Science and Engineering", "id" : "ITEM-1", "issue" : "2", "issued" : { "date-parts" : [ [ "2016" ] ] }, "page" : "268-277", "title" : "Biodegradable Elastomers with Antioxidant and Retinoid-like Properties", "type" : "article-journal", "volume" : "2" }, "uris" : [ "http://www.mendeley.com/documents/?uuid=f69ed5f7-9813-41cc-bfd5-9c87b4d4a158", "http://www.mendeley.com/documents/?uuid=5f5a4b6e-bd11-43ad-8f6c-a95b974167d6" ] } ], "mendeley" : { "formattedCitation" : "&lt;sup&gt;186&lt;/sup&gt;", "plainTextFormattedCitation" : "186", "previouslyFormattedCitation" : "&lt;sup&gt;185&lt;/sup&gt;" }, "properties" : { "noteIndex" : 0 }, "schema" : "https://github.com/citation-style-language/schema/raw/master/csl-citation.json" }</w:instrText>
      </w:r>
      <w:r w:rsidR="00BB66F6" w:rsidRPr="00610A40">
        <w:rPr>
          <w:color w:val="auto"/>
          <w:szCs w:val="24"/>
        </w:rPr>
        <w:fldChar w:fldCharType="separate"/>
      </w:r>
      <w:r w:rsidR="00565E2A" w:rsidRPr="00610A40">
        <w:rPr>
          <w:noProof/>
          <w:color w:val="auto"/>
          <w:szCs w:val="24"/>
          <w:vertAlign w:val="superscript"/>
        </w:rPr>
        <w:t>186</w:t>
      </w:r>
      <w:r w:rsidR="00BB66F6" w:rsidRPr="00610A40">
        <w:rPr>
          <w:color w:val="auto"/>
          <w:szCs w:val="24"/>
        </w:rPr>
        <w:fldChar w:fldCharType="end"/>
      </w:r>
      <w:r w:rsidRPr="00610A40">
        <w:rPr>
          <w:color w:val="auto"/>
          <w:szCs w:val="24"/>
        </w:rPr>
        <w:t>. The POCR was then post</w:t>
      </w:r>
      <w:r w:rsidR="006F1C2D" w:rsidRPr="00610A40">
        <w:rPr>
          <w:color w:val="auto"/>
          <w:szCs w:val="24"/>
        </w:rPr>
        <w:t>-</w:t>
      </w:r>
      <w:r w:rsidRPr="00610A40">
        <w:rPr>
          <w:color w:val="auto"/>
          <w:szCs w:val="24"/>
        </w:rPr>
        <w:t xml:space="preserve">polymerized at either 37 ˚C or 60 °C for 5 or 20 days. Two variations of POCR were created: POCR-4 which </w:t>
      </w:r>
      <w:r w:rsidR="00BB66F6" w:rsidRPr="00610A40">
        <w:rPr>
          <w:color w:val="auto"/>
          <w:szCs w:val="24"/>
        </w:rPr>
        <w:t>was loaded with</w:t>
      </w:r>
      <w:r w:rsidRPr="00610A40">
        <w:rPr>
          <w:color w:val="auto"/>
          <w:szCs w:val="24"/>
        </w:rPr>
        <w:t xml:space="preserve"> 0.115 mg/mL </w:t>
      </w:r>
      <w:r w:rsidR="00BB66F6" w:rsidRPr="00610A40">
        <w:rPr>
          <w:color w:val="auto"/>
          <w:szCs w:val="24"/>
        </w:rPr>
        <w:t xml:space="preserve">of </w:t>
      </w:r>
      <w:proofErr w:type="spellStart"/>
      <w:r w:rsidRPr="00610A40">
        <w:rPr>
          <w:color w:val="auto"/>
          <w:szCs w:val="24"/>
        </w:rPr>
        <w:t>atRA</w:t>
      </w:r>
      <w:proofErr w:type="spellEnd"/>
      <w:r w:rsidRPr="00610A40">
        <w:rPr>
          <w:color w:val="auto"/>
          <w:szCs w:val="24"/>
        </w:rPr>
        <w:t xml:space="preserve"> and POCR-16 which </w:t>
      </w:r>
      <w:r w:rsidR="00BB66F6" w:rsidRPr="00610A40">
        <w:rPr>
          <w:color w:val="auto"/>
          <w:szCs w:val="24"/>
        </w:rPr>
        <w:t>was loaded with</w:t>
      </w:r>
      <w:r w:rsidRPr="00610A40">
        <w:rPr>
          <w:color w:val="auto"/>
          <w:szCs w:val="24"/>
        </w:rPr>
        <w:t xml:space="preserve"> 0.460 mg/mL </w:t>
      </w:r>
      <w:r w:rsidR="00BB66F6" w:rsidRPr="00610A40">
        <w:rPr>
          <w:color w:val="auto"/>
          <w:szCs w:val="24"/>
        </w:rPr>
        <w:t xml:space="preserve">of </w:t>
      </w:r>
      <w:proofErr w:type="spellStart"/>
      <w:r w:rsidR="00BB66F6" w:rsidRPr="00610A40">
        <w:rPr>
          <w:color w:val="auto"/>
          <w:szCs w:val="24"/>
        </w:rPr>
        <w:t>atRA</w:t>
      </w:r>
      <w:proofErr w:type="spellEnd"/>
      <w:r w:rsidRPr="00610A40">
        <w:rPr>
          <w:color w:val="auto"/>
          <w:szCs w:val="24"/>
        </w:rPr>
        <w:t xml:space="preserve">. Both exhibited oxygen scavenging capability with POCR-16 scavenging faster than POCR-4. The incorporation of </w:t>
      </w:r>
      <w:proofErr w:type="spellStart"/>
      <w:r w:rsidRPr="00610A40">
        <w:rPr>
          <w:color w:val="auto"/>
          <w:szCs w:val="24"/>
        </w:rPr>
        <w:t>atRA</w:t>
      </w:r>
      <w:proofErr w:type="spellEnd"/>
      <w:r w:rsidRPr="00610A40">
        <w:rPr>
          <w:color w:val="auto"/>
          <w:szCs w:val="24"/>
        </w:rPr>
        <w:t xml:space="preserve"> also did not affect the ability of citric acid in the polymer backbone to chelate metal ions. Lipid </w:t>
      </w:r>
      <w:r w:rsidRPr="00610A40">
        <w:rPr>
          <w:color w:val="auto"/>
          <w:szCs w:val="24"/>
        </w:rPr>
        <w:lastRenderedPageBreak/>
        <w:t xml:space="preserve">peroxidation of POCR also showed a dose response with POCR-16 preventing lipid peroxidation significantly more than that of POC or POCR-4 in β-carotene bleaching assay. Both oxygen scavenging ability and lipid peroxidation inhibition was retained after coating POCR onto </w:t>
      </w:r>
      <w:proofErr w:type="spellStart"/>
      <w:r w:rsidRPr="00610A40">
        <w:rPr>
          <w:color w:val="auto"/>
          <w:szCs w:val="24"/>
        </w:rPr>
        <w:t>ePTFE</w:t>
      </w:r>
      <w:proofErr w:type="spellEnd"/>
      <w:r w:rsidRPr="00610A40">
        <w:rPr>
          <w:color w:val="auto"/>
          <w:szCs w:val="24"/>
        </w:rPr>
        <w:t xml:space="preserve"> graft surface. A scratch test to evaluate the ability of POCR at inhibiting HASMC and HUVEC migration was performed. The results showed that POCR was able to significantly inhibit HASMC migration but ha</w:t>
      </w:r>
      <w:r w:rsidR="00BB66F6" w:rsidRPr="00610A40">
        <w:rPr>
          <w:color w:val="auto"/>
          <w:szCs w:val="24"/>
        </w:rPr>
        <w:t>d</w:t>
      </w:r>
      <w:r w:rsidRPr="00610A40">
        <w:rPr>
          <w:color w:val="auto"/>
          <w:szCs w:val="24"/>
        </w:rPr>
        <w:t xml:space="preserve"> no differential effect on HUVECs. POCR also demonstrated its ability to inhibit HASMC and HUVEC proliferation after in vitro culturing for 5 days. With the enhanced inhibition of HASMC migration and antioxidant properties, and its ability to be easily coated on an </w:t>
      </w:r>
      <w:proofErr w:type="spellStart"/>
      <w:r w:rsidRPr="00610A40">
        <w:rPr>
          <w:color w:val="auto"/>
          <w:szCs w:val="24"/>
        </w:rPr>
        <w:t>ePTFE</w:t>
      </w:r>
      <w:proofErr w:type="spellEnd"/>
      <w:r w:rsidRPr="00610A40">
        <w:rPr>
          <w:color w:val="auto"/>
          <w:szCs w:val="24"/>
        </w:rPr>
        <w:t xml:space="preserve"> surface via infusion coating method, POCR had been proven to be another promising material in vascular tissue graft aimed at reducing intimal hyperplasia of </w:t>
      </w:r>
      <w:r w:rsidR="004F5150" w:rsidRPr="00610A40">
        <w:rPr>
          <w:color w:val="auto"/>
          <w:szCs w:val="24"/>
        </w:rPr>
        <w:t xml:space="preserve">grafted vessels over time. </w:t>
      </w:r>
      <w:r w:rsidRPr="00610A40">
        <w:rPr>
          <w:color w:val="auto"/>
          <w:szCs w:val="24"/>
        </w:rPr>
        <w:t>These two paper</w:t>
      </w:r>
      <w:r w:rsidR="00F516C5" w:rsidRPr="00610A40">
        <w:rPr>
          <w:color w:val="auto"/>
          <w:szCs w:val="24"/>
        </w:rPr>
        <w:t>s</w:t>
      </w:r>
      <w:r w:rsidRPr="00610A40">
        <w:rPr>
          <w:color w:val="auto"/>
          <w:szCs w:val="24"/>
        </w:rPr>
        <w:t xml:space="preserve"> illustrated an interesting approach to the development of polymers for biomedical applications. Instead of having polymers to encapsulate</w:t>
      </w:r>
      <w:r w:rsidR="00F516C5" w:rsidRPr="00610A40">
        <w:rPr>
          <w:color w:val="auto"/>
          <w:szCs w:val="24"/>
        </w:rPr>
        <w:t xml:space="preserve"> or blending</w:t>
      </w:r>
      <w:r w:rsidRPr="00610A40">
        <w:rPr>
          <w:color w:val="auto"/>
          <w:szCs w:val="24"/>
        </w:rPr>
        <w:t xml:space="preserve"> active ingredients for delivery, these two polymers </w:t>
      </w:r>
      <w:r w:rsidR="00F516C5" w:rsidRPr="00610A40">
        <w:rPr>
          <w:color w:val="auto"/>
          <w:szCs w:val="24"/>
        </w:rPr>
        <w:t xml:space="preserve">polymerized the </w:t>
      </w:r>
      <w:r w:rsidRPr="00610A40">
        <w:rPr>
          <w:color w:val="auto"/>
          <w:szCs w:val="24"/>
        </w:rPr>
        <w:t xml:space="preserve">active ingredients as monomers into the polymer and relied on the hydrolysis of ester bonds to release Vitamin A and C over time. This approach had proven to be effective as demonstrated in these two polyesters for vascular tissue engineering in retaining prolonged antioxidant and oxygen scavenging effects. </w:t>
      </w:r>
      <w:r w:rsidR="00004253" w:rsidRPr="00610A40">
        <w:rPr>
          <w:color w:val="auto"/>
          <w:szCs w:val="24"/>
        </w:rPr>
        <w:t>F</w:t>
      </w:r>
      <w:r w:rsidR="005F04A9" w:rsidRPr="00610A40">
        <w:rPr>
          <w:color w:val="auto"/>
          <w:szCs w:val="24"/>
        </w:rPr>
        <w:t>abrication techniques, such as the micro-continuous liquid interface production (</w:t>
      </w:r>
      <w:proofErr w:type="spellStart"/>
      <w:r w:rsidR="005F04A9" w:rsidRPr="00610A40">
        <w:rPr>
          <w:color w:val="auto"/>
          <w:szCs w:val="24"/>
        </w:rPr>
        <w:t>microCLIP</w:t>
      </w:r>
      <w:proofErr w:type="spellEnd"/>
      <w:r w:rsidR="005F04A9" w:rsidRPr="00610A40">
        <w:rPr>
          <w:color w:val="auto"/>
          <w:szCs w:val="24"/>
        </w:rPr>
        <w:t>) technique was further explored to enable rapid prototyping and even scaling up of these POC-based polyesters to achieve personalized vascular scaffolds</w:t>
      </w:r>
      <w:r w:rsidR="005F04A9" w:rsidRPr="00610A40">
        <w:rPr>
          <w:color w:val="auto"/>
          <w:szCs w:val="24"/>
        </w:rPr>
        <w:fldChar w:fldCharType="begin" w:fldLock="1"/>
      </w:r>
      <w:r w:rsidR="00565E2A" w:rsidRPr="00610A40">
        <w:rPr>
          <w:color w:val="auto"/>
          <w:szCs w:val="24"/>
        </w:rPr>
        <w:instrText>ADDIN CSL_CITATION { "citationItems" : [ { "id" : "ITEM-1", "itemData" : { "DOI" : "10.1002/admt.201600138", "ISSN" : "2365709X", "author" : [ { "dropping-particle" : "", "family" : "Lith", "given" : "Robert", "non-dropping-particle" : "van", "parse-names" : false, "suffix" : "" }, { "dropping-particle" : "", "family" : "Baker", "given" : "Evan", "non-dropping-particle" : "", "parse-names" : false, "suffix" : "" }, { "dropping-particle" : "", "family" : "Ware", "given" : "Henry", "non-dropping-particle" : "", "parse-names" : false, "suffix" : "" }, { "dropping-particle" : "", "family" : "Yang", "given" : "Jian", "non-dropping-particle" : "", "parse-names" : false, "suffix" : "" }, { "dropping-particle" : "", "family" : "Farsheed", "given" : "Adam Cyrus", "non-dropping-particle" : "", "parse-names" : false, "suffix" : "" }, { "dropping-particle" : "", "family" : "Sun", "given" : "Cheng", "non-dropping-particle" : "", "parse-names" : false, "suffix" : "" }, { "dropping-particle" : "", "family" : "Ameer", "given" : "Guillermo", "non-dropping-particle" : "", "parse-names" : false, "suffix" : "" } ], "container-title" : "Advanced Materials Technologies", "id" : "ITEM-1", "issue" : "9", "issued" : { "date-parts" : [ [ "2016", "12" ] ] }, "page" : "1600138", "title" : "3D-Printing Strong High-Resolution Antioxidant Bioresorbable Vascular Stents", "type" : "article-journal", "volume" : "1" }, "uris" : [ "http://www.mendeley.com/documents/?uuid=f0649de9-9d5e-3213-869a-cfcbb6e3cfe5", "http://www.mendeley.com/documents/?uuid=7417811d-f5d0-4df3-8f4a-d3e5bce19fe6" ] } ], "mendeley" : { "formattedCitation" : "&lt;sup&gt;187&lt;/sup&gt;", "plainTextFormattedCitation" : "187", "previouslyFormattedCitation" : "&lt;sup&gt;186&lt;/sup&gt;" }, "properties" : { "noteIndex" : 0 }, "schema" : "https://github.com/citation-style-language/schema/raw/master/csl-citation.json" }</w:instrText>
      </w:r>
      <w:r w:rsidR="005F04A9" w:rsidRPr="00610A40">
        <w:rPr>
          <w:color w:val="auto"/>
          <w:szCs w:val="24"/>
        </w:rPr>
        <w:fldChar w:fldCharType="separate"/>
      </w:r>
      <w:r w:rsidR="00565E2A" w:rsidRPr="00610A40">
        <w:rPr>
          <w:noProof/>
          <w:color w:val="auto"/>
          <w:szCs w:val="24"/>
          <w:vertAlign w:val="superscript"/>
        </w:rPr>
        <w:t>187</w:t>
      </w:r>
      <w:r w:rsidR="005F04A9" w:rsidRPr="00610A40">
        <w:rPr>
          <w:color w:val="auto"/>
          <w:szCs w:val="24"/>
        </w:rPr>
        <w:fldChar w:fldCharType="end"/>
      </w:r>
      <w:r w:rsidR="005F04A9" w:rsidRPr="00610A40">
        <w:rPr>
          <w:color w:val="auto"/>
          <w:szCs w:val="24"/>
        </w:rPr>
        <w:t xml:space="preserve">. </w:t>
      </w:r>
    </w:p>
    <w:p w14:paraId="64E4EBB4" w14:textId="77777777" w:rsidR="00972EB2" w:rsidRPr="00610A40" w:rsidRDefault="00972EB2" w:rsidP="00972EB2">
      <w:pPr>
        <w:rPr>
          <w:color w:val="auto"/>
          <w:szCs w:val="24"/>
        </w:rPr>
      </w:pPr>
    </w:p>
    <w:p w14:paraId="3D335539" w14:textId="5D2EA729" w:rsidR="00972EB2" w:rsidRPr="00610A40" w:rsidRDefault="00007C8A" w:rsidP="00972EB2">
      <w:pPr>
        <w:pStyle w:val="Heading2"/>
        <w:rPr>
          <w:sz w:val="24"/>
          <w:szCs w:val="24"/>
        </w:rPr>
      </w:pPr>
      <w:r w:rsidRPr="00610A40">
        <w:rPr>
          <w:sz w:val="24"/>
          <w:szCs w:val="24"/>
        </w:rPr>
        <w:t>6</w:t>
      </w:r>
      <w:r w:rsidR="001F12C7" w:rsidRPr="00610A40">
        <w:rPr>
          <w:sz w:val="24"/>
          <w:szCs w:val="24"/>
        </w:rPr>
        <w:t xml:space="preserve">.2 </w:t>
      </w:r>
      <w:r w:rsidR="00972EB2" w:rsidRPr="00610A40">
        <w:rPr>
          <w:sz w:val="24"/>
          <w:szCs w:val="24"/>
        </w:rPr>
        <w:t xml:space="preserve">Other polyesters for vascular tissue engineering </w:t>
      </w:r>
    </w:p>
    <w:p w14:paraId="349EEF43" w14:textId="63EA1046" w:rsidR="00972EB2" w:rsidRPr="00610A40" w:rsidRDefault="00972EB2" w:rsidP="00972EB2">
      <w:pPr>
        <w:rPr>
          <w:color w:val="auto"/>
          <w:szCs w:val="24"/>
        </w:rPr>
      </w:pPr>
      <w:r w:rsidRPr="00610A40">
        <w:rPr>
          <w:color w:val="auto"/>
          <w:szCs w:val="24"/>
        </w:rPr>
        <w:t>The most commonly used material for vascular tissue engineering involves copolymers of PCL, PLA and PGA which have already been approved by FDA for use in the human body. Poly-</w:t>
      </w:r>
      <w:r w:rsidRPr="00610A40">
        <w:rPr>
          <w:color w:val="auto"/>
          <w:szCs w:val="24"/>
        </w:rPr>
        <w:lastRenderedPageBreak/>
        <w:t>(</w:t>
      </w:r>
      <w:proofErr w:type="spellStart"/>
      <w:r w:rsidRPr="00610A40">
        <w:rPr>
          <w:color w:val="auto"/>
          <w:szCs w:val="24"/>
        </w:rPr>
        <w:t>glycolide</w:t>
      </w:r>
      <w:proofErr w:type="spellEnd"/>
      <w:r w:rsidRPr="00610A40">
        <w:rPr>
          <w:color w:val="auto"/>
          <w:szCs w:val="24"/>
        </w:rPr>
        <w:t>-co-</w:t>
      </w:r>
      <w:proofErr w:type="spellStart"/>
      <w:r w:rsidRPr="00610A40">
        <w:rPr>
          <w:color w:val="auto"/>
          <w:szCs w:val="24"/>
        </w:rPr>
        <w:t>caprolactone</w:t>
      </w:r>
      <w:proofErr w:type="spellEnd"/>
      <w:r w:rsidRPr="00610A40">
        <w:rPr>
          <w:color w:val="auto"/>
          <w:szCs w:val="24"/>
        </w:rPr>
        <w:t>) (PGCL) had shown promise in polyesters for soft tissue engineering. The copolymer of PGCL had proven to be able to withstand an extension of 250% without cracking and recover by more than 96% after being subjected to 230% extension</w:t>
      </w:r>
      <w:r w:rsidRPr="00610A40">
        <w:rPr>
          <w:color w:val="auto"/>
          <w:szCs w:val="24"/>
        </w:rPr>
        <w:fldChar w:fldCharType="begin" w:fldLock="1"/>
      </w:r>
      <w:r w:rsidR="00565E2A" w:rsidRPr="00610A40">
        <w:rPr>
          <w:color w:val="auto"/>
          <w:szCs w:val="24"/>
        </w:rPr>
        <w:instrText>ADDIN CSL_CITATION { "citationItems" : [ { "id" : "ITEM-1", "itemData" : { "DOI" : "Doi 10.1002/Jbm.A.10497", "ISBN" : "0021-9304", "ISSN" : "00219304", "PMID" : "12833428", "abstract" : "Cyclic mechanical strain has been demonstrated to enhance the development and function of engineered smooth muscle (SM) tissues, and it would be necessary for the development of the elastic scaffolds if one wishes to engineer SM tissues under cyclic mechanical loading. This study reports on the development of an elastic scaffold fabricated from a biodegradable polymer. Biodegradable poly(glycolide-co-caprolactone) (PGCL) copolymer was synthesized from glycolide and \u03b5-caprolactone in the presence of stannous octoate as catalyst. The copolymer was characterized by 1H-NMR, gel permeation chromatography and differential scanning calorimetry. Scaffolds for tissue engineering applications were fabricated from PGCL copolymer using the solvent-casting and particle-leaching technique. The PGCL scaffolds produced in this fashion had open pore structures (average pore size = 250 \u03bcm) without the usual nonporous skin layer on external surfaces. Mechanical testing revealed that PGCL scaffolds were far more elastic than poly(lactic-co-glycolic acid) (PLGA) scaffolds fabricated using the same method. Tensile mechanical tests indicated that PGCL scaffolds could withstand an extension of 250% without cracking, which was much higher than withstood by PLGA scaffolds (10-15%). In addition, PGCL scaffolds achieved recoveries exceeding 96% at applied extensions of up to 230%, whereas PLGA scaffolds failed (cracked) at an applied strain of 20%. Dynamic mechanical tests showed that the permanent deformation of the PGCL scaffolds in a dry condition produced was less than 4% of the applied strain, when an elongation of 20% at a frequency of 1 Hz (1 cycle per second) was applied for 6 days. Moreover, PGCL scaffolds in a buffer solution also had permanent deformations less than 5% of the applied strain when an elongation of 10% at a frequency of 1 Hz was applied for 2 days. The usefulness of the PGCL scaffolds was demonstrated by engineering SM tissues in vivo. This study shows that the elastic PGCL scaffolds produced in this study could be used to engineer SM-containing tissues (e.g. blood vessels and bladders) in mechanically dynamic environments. \u00a9 2003 Wiley Periodicals, Inc.", "author" : [ { "dropping-particle" : "", "family" : "Lee", "given" : "Soo Hong", "non-dropping-particle" : "", "parse-names" : false, "suffix" : "" }, { "dropping-particle" : "", "family" : "Kim", "given" : "Byung Soo", "non-dropping-particle" : "", "parse-names" : false, "suffix" : "" }, { "dropping-particle" : "", "family" : "Kim", "given" : "Soo Hyun", "non-dropping-particle" : "", "parse-names" : false, "suffix" : "" }, { "dropping-particle" : "", "family" : "Choi", "given" : "Sung Won", "non-dropping-particle" : "", "parse-names" : false, "suffix" : "" }, { "dropping-particle" : "", "family" : "Jeong", "given" : "Sung In", "non-dropping-particle" : "", "parse-names" : false, "suffix" : "" }, { "dropping-particle" : "", "family" : "Kwon", "given" : "Il Keun", "non-dropping-particle" : "", "parse-names" : false, "suffix" : "" }, { "dropping-particle" : "", "family" : "Kang", "given" : "Sun Woong", "non-dropping-particle" : "", "parse-names" : false, "suffix" : "" }, { "dropping-particle" : "", "family" : "Nikolovski", "given" : "Janeta", "non-dropping-particle" : "", "parse-names" : false, "suffix" : "" }, { "dropping-particle" : "", "family" : "Mooney", "given" : "David J", "non-dropping-particle" : "", "parse-names" : false, "suffix" : "" }, { "dropping-particle" : "", "family" : "Han", "given" : "Yang Kyoo", "non-dropping-particle" : "", "parse-names" : false, "suffix" : "" }, { "dropping-particle" : "", "family" : "Kim", "given" : "Young Ha", "non-dropping-particle" : "", "parse-names" : false, "suffix" : "" } ], "container-title" : "Journal of Biomedical Materials Research - Part A", "id" : "ITEM-1", "issue" : "1", "issued" : { "date-parts" : [ [ "2003" ] ] }, "page" : "29-37", "title" : "Elastic biodegradable poly(glycolide-co-caprolactone) scaffold for tissue engineering", "type" : "article-journal", "volume" : "66" }, "uris" : [ "http://www.mendeley.com/documents/?uuid=3bf004cd-982a-4e35-915d-eb968854c56c" ] } ], "mendeley" : { "formattedCitation" : "&lt;sup&gt;22&lt;/sup&gt;", "plainTextFormattedCitation" : "22", "previouslyFormattedCitation" : "&lt;sup&gt;22&lt;/sup&gt;"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22</w:t>
      </w:r>
      <w:r w:rsidRPr="00610A40">
        <w:rPr>
          <w:color w:val="auto"/>
          <w:szCs w:val="24"/>
        </w:rPr>
        <w:fldChar w:fldCharType="end"/>
      </w:r>
      <w:r w:rsidRPr="00610A40">
        <w:rPr>
          <w:color w:val="auto"/>
          <w:szCs w:val="24"/>
        </w:rPr>
        <w:t xml:space="preserve">. This PGCL scaffold demonstrated permanent deformations </w:t>
      </w:r>
      <w:r w:rsidR="00F428D4" w:rsidRPr="00610A40">
        <w:rPr>
          <w:color w:val="auto"/>
          <w:szCs w:val="24"/>
        </w:rPr>
        <w:t xml:space="preserve">of </w:t>
      </w:r>
      <w:r w:rsidRPr="00610A40">
        <w:rPr>
          <w:color w:val="auto"/>
          <w:szCs w:val="24"/>
        </w:rPr>
        <w:t>less than 5% of the applied strain when an elongation of 10% at a frequency of 1 Hz was applied for 2 days in a buffer solution. Smooth muscle cells isolated from rat aorta were seeded onto the PGCL scaffold and demonstrated its ability to adhere and proliferate. This seeded scaffold was subsequently implanted into nude mice and showed that it allowed appropriate tissue growth in vivo</w:t>
      </w:r>
      <w:r w:rsidRPr="00610A40">
        <w:rPr>
          <w:color w:val="auto"/>
          <w:szCs w:val="24"/>
        </w:rPr>
        <w:fldChar w:fldCharType="begin" w:fldLock="1"/>
      </w:r>
      <w:r w:rsidR="00565E2A" w:rsidRPr="00610A40">
        <w:rPr>
          <w:color w:val="auto"/>
          <w:szCs w:val="24"/>
        </w:rPr>
        <w:instrText>ADDIN CSL_CITATION { "citationItems" : [ { "id" : "ITEM-1", "itemData" : { "DOI" : "Doi 10.1002/Jbm.A.10497", "ISBN" : "0021-9304", "ISSN" : "00219304", "PMID" : "12833428", "abstract" : "Cyclic mechanical strain has been demonstrated to enhance the development and function of engineered smooth muscle (SM) tissues, and it would be necessary for the development of the elastic scaffolds if one wishes to engineer SM tissues under cyclic mechanical loading. This study reports on the development of an elastic scaffold fabricated from a biodegradable polymer. Biodegradable poly(glycolide-co-caprolactone) (PGCL) copolymer was synthesized from glycolide and \u03b5-caprolactone in the presence of stannous octoate as catalyst. The copolymer was characterized by 1H-NMR, gel permeation chromatography and differential scanning calorimetry. Scaffolds for tissue engineering applications were fabricated from PGCL copolymer using the solvent-casting and particle-leaching technique. The PGCL scaffolds produced in this fashion had open pore structures (average pore size = 250 \u03bcm) without the usual nonporous skin layer on external surfaces. Mechanical testing revealed that PGCL scaffolds were far more elastic than poly(lactic-co-glycolic acid) (PLGA) scaffolds fabricated using the same method. Tensile mechanical tests indicated that PGCL scaffolds could withstand an extension of 250% without cracking, which was much higher than withstood by PLGA scaffolds (10-15%). In addition, PGCL scaffolds achieved recoveries exceeding 96% at applied extensions of up to 230%, whereas PLGA scaffolds failed (cracked) at an applied strain of 20%. Dynamic mechanical tests showed that the permanent deformation of the PGCL scaffolds in a dry condition produced was less than 4% of the applied strain, when an elongation of 20% at a frequency of 1 Hz (1 cycle per second) was applied for 6 days. Moreover, PGCL scaffolds in a buffer solution also had permanent deformations less than 5% of the applied strain when an elongation of 10% at a frequency of 1 Hz was applied for 2 days. The usefulness of the PGCL scaffolds was demonstrated by engineering SM tissues in vivo. This study shows that the elastic PGCL scaffolds produced in this study could be used to engineer SM-containing tissues (e.g. blood vessels and bladders) in mechanically dynamic environments. \u00a9 2003 Wiley Periodicals, Inc.", "author" : [ { "dropping-particle" : "", "family" : "Lee", "given" : "Soo Hong", "non-dropping-particle" : "", "parse-names" : false, "suffix" : "" }, { "dropping-particle" : "", "family" : "Kim", "given" : "Byung Soo", "non-dropping-particle" : "", "parse-names" : false, "suffix" : "" }, { "dropping-particle" : "", "family" : "Kim", "given" : "Soo Hyun", "non-dropping-particle" : "", "parse-names" : false, "suffix" : "" }, { "dropping-particle" : "", "family" : "Choi", "given" : "Sung Won", "non-dropping-particle" : "", "parse-names" : false, "suffix" : "" }, { "dropping-particle" : "", "family" : "Jeong", "given" : "Sung In", "non-dropping-particle" : "", "parse-names" : false, "suffix" : "" }, { "dropping-particle" : "", "family" : "Kwon", "given" : "Il Keun", "non-dropping-particle" : "", "parse-names" : false, "suffix" : "" }, { "dropping-particle" : "", "family" : "Kang", "given" : "Sun Woong", "non-dropping-particle" : "", "parse-names" : false, "suffix" : "" }, { "dropping-particle" : "", "family" : "Nikolovski", "given" : "Janeta", "non-dropping-particle" : "", "parse-names" : false, "suffix" : "" }, { "dropping-particle" : "", "family" : "Mooney", "given" : "David J", "non-dropping-particle" : "", "parse-names" : false, "suffix" : "" }, { "dropping-particle" : "", "family" : "Han", "given" : "Yang Kyoo", "non-dropping-particle" : "", "parse-names" : false, "suffix" : "" }, { "dropping-particle" : "", "family" : "Kim", "given" : "Young Ha", "non-dropping-particle" : "", "parse-names" : false, "suffix" : "" } ], "container-title" : "Journal of Biomedical Materials Research - Part A", "id" : "ITEM-1", "issue" : "1", "issued" : { "date-parts" : [ [ "2003" ] ] }, "page" : "29-37", "title" : "Elastic biodegradable poly(glycolide-co-caprolactone) scaffold for tissue engineering", "type" : "article-journal", "volume" : "66" }, "uris" : [ "http://www.mendeley.com/documents/?uuid=3bf004cd-982a-4e35-915d-eb968854c56c" ] } ], "mendeley" : { "formattedCitation" : "&lt;sup&gt;22&lt;/sup&gt;", "plainTextFormattedCitation" : "22", "previouslyFormattedCitation" : "&lt;sup&gt;22&lt;/sup&gt;" }, "properties" : { "noteIndex" : 0 }, "schema" : "https://github.com/citation-style-language/schema/raw/master/csl-citation.json" }</w:instrText>
      </w:r>
      <w:r w:rsidRPr="00610A40">
        <w:rPr>
          <w:color w:val="auto"/>
          <w:szCs w:val="24"/>
        </w:rPr>
        <w:fldChar w:fldCharType="separate"/>
      </w:r>
      <w:r w:rsidR="005F04A9" w:rsidRPr="00610A40">
        <w:rPr>
          <w:noProof/>
          <w:color w:val="auto"/>
          <w:szCs w:val="24"/>
          <w:vertAlign w:val="superscript"/>
        </w:rPr>
        <w:t>22</w:t>
      </w:r>
      <w:r w:rsidRPr="00610A40">
        <w:rPr>
          <w:color w:val="auto"/>
          <w:szCs w:val="24"/>
        </w:rPr>
        <w:fldChar w:fldCharType="end"/>
      </w:r>
      <w:r w:rsidR="004F5150" w:rsidRPr="00610A40">
        <w:rPr>
          <w:color w:val="auto"/>
          <w:szCs w:val="24"/>
        </w:rPr>
        <w:t xml:space="preserve">. </w:t>
      </w:r>
      <w:bookmarkStart w:id="17" w:name="here"/>
      <w:bookmarkEnd w:id="17"/>
    </w:p>
    <w:p w14:paraId="1857F4A4" w14:textId="77777777" w:rsidR="00735588" w:rsidRPr="00610A40" w:rsidRDefault="00735588" w:rsidP="00972EB2">
      <w:pPr>
        <w:rPr>
          <w:color w:val="auto"/>
          <w:szCs w:val="24"/>
        </w:rPr>
      </w:pPr>
    </w:p>
    <w:p w14:paraId="0D190410" w14:textId="756286F8" w:rsidR="00972EB2" w:rsidRPr="00610A40" w:rsidRDefault="00972EB2" w:rsidP="00972EB2">
      <w:pPr>
        <w:rPr>
          <w:color w:val="auto"/>
          <w:szCs w:val="24"/>
        </w:rPr>
      </w:pPr>
      <w:r w:rsidRPr="00610A40">
        <w:rPr>
          <w:color w:val="auto"/>
          <w:szCs w:val="24"/>
        </w:rPr>
        <w:t>Some reports explored the use of some non-FDA approved materials for use as vascular tissue engineering scaffolds. One such example is poly(</w:t>
      </w:r>
      <w:proofErr w:type="spellStart"/>
      <w:r w:rsidRPr="00610A40">
        <w:rPr>
          <w:color w:val="auto"/>
          <w:szCs w:val="24"/>
        </w:rPr>
        <w:t>trimethylene</w:t>
      </w:r>
      <w:proofErr w:type="spellEnd"/>
      <w:r w:rsidRPr="00610A40">
        <w:rPr>
          <w:color w:val="auto"/>
          <w:szCs w:val="24"/>
        </w:rPr>
        <w:t xml:space="preserve"> carbonate) (PTMC)</w:t>
      </w:r>
      <w:r w:rsidRPr="00610A40">
        <w:rPr>
          <w:color w:val="auto"/>
          <w:szCs w:val="24"/>
        </w:rPr>
        <w:fldChar w:fldCharType="begin" w:fldLock="1"/>
      </w:r>
      <w:r w:rsidR="00565E2A" w:rsidRPr="00610A40">
        <w:rPr>
          <w:color w:val="auto"/>
          <w:szCs w:val="24"/>
        </w:rPr>
        <w:instrText>ADDIN CSL_CITATION { "citationItems" : [ { "id" : "ITEM-1", "itemData" : { "DOI" : "http://dx.doi.org/10.1016/j.actbio.2009.10.002", "ISSN" : "1742-7061", "abstract" : "Biocompatible and elastic porous tubular structures based on poly(1,3-trimethylene carbonate), PTMC, were developed as scaffolds for tissue engineering of small-diameter blood vessels. High-molecular-weight PTMC (Mn = 4.37 \u00d7 105) was cross-linked by gamma-irradiation in an inert nitrogen atmosphere. The resulting networks (50\u201370% gel content) were elastic and creep resistant. The PTMC materials were highly biocompatible as determined by cell adhesion and proliferation studies using various relevant cell types (human umbilical vein endothelial cells (HUVECs), smooth muscle cells (SMCs) and mesenchymal stem cells (MSCs)). Dimensionally stable tubular scaffolds with an interconnected pore network were prepared by particulate leaching. Different cross-linked porous PTMC specimens with average pore sizes ranging between 55 and 116 \u03bcm, and porosities ranging from 59% to 83% were prepared. These scaffolds were highly compliant and flexible, with high elongations at break. Furthermore, their resistance to creep was excellent and under cyclic loading conditions (20 deformation cycles to 30% elongation) no permanent deformation occurred. Seeding of SMCs into the wall of the tubular structures was done by carefully perfusing cell suspensions with syringes from the lumen through the wall. The cells were then cultured for 7 days. Upon proliferation of the SMCs, the formed blood vessel constructs had excellent mechanical properties. Their radial tensile strengths had increased from 0.23 to 0.78 MPa, which is close to those of natural blood vessels.", "author" : [ { "dropping-particle" : "", "family" : "Song", "given" : "Y", "non-dropping-particle" : "", "parse-names" : false, "suffix" : "" }, { "dropping-particle" : "", "family" : "Kamphuis", "given" : "M M J", "non-dropping-particle" : "", "parse-names" : false, "suffix" : "" }, { "dropping-particle" : "", "family" : "Zhang", "given" : "Z", "non-dropping-particle" : "", "parse-names" : false, "suffix" : "" }, { "dropping-particle" : "", "family" : "Sterk", "given" : "L.M.Th.", "non-dropping-particle" : "", "parse-names" : false, "suffix" : "" }, { "dropping-particle" : "", "family" : "Vermes", "given" : "I", "non-dropping-particle" : "", "parse-names" : false, "suffix" : "" }, { "dropping-particle" : "", "family" : "Poot", "given" : "A A", "non-dropping-particle" : "", "parse-names" : false, "suffix" : "" }, { "dropping-particle" : "", "family" : "Feijen", "given" : "J", "non-dropping-particle" : "", "parse-names" : false, "suffix" : "" }, { "dropping-particle" : "", "family" : "Grijpma", "given" : "D W", "non-dropping-particle" : "", "parse-names" : false, "suffix" : "" } ], "container-title" : "Acta Biomaterialia", "id" : "ITEM-1", "issue" : "4", "issued" : { "date-parts" : [ [ "2010", "4" ] ] }, "page" : "1269-1277", "title" : "Flexible and elastic porous poly(trimethylene carbonate) structures for use in vascular tissue engineering", "type" : "article-journal", "volume" : "6" }, "uris" : [ "http://www.mendeley.com/documents/?uuid=75572975-3af2-40c4-b8f4-3be16a175f22" ] } ], "mendeley" : { "formattedCitation" : "&lt;sup&gt;70&lt;/sup&gt;", "plainTextFormattedCitation" : "70", "previouslyFormattedCitation" : "&lt;sup&gt;69&lt;/sup&gt;"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70</w:t>
      </w:r>
      <w:r w:rsidRPr="00610A40">
        <w:rPr>
          <w:color w:val="auto"/>
          <w:szCs w:val="24"/>
        </w:rPr>
        <w:fldChar w:fldCharType="end"/>
      </w:r>
      <w:r w:rsidRPr="00610A40">
        <w:rPr>
          <w:color w:val="auto"/>
          <w:szCs w:val="24"/>
        </w:rPr>
        <w:t>. PTMC of a molecular weight (</w:t>
      </w:r>
      <w:proofErr w:type="spellStart"/>
      <w:r w:rsidRPr="00610A40">
        <w:rPr>
          <w:color w:val="auto"/>
          <w:szCs w:val="24"/>
        </w:rPr>
        <w:t>M</w:t>
      </w:r>
      <w:r w:rsidRPr="00610A40">
        <w:rPr>
          <w:color w:val="auto"/>
          <w:szCs w:val="24"/>
          <w:vertAlign w:val="subscript"/>
        </w:rPr>
        <w:t>n</w:t>
      </w:r>
      <w:proofErr w:type="spellEnd"/>
      <w:r w:rsidRPr="00610A40">
        <w:rPr>
          <w:color w:val="auto"/>
          <w:szCs w:val="24"/>
        </w:rPr>
        <w:t xml:space="preserve">) of 437 </w:t>
      </w:r>
      <w:proofErr w:type="spellStart"/>
      <w:r w:rsidRPr="00610A40">
        <w:rPr>
          <w:color w:val="auto"/>
          <w:szCs w:val="24"/>
        </w:rPr>
        <w:t>kDa</w:t>
      </w:r>
      <w:proofErr w:type="spellEnd"/>
      <w:r w:rsidRPr="00610A40">
        <w:rPr>
          <w:color w:val="auto"/>
          <w:szCs w:val="24"/>
        </w:rPr>
        <w:t xml:space="preserve"> was </w:t>
      </w:r>
      <w:proofErr w:type="spellStart"/>
      <w:r w:rsidRPr="00610A40">
        <w:rPr>
          <w:color w:val="auto"/>
          <w:szCs w:val="24"/>
        </w:rPr>
        <w:t>crosslinked</w:t>
      </w:r>
      <w:proofErr w:type="spellEnd"/>
      <w:r w:rsidRPr="00610A40">
        <w:rPr>
          <w:color w:val="auto"/>
          <w:szCs w:val="24"/>
        </w:rPr>
        <w:t xml:space="preserve"> by gamma radiation under nitrogen. Using the particulate leaching method, interconnecting pores of 55 </w:t>
      </w:r>
      <w:r w:rsidRPr="00610A40">
        <w:rPr>
          <w:rFonts w:ascii="Calibri" w:hAnsi="Calibri"/>
          <w:color w:val="auto"/>
          <w:szCs w:val="24"/>
        </w:rPr>
        <w:t>µ</w:t>
      </w:r>
      <w:r w:rsidRPr="00610A40">
        <w:rPr>
          <w:color w:val="auto"/>
          <w:szCs w:val="24"/>
        </w:rPr>
        <w:t xml:space="preserve">m to 116 </w:t>
      </w:r>
      <w:r w:rsidRPr="00610A40">
        <w:rPr>
          <w:rFonts w:ascii="Calibri" w:hAnsi="Calibri"/>
          <w:color w:val="auto"/>
          <w:szCs w:val="24"/>
        </w:rPr>
        <w:t>µ</w:t>
      </w:r>
      <w:r w:rsidRPr="00610A40">
        <w:rPr>
          <w:color w:val="auto"/>
          <w:szCs w:val="24"/>
        </w:rPr>
        <w:t xml:space="preserve">m were created with </w:t>
      </w:r>
      <w:proofErr w:type="gramStart"/>
      <w:r w:rsidRPr="00610A40">
        <w:rPr>
          <w:color w:val="auto"/>
          <w:szCs w:val="24"/>
        </w:rPr>
        <w:t>a porosity</w:t>
      </w:r>
      <w:proofErr w:type="gramEnd"/>
      <w:r w:rsidRPr="00610A40">
        <w:rPr>
          <w:color w:val="auto"/>
          <w:szCs w:val="24"/>
        </w:rPr>
        <w:t xml:space="preserve"> between 59% to 83%. This material was fabricated into tubes with an inner diameter of 3.0 mm and </w:t>
      </w:r>
      <w:r w:rsidR="001C247C" w:rsidRPr="00610A40">
        <w:rPr>
          <w:color w:val="auto"/>
          <w:szCs w:val="24"/>
        </w:rPr>
        <w:t xml:space="preserve">a </w:t>
      </w:r>
      <w:r w:rsidRPr="00610A40">
        <w:rPr>
          <w:color w:val="auto"/>
          <w:szCs w:val="24"/>
        </w:rPr>
        <w:t xml:space="preserve">wall thickness of 0.7 to 0.8 mm. This is similar to the size of the human coronary arteries at an average outer diameter of 3.54 ± 0.51 </w:t>
      </w:r>
      <w:r w:rsidR="00481904" w:rsidRPr="00610A40">
        <w:rPr>
          <w:color w:val="auto"/>
          <w:szCs w:val="24"/>
        </w:rPr>
        <w:t xml:space="preserve">mm </w:t>
      </w:r>
      <w:r w:rsidRPr="00610A40">
        <w:rPr>
          <w:color w:val="auto"/>
          <w:szCs w:val="24"/>
        </w:rPr>
        <w:t>and average wall thickness of 0.89 ± 0.21</w:t>
      </w:r>
      <w:r w:rsidR="00481904" w:rsidRPr="00610A40">
        <w:rPr>
          <w:color w:val="auto"/>
          <w:szCs w:val="24"/>
        </w:rPr>
        <w:t xml:space="preserve"> mm</w:t>
      </w:r>
      <w:r w:rsidRPr="00610A40">
        <w:rPr>
          <w:color w:val="auto"/>
          <w:szCs w:val="24"/>
        </w:rPr>
        <w:fldChar w:fldCharType="begin" w:fldLock="1"/>
      </w:r>
      <w:r w:rsidR="00565E2A" w:rsidRPr="00610A40">
        <w:rPr>
          <w:color w:val="auto"/>
          <w:szCs w:val="24"/>
        </w:rPr>
        <w:instrText>ADDIN CSL_CITATION { "citationItems" : [ { "id" : "ITEM-1", "itemData" : { "DOI" : "10.1016/S0003-4975(03)00263-7", "ISSN" : "00034975", "abstract" : "&lt;h2&gt;Abstract&lt;/h2&gt;&lt;h3&gt;Background&lt;/h3&gt;&lt;p&gt;To determine whether the pig is an appropriate experimental animal for studies on distal anastomotic connectors in coronary artery bypass surgery, the mechanical properties of young porcine and old human coronary and internal mammary arteries were compared within and beyond the physiologic range of strains.&lt;/p&gt;&lt;h3&gt;Methods&lt;/h3&gt;&lt;p&gt;Coronary arteries from 6 humans and 8 pigs were studied as well as internal mammary arteries of 3 humans and 6 pigs (human, aged 61 to 85 years; pig, 78.7 \u00b1 5.8 kg [mean \u00b1 SD]). Pressure-diameter, pressure-axial force, circumferential and axial stress-strain relations, and dimensions were measured.&lt;/p&gt;&lt;h3&gt;Results&lt;/h3&gt;&lt;p&gt;The dimensions of the porcine and human coronary and internal mammary artery were generally similar but wall thickness was smaller in the porcine internal mammary artery (0.35 \u00b1 0.07 mm versus 0.71 \u00b1 0.06 mm, respectively, &lt;i&gt;p&lt;/i&gt; = 0.002). The porcine internal mammary artery wall was less elastic than the coronary artery wall, whereas in humans both arteries displayed similar elasticity. Overall the porcine arteries were far more elastic in both circumferential and axial direction compared with the human arteries. Consequently the porcine arteries could be safely stretched by 60% to 70% compared with about 20% for the human arteries before reaching their maximum circumferential strain.&lt;/p&gt;&lt;h3&gt;Conclusions&lt;/h3&gt;&lt;p&gt;The three times greater elasticity of porcine compared with human coronary and internal mammary artery walls may result in underestimation of wall stress and the risk of wall injury when coronary connectors that involve overstretching of the wall are evaluated in the pig.&lt;/p&gt;", "author" : [ { "dropping-particle" : "", "family" : "Andel", "given" : "Carolien J", "non-dropping-particle" : "van", "parse-names" : false, "suffix" : "" }, { "dropping-particle" : "V", "family" : "Pistecky", "given" : "Peter", "non-dropping-particle" : "", "parse-names" : false, "suffix" : "" }, { "dropping-particle" : "", "family" : "Borst", "given" : "Cornelius", "non-dropping-particle" : "", "parse-names" : false, "suffix" : "" }, { "dropping-particle" : "", "family" : "al.", "given" : "et", "non-dropping-particle" : "", "parse-names" : false, "suffix" : "" }, { "dropping-particle" : "", "family" : "Rafeh", "given" : "W.", "non-dropping-particle" : "", "parse-names" : false, "suffix" : "" }, { "dropping-particle" : "", "family" : "Al-Halees", "given" : "Z.", "non-dropping-particle" : "", "parse-names" : false, "suffix" : "" } ], "container-title" : "The Annals of Thoracic Surgery", "id" : "ITEM-1", "issue" : "1", "issued" : { "date-parts" : [ [ "2003", "7" ] ] }, "page" : "58-64", "publisher" : "Springer-Verlag, London", "title" : "Mechanical properties of porcine and human arteries: implications for coronary anastomotic connectors", "type" : "article-journal", "volume" : "76" }, "uris" : [ "http://www.mendeley.com/documents/?uuid=de8ac4de-6af6-40b4-8419-b4d5d86f51d9", "http://www.mendeley.com/documents/?uuid=509d3e5e-9568-3ea5-bb3b-c3894d05c32f" ] } ], "mendeley" : { "formattedCitation" : "&lt;sup&gt;178&lt;/sup&gt;", "plainTextFormattedCitation" : "178", "previouslyFormattedCitation" : "&lt;sup&gt;177&lt;/sup&gt;"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178</w:t>
      </w:r>
      <w:r w:rsidRPr="00610A40">
        <w:rPr>
          <w:color w:val="auto"/>
          <w:szCs w:val="24"/>
        </w:rPr>
        <w:fldChar w:fldCharType="end"/>
      </w:r>
      <w:r w:rsidRPr="00610A40">
        <w:rPr>
          <w:color w:val="auto"/>
          <w:szCs w:val="24"/>
        </w:rPr>
        <w:t>. This is also consistent with the human mesenteric artery with an inner diameter ranging from 2.4 to 3.1 mm and wall thicknesses ranging from 0.4 to 0.6 mm</w:t>
      </w:r>
      <w:r w:rsidRPr="00610A40">
        <w:rPr>
          <w:color w:val="auto"/>
          <w:szCs w:val="24"/>
        </w:rPr>
        <w:fldChar w:fldCharType="begin" w:fldLock="1"/>
      </w:r>
      <w:r w:rsidR="00565E2A" w:rsidRPr="00610A40">
        <w:rPr>
          <w:color w:val="auto"/>
          <w:szCs w:val="24"/>
        </w:rPr>
        <w:instrText>ADDIN CSL_CITATION { "citationItems" : [ { "id" : "ITEM-1", "itemData" : { "DOI" : "http://dx.doi.org/10.1016/j.actbio.2009.10.002", "ISSN" : "1742-7061", "abstract" : "Biocompatible and elastic porous tubular structures based on poly(1,3-trimethylene carbonate), PTMC, were developed as scaffolds for tissue engineering of small-diameter blood vessels. High-molecular-weight PTMC (Mn = 4.37 \u00d7 105) was cross-linked by gamma-irradiation in an inert nitrogen atmosphere. The resulting networks (50\u201370% gel content) were elastic and creep resistant. The PTMC materials were highly biocompatible as determined by cell adhesion and proliferation studies using various relevant cell types (human umbilical vein endothelial cells (HUVECs), smooth muscle cells (SMCs) and mesenchymal stem cells (MSCs)). Dimensionally stable tubular scaffolds with an interconnected pore network were prepared by particulate leaching. Different cross-linked porous PTMC specimens with average pore sizes ranging between 55 and 116 \u03bcm, and porosities ranging from 59% to 83% were prepared. These scaffolds were highly compliant and flexible, with high elongations at break. Furthermore, their resistance to creep was excellent and under cyclic loading conditions (20 deformation cycles to 30% elongation) no permanent deformation occurred. Seeding of SMCs into the wall of the tubular structures was done by carefully perfusing cell suspensions with syringes from the lumen through the wall. The cells were then cultured for 7 days. Upon proliferation of the SMCs, the formed blood vessel constructs had excellent mechanical properties. Their radial tensile strengths had increased from 0.23 to 0.78 MPa, which is close to those of natural blood vessels.", "author" : [ { "dropping-particle" : "", "family" : "Song", "given" : "Y", "non-dropping-particle" : "", "parse-names" : false, "suffix" : "" }, { "dropping-particle" : "", "family" : "Kamphuis", "given" : "M M J", "non-dropping-particle" : "", "parse-names" : false, "suffix" : "" }, { "dropping-particle" : "", "family" : "Zhang", "given" : "Z", "non-dropping-particle" : "", "parse-names" : false, "suffix" : "" }, { "dropping-particle" : "", "family" : "Sterk", "given" : "L.M.Th.", "non-dropping-particle" : "", "parse-names" : false, "suffix" : "" }, { "dropping-particle" : "", "family" : "Vermes", "given" : "I", "non-dropping-particle" : "", "parse-names" : false, "suffix" : "" }, { "dropping-particle" : "", "family" : "Poot", "given" : "A A", "non-dropping-particle" : "", "parse-names" : false, "suffix" : "" }, { "dropping-particle" : "", "family" : "Feijen", "given" : "J", "non-dropping-particle" : "", "parse-names" : false, "suffix" : "" }, { "dropping-particle" : "", "family" : "Grijpma", "given" : "D W", "non-dropping-particle" : "", "parse-names" : false, "suffix" : "" } ], "container-title" : "Acta Biomaterialia", "id" : "ITEM-1", "issue" : "4", "issued" : { "date-parts" : [ [ "2010", "4" ] ] }, "page" : "1269-1277", "title" : "Flexible and elastic porous poly(trimethylene carbonate) structures for use in vascular tissue engineering", "type" : "article-journal", "volume" : "6" }, "uris" : [ "http://www.mendeley.com/documents/?uuid=75572975-3af2-40c4-b8f4-3be16a175f22" ] } ], "mendeley" : { "formattedCitation" : "&lt;sup&gt;70&lt;/sup&gt;", "plainTextFormattedCitation" : "70", "previouslyFormattedCitation" : "&lt;sup&gt;69&lt;/sup&gt;"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70</w:t>
      </w:r>
      <w:r w:rsidRPr="00610A40">
        <w:rPr>
          <w:color w:val="auto"/>
          <w:szCs w:val="24"/>
        </w:rPr>
        <w:fldChar w:fldCharType="end"/>
      </w:r>
      <w:r w:rsidRPr="00610A40">
        <w:rPr>
          <w:color w:val="auto"/>
          <w:szCs w:val="24"/>
        </w:rPr>
        <w:t xml:space="preserve">. These dimensional compatibilities allowed for easy anastomosis of the vascular graft with the native blood vessels. The suture retention strength </w:t>
      </w:r>
      <w:r w:rsidR="00481904" w:rsidRPr="00610A40">
        <w:rPr>
          <w:color w:val="auto"/>
          <w:szCs w:val="24"/>
        </w:rPr>
        <w:t xml:space="preserve">was in a range </w:t>
      </w:r>
      <w:proofErr w:type="gramStart"/>
      <w:r w:rsidR="00481904" w:rsidRPr="00610A40">
        <w:rPr>
          <w:color w:val="auto"/>
          <w:szCs w:val="24"/>
        </w:rPr>
        <w:t xml:space="preserve">of </w:t>
      </w:r>
      <w:r w:rsidRPr="00610A40">
        <w:rPr>
          <w:color w:val="auto"/>
          <w:szCs w:val="24"/>
        </w:rPr>
        <w:t xml:space="preserve">1.64 </w:t>
      </w:r>
      <w:r w:rsidR="00481904" w:rsidRPr="00610A40">
        <w:rPr>
          <w:color w:val="auto"/>
          <w:szCs w:val="24"/>
        </w:rPr>
        <w:t>to 1.94 Nmm</w:t>
      </w:r>
      <w:r w:rsidR="00481904" w:rsidRPr="00610A40">
        <w:rPr>
          <w:color w:val="auto"/>
          <w:szCs w:val="24"/>
          <w:vertAlign w:val="superscript"/>
        </w:rPr>
        <w:t>-1</w:t>
      </w:r>
      <w:r w:rsidR="00481904" w:rsidRPr="00610A40">
        <w:rPr>
          <w:color w:val="auto"/>
          <w:szCs w:val="24"/>
        </w:rPr>
        <w:t>,</w:t>
      </w:r>
      <w:r w:rsidR="00481904" w:rsidRPr="00610A40">
        <w:rPr>
          <w:color w:val="auto"/>
          <w:szCs w:val="24"/>
          <w:vertAlign w:val="superscript"/>
        </w:rPr>
        <w:t xml:space="preserve"> </w:t>
      </w:r>
      <w:r w:rsidRPr="00610A40">
        <w:rPr>
          <w:color w:val="auto"/>
          <w:szCs w:val="24"/>
        </w:rPr>
        <w:t>compared to that of native ovine and porcine arteries which were 8.9 and 10.8 Nmm</w:t>
      </w:r>
      <w:r w:rsidRPr="00610A40">
        <w:rPr>
          <w:color w:val="auto"/>
          <w:szCs w:val="24"/>
          <w:vertAlign w:val="superscript"/>
        </w:rPr>
        <w:t>-1</w:t>
      </w:r>
      <w:r w:rsidRPr="00610A40">
        <w:rPr>
          <w:color w:val="auto"/>
          <w:szCs w:val="24"/>
        </w:rPr>
        <w:t xml:space="preserve"> respectively</w:t>
      </w:r>
      <w:proofErr w:type="gramEnd"/>
      <w:r w:rsidRPr="00610A40">
        <w:rPr>
          <w:color w:val="auto"/>
          <w:szCs w:val="24"/>
        </w:rPr>
        <w:t xml:space="preserve">. Although PTMC had </w:t>
      </w:r>
      <w:proofErr w:type="gramStart"/>
      <w:r w:rsidRPr="00610A40">
        <w:rPr>
          <w:color w:val="auto"/>
          <w:szCs w:val="24"/>
        </w:rPr>
        <w:t>a lower</w:t>
      </w:r>
      <w:proofErr w:type="gramEnd"/>
      <w:r w:rsidRPr="00610A40">
        <w:rPr>
          <w:color w:val="auto"/>
          <w:szCs w:val="24"/>
        </w:rPr>
        <w:t xml:space="preserve"> suture retention strength, the value may increase significantly after the growth of vascular cells. The tubular PTMC was measured to have a radial (or circumferential) </w:t>
      </w:r>
      <w:r w:rsidRPr="00610A40">
        <w:rPr>
          <w:color w:val="auto"/>
          <w:szCs w:val="24"/>
        </w:rPr>
        <w:lastRenderedPageBreak/>
        <w:t xml:space="preserve">tensile strength of approximately 1.6–1.9 </w:t>
      </w:r>
      <w:proofErr w:type="spellStart"/>
      <w:r w:rsidRPr="00610A40">
        <w:rPr>
          <w:color w:val="auto"/>
          <w:szCs w:val="24"/>
        </w:rPr>
        <w:t>MPa</w:t>
      </w:r>
      <w:proofErr w:type="spellEnd"/>
      <w:r w:rsidRPr="00610A40">
        <w:rPr>
          <w:color w:val="auto"/>
          <w:szCs w:val="24"/>
        </w:rPr>
        <w:t xml:space="preserve"> and elongation at break of 200–350%. These mechanical properties were very similar with that of human arteries</w:t>
      </w:r>
      <w:r w:rsidR="00481904" w:rsidRPr="00610A40">
        <w:rPr>
          <w:color w:val="auto"/>
          <w:szCs w:val="24"/>
        </w:rPr>
        <w:t xml:space="preserve"> and </w:t>
      </w:r>
      <w:r w:rsidRPr="00610A40">
        <w:rPr>
          <w:color w:val="auto"/>
          <w:szCs w:val="24"/>
        </w:rPr>
        <w:t xml:space="preserve">could be </w:t>
      </w:r>
      <w:r w:rsidR="00481904" w:rsidRPr="00610A40">
        <w:rPr>
          <w:color w:val="auto"/>
          <w:szCs w:val="24"/>
        </w:rPr>
        <w:t xml:space="preserve">further </w:t>
      </w:r>
      <w:r w:rsidRPr="00610A40">
        <w:rPr>
          <w:color w:val="auto"/>
          <w:szCs w:val="24"/>
        </w:rPr>
        <w:t xml:space="preserve">tuned by varying the porosity and pore sizes. PTMC was able to sustain no deformation after being subjected to 20 cycles of </w:t>
      </w:r>
      <w:r w:rsidR="009B1397" w:rsidRPr="00610A40">
        <w:rPr>
          <w:color w:val="auto"/>
          <w:szCs w:val="24"/>
        </w:rPr>
        <w:t xml:space="preserve">deformation at 30% elongation. </w:t>
      </w:r>
      <w:r w:rsidRPr="00610A40">
        <w:rPr>
          <w:color w:val="auto"/>
          <w:szCs w:val="24"/>
        </w:rPr>
        <w:t xml:space="preserve">PTMC film supported the proliferation of HUVEC, SMC and MSC, reaching confluence in 1 day, 3 days and 3 days respectively. The tubular porous PTMC with 55 </w:t>
      </w:r>
      <w:r w:rsidRPr="00610A40">
        <w:rPr>
          <w:rFonts w:ascii="Calibri" w:hAnsi="Calibri"/>
          <w:color w:val="auto"/>
          <w:szCs w:val="24"/>
        </w:rPr>
        <w:t>µ</w:t>
      </w:r>
      <w:r w:rsidRPr="00610A40">
        <w:rPr>
          <w:color w:val="auto"/>
          <w:szCs w:val="24"/>
        </w:rPr>
        <w:t xml:space="preserve">m was optimal at supporting the adhesion and proliferation of SMC. The SMCs were seen to penetrate the wall of the porous PTMC tube through the interconnected pore network and were well attached to the pore surface. The in vitro culturing of SMCs in the tubular PTMC over 7 days also increased the scaffold’s maximum radial tensile strength from 0.23 </w:t>
      </w:r>
      <w:proofErr w:type="spellStart"/>
      <w:r w:rsidRPr="00610A40">
        <w:rPr>
          <w:color w:val="auto"/>
          <w:szCs w:val="24"/>
        </w:rPr>
        <w:t>MPa</w:t>
      </w:r>
      <w:proofErr w:type="spellEnd"/>
      <w:r w:rsidRPr="00610A40">
        <w:rPr>
          <w:color w:val="auto"/>
          <w:szCs w:val="24"/>
        </w:rPr>
        <w:t xml:space="preserve"> to 0.78 </w:t>
      </w:r>
      <w:proofErr w:type="spellStart"/>
      <w:r w:rsidRPr="00610A40">
        <w:rPr>
          <w:color w:val="auto"/>
          <w:szCs w:val="24"/>
        </w:rPr>
        <w:t>MPa</w:t>
      </w:r>
      <w:proofErr w:type="spellEnd"/>
      <w:r w:rsidRPr="00610A40">
        <w:rPr>
          <w:color w:val="auto"/>
          <w:szCs w:val="24"/>
        </w:rPr>
        <w:t xml:space="preserve"> with an improved elongation at break of 1360</w:t>
      </w:r>
      <w:r w:rsidR="009B1397" w:rsidRPr="00610A40">
        <w:rPr>
          <w:color w:val="auto"/>
          <w:szCs w:val="24"/>
        </w:rPr>
        <w:t xml:space="preserve"> </w:t>
      </w:r>
      <w:r w:rsidRPr="00610A40">
        <w:rPr>
          <w:color w:val="auto"/>
          <w:szCs w:val="24"/>
        </w:rPr>
        <w:t>%.</w:t>
      </w:r>
      <w:r w:rsidR="009B1397" w:rsidRPr="00610A40">
        <w:rPr>
          <w:color w:val="auto"/>
          <w:szCs w:val="24"/>
        </w:rPr>
        <w:t xml:space="preserve"> </w:t>
      </w:r>
      <w:r w:rsidRPr="00610A40">
        <w:rPr>
          <w:color w:val="auto"/>
          <w:szCs w:val="24"/>
        </w:rPr>
        <w:t xml:space="preserve">After proving the vascular cell compatibility of PTMC, the same group devised a method to fabricate a 3-dimensional (3D) </w:t>
      </w:r>
      <w:proofErr w:type="spellStart"/>
      <w:r w:rsidRPr="00610A40">
        <w:rPr>
          <w:color w:val="auto"/>
          <w:szCs w:val="24"/>
        </w:rPr>
        <w:t>microvascular</w:t>
      </w:r>
      <w:proofErr w:type="spellEnd"/>
      <w:r w:rsidRPr="00610A40">
        <w:rPr>
          <w:color w:val="auto"/>
          <w:szCs w:val="24"/>
        </w:rPr>
        <w:t xml:space="preserve"> network using </w:t>
      </w:r>
      <w:proofErr w:type="spellStart"/>
      <w:r w:rsidRPr="00610A40">
        <w:rPr>
          <w:color w:val="auto"/>
          <w:szCs w:val="24"/>
        </w:rPr>
        <w:t>stereolithography</w:t>
      </w:r>
      <w:proofErr w:type="spellEnd"/>
      <w:r w:rsidRPr="00610A40">
        <w:rPr>
          <w:color w:val="auto"/>
          <w:szCs w:val="24"/>
        </w:rPr>
        <w:t xml:space="preserve"> of PTMC</w:t>
      </w:r>
      <w:r w:rsidRPr="00610A40">
        <w:rPr>
          <w:color w:val="auto"/>
          <w:szCs w:val="24"/>
        </w:rPr>
        <w:fldChar w:fldCharType="begin" w:fldLock="1"/>
      </w:r>
      <w:r w:rsidR="00565E2A" w:rsidRPr="00610A40">
        <w:rPr>
          <w:color w:val="auto"/>
          <w:szCs w:val="24"/>
        </w:rPr>
        <w:instrText>ADDIN CSL_CITATION { "citationItems" : [ { "id" : "ITEM-1", "itemData" : { "DOI" : "10.1002/adhm.201400363", "ISBN" : "2192-2659 (Electronic)\\r2192-2640 (Linking)", "ISSN" : "21922659", "PMID" : "25319598", "abstract" : "Designed flexible and elastic network structures are prepared by stereolitho-graphy using a photo-crosslinkable resin based on a poly(trimethylene carbonate) (PTMC) macromer with a molecular weight of 3150 g/mol. Physical properties and the compatibility with human umbilical vein endothelial cells (HUVECs) are evaluated. The hydrophobic networks are found to be flexible and elastic, with an E modulus of 7.9 \u00b1 0.1 MPa, a tensile strength of 3.5 \u00b1 0.1 MPa and an elongation at break of 76.7 \u00b1 0.7%. HUVECs attach and proliferate well on the surfaces of the built structures. A three-dimensional microvascular network is designed to serve as a perfusable scaffold for tissue engineering. In the design, 5 generations of open channels each branch into 4 smaller channels yielding a microvascular region with a high density of capillaries. The overall cross--sectional area through which medium or blood can be perfused remains constant. These structures would ensure efficient nourishment of cells in a large volume of tissue. Built by stereolithography using the PTMC resin, the smallest channels of these structures have square cross-sectional areas, with inner widths of approximately 224 \u03bcm and wall thicknesses of approximately 152 \u03bcm. The channels are open, allowing water to perfuse the scaffold at 0.279 \u00b1 0.006 mL/s at 80 mmHg and 0.335 \u00b1 0.009 mL/s at 120 mmHg.", "author" : [ { "dropping-particle" : "", "family" : "Sch\u00fcller-Ravoo", "given" : "Sigrid", "non-dropping-particle" : "", "parse-names" : false, "suffix" : "" }, { "dropping-particle" : "", "family" : "Zant", "given" : "Erwin", "non-dropping-particle" : "", "parse-names" : false, "suffix" : "" }, { "dropping-particle" : "", "family" : "Feijen", "given" : "Jan", "non-dropping-particle" : "", "parse-names" : false, "suffix" : "" }, { "dropping-particle" : "", "family" : "Grijpma", "given" : "Dirk W.", "non-dropping-particle" : "", "parse-names" : false, "suffix" : "" } ], "container-title" : "Advanced Healthcare Materials", "id" : "ITEM-1", "issue" : "12", "issued" : { "date-parts" : [ [ "2014" ] ] }, "page" : "2004-2011", "title" : "Preparation of a Designed Poly(trimethylene carbonate) Microvascular Network by Stereolithography", "type" : "article-journal", "volume" : "3" }, "uris" : [ "http://www.mendeley.com/documents/?uuid=c739edd3-56ce-4aff-9ef5-aea413a59f22", "http://www.mendeley.com/documents/?uuid=c6c400e8-b843-4dcf-9892-268c6c7081e0" ] } ], "mendeley" : { "formattedCitation" : "&lt;sup&gt;188&lt;/sup&gt;", "plainTextFormattedCitation" : "188", "previouslyFormattedCitation" : "&lt;sup&gt;187&lt;/sup&gt;"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188</w:t>
      </w:r>
      <w:r w:rsidRPr="00610A40">
        <w:rPr>
          <w:color w:val="auto"/>
          <w:szCs w:val="24"/>
        </w:rPr>
        <w:fldChar w:fldCharType="end"/>
      </w:r>
      <w:r w:rsidRPr="00610A40">
        <w:rPr>
          <w:color w:val="auto"/>
          <w:szCs w:val="24"/>
        </w:rPr>
        <w:t>. They created 5 generations of open channels to mimic the high density of small blood vessels in the capillary bed (</w:t>
      </w:r>
      <w:r w:rsidR="00944C77" w:rsidRPr="00610A40">
        <w:rPr>
          <w:color w:val="auto"/>
          <w:szCs w:val="24"/>
        </w:rPr>
        <w:fldChar w:fldCharType="begin"/>
      </w:r>
      <w:r w:rsidR="00944C77" w:rsidRPr="00610A40">
        <w:rPr>
          <w:color w:val="auto"/>
          <w:szCs w:val="24"/>
        </w:rPr>
        <w:instrText xml:space="preserve"> REF _Ref489036748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14</w:t>
      </w:r>
      <w:r w:rsidR="00944C77" w:rsidRPr="00610A40">
        <w:rPr>
          <w:color w:val="auto"/>
          <w:szCs w:val="24"/>
        </w:rPr>
        <w:fldChar w:fldCharType="end"/>
      </w:r>
      <w:r w:rsidRPr="00610A40">
        <w:rPr>
          <w:color w:val="auto"/>
          <w:szCs w:val="24"/>
        </w:rPr>
        <w:t xml:space="preserve">). Seeding and in vitro culturing of HUVECs was performed on 2D PTMC network disks made via </w:t>
      </w:r>
      <w:proofErr w:type="spellStart"/>
      <w:r w:rsidRPr="00610A40">
        <w:rPr>
          <w:color w:val="auto"/>
          <w:szCs w:val="24"/>
        </w:rPr>
        <w:t>stereolithography</w:t>
      </w:r>
      <w:proofErr w:type="spellEnd"/>
      <w:r w:rsidRPr="00610A40">
        <w:rPr>
          <w:color w:val="auto"/>
          <w:szCs w:val="24"/>
        </w:rPr>
        <w:t>. The HUVECs showed adhesion and proliferation on the material over 14 days. Using this 3D, the group could potentially use PTMC to fabricate vascular systems for the engineering of any tissue by culturing the cells of interest (e.g. liver cells) on the outside of these PTMC channels and seeding vascular cells such as HUVECs on the luminal surface (</w:t>
      </w:r>
      <w:r w:rsidR="00944C77" w:rsidRPr="00610A40">
        <w:rPr>
          <w:color w:val="auto"/>
          <w:szCs w:val="24"/>
        </w:rPr>
        <w:fldChar w:fldCharType="begin"/>
      </w:r>
      <w:r w:rsidR="00944C77" w:rsidRPr="00610A40">
        <w:rPr>
          <w:color w:val="auto"/>
          <w:szCs w:val="24"/>
        </w:rPr>
        <w:instrText xml:space="preserve"> REF _Ref489036774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15</w:t>
      </w:r>
      <w:r w:rsidR="00944C77" w:rsidRPr="00610A40">
        <w:rPr>
          <w:color w:val="auto"/>
          <w:szCs w:val="24"/>
        </w:rPr>
        <w:fldChar w:fldCharType="end"/>
      </w:r>
      <w:r w:rsidRPr="00610A40">
        <w:rPr>
          <w:color w:val="auto"/>
          <w:szCs w:val="24"/>
        </w:rPr>
        <w:t xml:space="preserve">). The only drawback of this design was the lack of oxygen permeability of PTMC channel walls. This could be overcome by making the walls more porous for oxygen permeation to the cells of interest on the outside of these channels. This combination of fabrication technique and the choice of material may unlock a huge potential in the engineering of any soft tissues using polyester elastomers. </w:t>
      </w:r>
    </w:p>
    <w:p w14:paraId="5F06DDBB" w14:textId="77777777" w:rsidR="007A638F" w:rsidRPr="00610A40" w:rsidRDefault="00481904" w:rsidP="00086775">
      <w:pPr>
        <w:keepNext/>
        <w:rPr>
          <w:color w:val="auto"/>
          <w:szCs w:val="24"/>
        </w:rPr>
      </w:pPr>
      <w:r w:rsidRPr="00610A40">
        <w:rPr>
          <w:noProof/>
          <w:color w:val="auto"/>
          <w:szCs w:val="24"/>
        </w:rPr>
        <w:lastRenderedPageBreak/>
        <w:drawing>
          <wp:inline distT="0" distB="0" distL="0" distR="0" wp14:anchorId="59D04666" wp14:editId="3E62F0EB">
            <wp:extent cx="3131820" cy="4182798"/>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31820" cy="4182798"/>
                    </a:xfrm>
                    <a:prstGeom prst="rect">
                      <a:avLst/>
                    </a:prstGeom>
                    <a:noFill/>
                    <a:ln>
                      <a:noFill/>
                    </a:ln>
                  </pic:spPr>
                </pic:pic>
              </a:graphicData>
            </a:graphic>
          </wp:inline>
        </w:drawing>
      </w:r>
    </w:p>
    <w:p w14:paraId="25754938" w14:textId="3DDCCD29" w:rsidR="007A638F" w:rsidRPr="00610A40" w:rsidRDefault="007A638F" w:rsidP="007A638F">
      <w:pPr>
        <w:pStyle w:val="Caption"/>
        <w:rPr>
          <w:sz w:val="24"/>
          <w:szCs w:val="24"/>
        </w:rPr>
      </w:pPr>
      <w:bookmarkStart w:id="18" w:name="_Ref489036748"/>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14</w:t>
      </w:r>
      <w:r w:rsidR="00004924" w:rsidRPr="00610A40">
        <w:rPr>
          <w:noProof/>
          <w:sz w:val="24"/>
          <w:szCs w:val="24"/>
        </w:rPr>
        <w:fldChar w:fldCharType="end"/>
      </w:r>
      <w:bookmarkEnd w:id="18"/>
      <w:r w:rsidRPr="00610A40">
        <w:rPr>
          <w:sz w:val="24"/>
          <w:szCs w:val="24"/>
        </w:rPr>
        <w:t xml:space="preserve"> Images illustrating the 3D printed PTMC </w:t>
      </w:r>
      <w:proofErr w:type="spellStart"/>
      <w:r w:rsidRPr="00610A40">
        <w:rPr>
          <w:sz w:val="24"/>
          <w:szCs w:val="24"/>
        </w:rPr>
        <w:t>microvascular</w:t>
      </w:r>
      <w:proofErr w:type="spellEnd"/>
      <w:r w:rsidRPr="00610A40">
        <w:rPr>
          <w:sz w:val="24"/>
          <w:szCs w:val="24"/>
        </w:rPr>
        <w:t xml:space="preserve"> network built by </w:t>
      </w:r>
      <w:proofErr w:type="spellStart"/>
      <w:r w:rsidRPr="00610A40">
        <w:rPr>
          <w:sz w:val="24"/>
          <w:szCs w:val="24"/>
        </w:rPr>
        <w:t>stereolithography</w:t>
      </w:r>
      <w:proofErr w:type="spellEnd"/>
      <w:r w:rsidRPr="00610A40">
        <w:rPr>
          <w:sz w:val="24"/>
          <w:szCs w:val="24"/>
        </w:rPr>
        <w:t xml:space="preserve">. A. Photograph and B. reconstructed µCT image of the 3D printed PTMC </w:t>
      </w:r>
      <w:proofErr w:type="spellStart"/>
      <w:r w:rsidRPr="00610A40">
        <w:rPr>
          <w:sz w:val="24"/>
          <w:szCs w:val="24"/>
        </w:rPr>
        <w:t>microvascular</w:t>
      </w:r>
      <w:proofErr w:type="spellEnd"/>
      <w:r w:rsidRPr="00610A40">
        <w:rPr>
          <w:sz w:val="24"/>
          <w:szCs w:val="24"/>
        </w:rPr>
        <w:t xml:space="preserve"> network. </w:t>
      </w:r>
      <w:proofErr w:type="gramStart"/>
      <w:r w:rsidRPr="00610A40">
        <w:rPr>
          <w:sz w:val="24"/>
          <w:szCs w:val="24"/>
        </w:rPr>
        <w:t xml:space="preserve">C. and D. SEM images of the cross sections </w:t>
      </w:r>
      <w:r w:rsidR="004D64DD" w:rsidRPr="00610A40">
        <w:rPr>
          <w:sz w:val="24"/>
          <w:szCs w:val="24"/>
        </w:rPr>
        <w:t xml:space="preserve">of the </w:t>
      </w:r>
      <w:proofErr w:type="spellStart"/>
      <w:r w:rsidR="004D64DD" w:rsidRPr="00610A40">
        <w:rPr>
          <w:sz w:val="24"/>
          <w:szCs w:val="24"/>
        </w:rPr>
        <w:t>microvascular</w:t>
      </w:r>
      <w:proofErr w:type="spellEnd"/>
      <w:r w:rsidR="004D64DD" w:rsidRPr="00610A40">
        <w:rPr>
          <w:sz w:val="24"/>
          <w:szCs w:val="24"/>
        </w:rPr>
        <w:t xml:space="preserve"> structure, showing that even the smallest vessel lumens were open.</w:t>
      </w:r>
      <w:proofErr w:type="gramEnd"/>
      <w:r w:rsidR="004D64DD" w:rsidRPr="00610A40">
        <w:rPr>
          <w:sz w:val="24"/>
          <w:szCs w:val="24"/>
        </w:rPr>
        <w:t xml:space="preserve"> </w:t>
      </w:r>
      <w:r w:rsidR="009A5BC6" w:rsidRPr="00610A40">
        <w:rPr>
          <w:sz w:val="24"/>
          <w:szCs w:val="24"/>
        </w:rPr>
        <w:t xml:space="preserve">Reproduced from ref. </w:t>
      </w:r>
      <w:r w:rsidR="009A5BC6">
        <w:rPr>
          <w:sz w:val="24"/>
          <w:szCs w:val="24"/>
        </w:rPr>
        <w:t>188</w:t>
      </w:r>
      <w:r w:rsidR="009A5BC6" w:rsidRPr="00610A40">
        <w:rPr>
          <w:sz w:val="24"/>
          <w:szCs w:val="24"/>
        </w:rPr>
        <w:t xml:space="preserve"> with permission from </w:t>
      </w:r>
      <w:r w:rsidR="009A5BC6">
        <w:rPr>
          <w:sz w:val="24"/>
          <w:szCs w:val="24"/>
        </w:rPr>
        <w:t>Wiley</w:t>
      </w:r>
      <w:r w:rsidR="009A5BC6" w:rsidRPr="00610A40">
        <w:rPr>
          <w:sz w:val="24"/>
          <w:szCs w:val="24"/>
        </w:rPr>
        <w:t xml:space="preserve">, copyright </w:t>
      </w:r>
      <w:r w:rsidR="009A5BC6">
        <w:rPr>
          <w:sz w:val="24"/>
          <w:szCs w:val="24"/>
        </w:rPr>
        <w:t>20</w:t>
      </w:r>
      <w:r w:rsidR="009A5BC6">
        <w:rPr>
          <w:sz w:val="24"/>
          <w:szCs w:val="24"/>
        </w:rPr>
        <w:t>14</w:t>
      </w:r>
    </w:p>
    <w:p w14:paraId="015A39BC" w14:textId="77777777" w:rsidR="004D64DD" w:rsidRPr="00610A40" w:rsidRDefault="00481904" w:rsidP="00086775">
      <w:pPr>
        <w:keepNext/>
        <w:rPr>
          <w:color w:val="auto"/>
          <w:szCs w:val="24"/>
        </w:rPr>
      </w:pPr>
      <w:r w:rsidRPr="00610A40">
        <w:rPr>
          <w:noProof/>
          <w:color w:val="auto"/>
          <w:szCs w:val="24"/>
        </w:rPr>
        <w:lastRenderedPageBreak/>
        <w:drawing>
          <wp:inline distT="0" distB="0" distL="0" distR="0" wp14:anchorId="5D6E7CEA" wp14:editId="05934B8E">
            <wp:extent cx="5943600" cy="276032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760324"/>
                    </a:xfrm>
                    <a:prstGeom prst="rect">
                      <a:avLst/>
                    </a:prstGeom>
                    <a:noFill/>
                    <a:ln>
                      <a:noFill/>
                    </a:ln>
                  </pic:spPr>
                </pic:pic>
              </a:graphicData>
            </a:graphic>
          </wp:inline>
        </w:drawing>
      </w:r>
    </w:p>
    <w:p w14:paraId="13BD8AF8" w14:textId="5CAA11AE" w:rsidR="00972EB2" w:rsidRPr="00610A40" w:rsidRDefault="004D64DD" w:rsidP="00086775">
      <w:pPr>
        <w:pStyle w:val="Caption"/>
        <w:rPr>
          <w:sz w:val="24"/>
          <w:szCs w:val="24"/>
        </w:rPr>
      </w:pPr>
      <w:bookmarkStart w:id="19" w:name="_Ref489036774"/>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15</w:t>
      </w:r>
      <w:r w:rsidR="00004924" w:rsidRPr="00610A40">
        <w:rPr>
          <w:noProof/>
          <w:sz w:val="24"/>
          <w:szCs w:val="24"/>
        </w:rPr>
        <w:fldChar w:fldCharType="end"/>
      </w:r>
      <w:bookmarkEnd w:id="19"/>
      <w:r w:rsidRPr="00610A40">
        <w:rPr>
          <w:sz w:val="24"/>
          <w:szCs w:val="24"/>
        </w:rPr>
        <w:t xml:space="preserve"> A schematic </w:t>
      </w:r>
      <w:r w:rsidR="00480A75" w:rsidRPr="00610A40">
        <w:rPr>
          <w:sz w:val="24"/>
          <w:szCs w:val="24"/>
        </w:rPr>
        <w:t xml:space="preserve">illustrating how the PTMC </w:t>
      </w:r>
      <w:proofErr w:type="spellStart"/>
      <w:r w:rsidR="00480A75" w:rsidRPr="00610A40">
        <w:rPr>
          <w:sz w:val="24"/>
          <w:szCs w:val="24"/>
        </w:rPr>
        <w:t>microvascular</w:t>
      </w:r>
      <w:proofErr w:type="spellEnd"/>
      <w:r w:rsidR="00480A75" w:rsidRPr="00610A40">
        <w:rPr>
          <w:sz w:val="24"/>
          <w:szCs w:val="24"/>
        </w:rPr>
        <w:t xml:space="preserve"> network can be used to culture any tissue by growing tissue specific cells of interest outside each vessel lumen and endothelial cells and other vascular cells inside the lumen. A. Cross section of the </w:t>
      </w:r>
      <w:proofErr w:type="spellStart"/>
      <w:r w:rsidR="00480A75" w:rsidRPr="00610A40">
        <w:rPr>
          <w:sz w:val="24"/>
          <w:szCs w:val="24"/>
        </w:rPr>
        <w:t>microvascular</w:t>
      </w:r>
      <w:proofErr w:type="spellEnd"/>
      <w:r w:rsidR="00480A75" w:rsidRPr="00610A40">
        <w:rPr>
          <w:sz w:val="24"/>
          <w:szCs w:val="24"/>
        </w:rPr>
        <w:t xml:space="preserve"> channels. B. Zoomed in image of each </w:t>
      </w:r>
      <w:proofErr w:type="spellStart"/>
      <w:r w:rsidR="00480A75" w:rsidRPr="00610A40">
        <w:rPr>
          <w:sz w:val="24"/>
          <w:szCs w:val="24"/>
        </w:rPr>
        <w:t>microvascular</w:t>
      </w:r>
      <w:proofErr w:type="spellEnd"/>
      <w:r w:rsidR="00480A75" w:rsidRPr="00610A40">
        <w:rPr>
          <w:sz w:val="24"/>
          <w:szCs w:val="24"/>
        </w:rPr>
        <w:t xml:space="preserve"> channel. </w:t>
      </w:r>
      <w:r w:rsidR="009A5BC6" w:rsidRPr="00610A40">
        <w:rPr>
          <w:sz w:val="24"/>
          <w:szCs w:val="24"/>
        </w:rPr>
        <w:t xml:space="preserve">Reproduced from ref. </w:t>
      </w:r>
      <w:r w:rsidR="009A5BC6">
        <w:rPr>
          <w:sz w:val="24"/>
          <w:szCs w:val="24"/>
        </w:rPr>
        <w:t>1</w:t>
      </w:r>
      <w:r w:rsidR="009A5BC6">
        <w:rPr>
          <w:sz w:val="24"/>
          <w:szCs w:val="24"/>
        </w:rPr>
        <w:t>88</w:t>
      </w:r>
      <w:r w:rsidR="009A5BC6" w:rsidRPr="00610A40">
        <w:rPr>
          <w:sz w:val="24"/>
          <w:szCs w:val="24"/>
        </w:rPr>
        <w:t xml:space="preserve"> with permission from </w:t>
      </w:r>
      <w:r w:rsidR="009A5BC6">
        <w:rPr>
          <w:sz w:val="24"/>
          <w:szCs w:val="24"/>
        </w:rPr>
        <w:t>Wiley</w:t>
      </w:r>
      <w:r w:rsidR="009A5BC6" w:rsidRPr="00610A40">
        <w:rPr>
          <w:sz w:val="24"/>
          <w:szCs w:val="24"/>
        </w:rPr>
        <w:t xml:space="preserve">, copyright </w:t>
      </w:r>
      <w:r w:rsidR="009A5BC6">
        <w:rPr>
          <w:sz w:val="24"/>
          <w:szCs w:val="24"/>
        </w:rPr>
        <w:t>20</w:t>
      </w:r>
      <w:r w:rsidR="009A5BC6">
        <w:rPr>
          <w:sz w:val="24"/>
          <w:szCs w:val="24"/>
        </w:rPr>
        <w:t>14</w:t>
      </w:r>
    </w:p>
    <w:p w14:paraId="4BEFEB02" w14:textId="77777777" w:rsidR="008C5439" w:rsidRPr="00610A40" w:rsidRDefault="008C5439">
      <w:pPr>
        <w:spacing w:after="200" w:line="276" w:lineRule="auto"/>
        <w:jc w:val="left"/>
        <w:rPr>
          <w:rFonts w:cs="Times New Roman"/>
          <w:b/>
          <w:bCs/>
          <w:color w:val="auto"/>
          <w:kern w:val="36"/>
          <w:szCs w:val="24"/>
        </w:rPr>
      </w:pPr>
      <w:r w:rsidRPr="00610A40">
        <w:rPr>
          <w:color w:val="auto"/>
          <w:szCs w:val="24"/>
        </w:rPr>
        <w:br w:type="page"/>
      </w:r>
    </w:p>
    <w:p w14:paraId="1410AFC3" w14:textId="48FD4D08" w:rsidR="00E242EE" w:rsidRPr="00610A40" w:rsidRDefault="00007C8A">
      <w:pPr>
        <w:pStyle w:val="Heading1"/>
      </w:pPr>
      <w:r w:rsidRPr="00610A40">
        <w:lastRenderedPageBreak/>
        <w:t>7</w:t>
      </w:r>
      <w:r w:rsidR="00E242EE" w:rsidRPr="00610A40">
        <w:t xml:space="preserve">. </w:t>
      </w:r>
      <w:proofErr w:type="gramStart"/>
      <w:r w:rsidR="00E242EE" w:rsidRPr="00610A40">
        <w:t>Beyond</w:t>
      </w:r>
      <w:proofErr w:type="gramEnd"/>
      <w:r w:rsidR="00E242EE" w:rsidRPr="00610A40">
        <w:t xml:space="preserve"> the Laboratory</w:t>
      </w:r>
    </w:p>
    <w:p w14:paraId="7C59CDF3" w14:textId="5E263893" w:rsidR="0060531A" w:rsidRPr="00610A40" w:rsidRDefault="009760AE" w:rsidP="00BF3DC6">
      <w:r w:rsidRPr="00610A40">
        <w:t>While</w:t>
      </w:r>
      <w:r w:rsidR="0060531A" w:rsidRPr="00610A40">
        <w:t xml:space="preserve"> there </w:t>
      </w:r>
      <w:r w:rsidRPr="00610A40">
        <w:t xml:space="preserve">are </w:t>
      </w:r>
      <w:r w:rsidR="0060531A" w:rsidRPr="00610A40">
        <w:t>a few elastomeric materials in the stages of clinical trials and beyond,</w:t>
      </w:r>
      <w:r w:rsidRPr="00610A40">
        <w:t xml:space="preserve"> some significant candidates</w:t>
      </w:r>
      <w:r w:rsidR="0060531A" w:rsidRPr="00610A40">
        <w:t xml:space="preserve"> are polyesters.</w:t>
      </w:r>
      <w:r w:rsidRPr="00610A40">
        <w:t xml:space="preserve"> F</w:t>
      </w:r>
      <w:r w:rsidR="007B65FA" w:rsidRPr="00610A40">
        <w:t>or the interest of readers who may be</w:t>
      </w:r>
      <w:r w:rsidR="0066339D" w:rsidRPr="00610A40">
        <w:t xml:space="preserve"> curious about the extent of bench-</w:t>
      </w:r>
      <w:r w:rsidRPr="00610A40">
        <w:t>to-</w:t>
      </w:r>
      <w:r w:rsidR="0066339D" w:rsidRPr="00610A40">
        <w:t xml:space="preserve">bedside development of polyesters in tissue engineering applications, this section seeks to cite a few examples of successful polyester-based tissue engineering scaffolds in ophthalmology and vascular </w:t>
      </w:r>
      <w:r w:rsidR="00926331" w:rsidRPr="00610A40">
        <w:t>surgery.</w:t>
      </w:r>
      <w:r w:rsidR="007B65FA" w:rsidRPr="00610A40">
        <w:t xml:space="preserve"> </w:t>
      </w:r>
      <w:r w:rsidR="0066339D" w:rsidRPr="00610A40">
        <w:t xml:space="preserve">Due to the lack of information on the commercialization of elastomeric polyesters, for this section alone, </w:t>
      </w:r>
      <w:r w:rsidR="00926331" w:rsidRPr="00610A40">
        <w:t xml:space="preserve">non-elastomeric polyesters will be included. </w:t>
      </w:r>
    </w:p>
    <w:p w14:paraId="5737A61F" w14:textId="7B55514A" w:rsidR="00E6012F" w:rsidRPr="00610A40" w:rsidRDefault="00007C8A" w:rsidP="00086775">
      <w:pPr>
        <w:pStyle w:val="Heading2"/>
        <w:rPr>
          <w:rStyle w:val="Strong"/>
          <w:rFonts w:ascii="Arial" w:hAnsi="Arial" w:cs="Arial"/>
          <w:b/>
          <w:bCs/>
          <w:sz w:val="24"/>
          <w:szCs w:val="24"/>
        </w:rPr>
      </w:pPr>
      <w:r w:rsidRPr="00610A40">
        <w:rPr>
          <w:sz w:val="24"/>
          <w:szCs w:val="24"/>
        </w:rPr>
        <w:t>7</w:t>
      </w:r>
      <w:r w:rsidR="00E6012F" w:rsidRPr="00610A40">
        <w:rPr>
          <w:sz w:val="24"/>
          <w:szCs w:val="24"/>
        </w:rPr>
        <w:t xml:space="preserve">.1 </w:t>
      </w:r>
      <w:proofErr w:type="spellStart"/>
      <w:r w:rsidR="00E6012F" w:rsidRPr="00610A40">
        <w:rPr>
          <w:sz w:val="24"/>
          <w:szCs w:val="24"/>
        </w:rPr>
        <w:t>Surodex</w:t>
      </w:r>
      <w:proofErr w:type="spellEnd"/>
      <w:r w:rsidR="00E6012F" w:rsidRPr="00610A40">
        <w:rPr>
          <w:sz w:val="24"/>
          <w:szCs w:val="24"/>
        </w:rPr>
        <w:t xml:space="preserve"> and </w:t>
      </w:r>
      <w:proofErr w:type="spellStart"/>
      <w:r w:rsidR="00E6012F" w:rsidRPr="00610A40">
        <w:rPr>
          <w:sz w:val="24"/>
          <w:szCs w:val="24"/>
        </w:rPr>
        <w:t>Ozurdex</w:t>
      </w:r>
      <w:proofErr w:type="spellEnd"/>
      <w:r w:rsidR="00E6012F" w:rsidRPr="00610A40">
        <w:rPr>
          <w:sz w:val="24"/>
          <w:szCs w:val="24"/>
        </w:rPr>
        <w:t xml:space="preserve"> in Ophthalmology </w:t>
      </w:r>
    </w:p>
    <w:p w14:paraId="0CECCF47" w14:textId="488E0B88" w:rsidR="00E6012F" w:rsidRPr="00610A40" w:rsidRDefault="00E6012F" w:rsidP="00EB7D51">
      <w:pPr>
        <w:rPr>
          <w:rFonts w:eastAsia="Arial"/>
          <w:color w:val="auto"/>
          <w:szCs w:val="24"/>
        </w:rPr>
      </w:pPr>
      <w:proofErr w:type="spellStart"/>
      <w:r w:rsidRPr="00610A40">
        <w:rPr>
          <w:rFonts w:eastAsia="Arial"/>
          <w:color w:val="auto"/>
          <w:szCs w:val="24"/>
        </w:rPr>
        <w:t>Surodex</w:t>
      </w:r>
      <w:r w:rsidRPr="00610A40">
        <w:rPr>
          <w:rFonts w:eastAsia="Arial"/>
          <w:color w:val="auto"/>
          <w:szCs w:val="24"/>
          <w:vertAlign w:val="superscript"/>
        </w:rPr>
        <w:t>TM</w:t>
      </w:r>
      <w:proofErr w:type="spellEnd"/>
      <w:r w:rsidRPr="00610A40">
        <w:rPr>
          <w:rFonts w:eastAsia="Arial"/>
          <w:color w:val="auto"/>
          <w:szCs w:val="24"/>
        </w:rPr>
        <w:t xml:space="preserve"> and </w:t>
      </w:r>
      <w:proofErr w:type="spellStart"/>
      <w:r w:rsidRPr="00610A40">
        <w:rPr>
          <w:rFonts w:eastAsia="Arial"/>
          <w:color w:val="auto"/>
          <w:szCs w:val="24"/>
        </w:rPr>
        <w:t>Ozurdex</w:t>
      </w:r>
      <w:proofErr w:type="spellEnd"/>
      <w:r w:rsidRPr="00610A40">
        <w:rPr>
          <w:rFonts w:eastAsia="Arial"/>
          <w:color w:val="auto"/>
          <w:szCs w:val="24"/>
        </w:rPr>
        <w:t xml:space="preserve">® are both biodegradable, dexamethasone (DEX)-eluting, suture-less implants manufactured by Allergan Inc. While both are PLGA matrices, </w:t>
      </w:r>
      <w:proofErr w:type="spellStart"/>
      <w:r w:rsidRPr="00610A40">
        <w:rPr>
          <w:rFonts w:eastAsia="Arial"/>
          <w:color w:val="auto"/>
          <w:szCs w:val="24"/>
        </w:rPr>
        <w:t>Surodex</w:t>
      </w:r>
      <w:proofErr w:type="spellEnd"/>
      <w:r w:rsidRPr="00610A40">
        <w:rPr>
          <w:rFonts w:eastAsia="Arial"/>
          <w:color w:val="auto"/>
          <w:szCs w:val="24"/>
        </w:rPr>
        <w:t xml:space="preserve"> contains </w:t>
      </w:r>
      <w:proofErr w:type="spellStart"/>
      <w:r w:rsidRPr="00610A40">
        <w:rPr>
          <w:rFonts w:eastAsia="Arial"/>
          <w:color w:val="auto"/>
          <w:szCs w:val="24"/>
        </w:rPr>
        <w:t>hydroxypropyl</w:t>
      </w:r>
      <w:proofErr w:type="spellEnd"/>
      <w:r w:rsidRPr="00610A40">
        <w:rPr>
          <w:rFonts w:eastAsia="Arial"/>
          <w:color w:val="auto"/>
          <w:szCs w:val="24"/>
        </w:rPr>
        <w:t xml:space="preserve"> methylcellulose.</w:t>
      </w:r>
      <w:r w:rsidRPr="00610A40">
        <w:rPr>
          <w:rFonts w:eastAsia="Arial"/>
          <w:b/>
          <w:color w:val="auto"/>
          <w:szCs w:val="24"/>
        </w:rPr>
        <w:t xml:space="preserve"> </w:t>
      </w:r>
      <w:proofErr w:type="spellStart"/>
      <w:r w:rsidR="00F317B1" w:rsidRPr="00610A40">
        <w:rPr>
          <w:rFonts w:eastAsia="Arial"/>
          <w:color w:val="auto"/>
          <w:szCs w:val="24"/>
        </w:rPr>
        <w:t>Surodex</w:t>
      </w:r>
      <w:proofErr w:type="spellEnd"/>
      <w:r w:rsidR="00F317B1" w:rsidRPr="00610A40">
        <w:rPr>
          <w:rFonts w:eastAsia="Arial"/>
          <w:color w:val="auto"/>
          <w:szCs w:val="24"/>
        </w:rPr>
        <w:t xml:space="preserve"> is a rod-shaped biodegradable implant that is 1.0 x 0.5 mm in size and has a drug release rate of 60 µg over 7 to 10 days</w:t>
      </w:r>
      <w:r w:rsidR="00F317B1"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"author" : [ { "dropping-particle" : "", "family" : "Mbbs", "given" : "Pranita Sahay", "non-dropping-particle" : "", "parse-names" : false, "suffix" : "" }, { "dropping-particle" : "", "family" : "Mbbs", "given" : "Devesh Kumawat", "non-dropping-particle" : "", "parse-names" : false, "suffix" : "" }, { "dropping-particle" : "", "family" : "Prasad", "given" : "Rajendra", "non-dropping-particle" : "", "parse-names" : false, "suffix" : "" }, { "dropping-particle" : "", "family" : "Sciences", "given" : "Ophthalmic", "non-dropping-particle" : "", "parse-names" : false, "suffix" : "" } ], "id" : "ITEM-1", "issued" : { "date-parts" : [ [ "1951" ] ] }, "page" : "67-69", "title" : "Evolving Trend of Drug Delivery System in Uveitis", "type" : "article-journal" }, "uris" : [ "http://www.mendeley.com/documents/?uuid=a5181049-bac1-457b-9c8d-2568a7c4c52b", "http://www.mendeley.com/documents/?uuid=9ed50bd8-f30f-4934-85d9-37d1b942cee7" ] } ], "mendeley" : { "formattedCitation" : "&lt;sup&gt;189&lt;/sup&gt;", "plainTextFormattedCitation" : "189", "previouslyFormattedCitation" : "&lt;sup&gt;188&lt;/sup&gt;" }, "properties" : { "noteIndex" : 0 }, "schema" : "https://github.com/citation-style-language/schema/raw/master/csl-citation.json" }</w:instrText>
      </w:r>
      <w:r w:rsidR="00F317B1" w:rsidRPr="00610A40">
        <w:rPr>
          <w:rFonts w:eastAsia="Arial"/>
          <w:color w:val="auto"/>
          <w:szCs w:val="24"/>
        </w:rPr>
        <w:fldChar w:fldCharType="separate"/>
      </w:r>
      <w:r w:rsidR="00565E2A" w:rsidRPr="00610A40">
        <w:rPr>
          <w:rFonts w:eastAsia="Arial"/>
          <w:noProof/>
          <w:color w:val="auto"/>
          <w:szCs w:val="24"/>
          <w:vertAlign w:val="superscript"/>
        </w:rPr>
        <w:t>189</w:t>
      </w:r>
      <w:r w:rsidR="00F317B1" w:rsidRPr="00610A40">
        <w:rPr>
          <w:rFonts w:eastAsia="Arial"/>
          <w:color w:val="auto"/>
          <w:szCs w:val="24"/>
        </w:rPr>
        <w:fldChar w:fldCharType="end"/>
      </w:r>
      <w:r w:rsidR="00F317B1" w:rsidRPr="00610A40">
        <w:rPr>
          <w:rFonts w:eastAsia="Arial"/>
          <w:color w:val="auto"/>
          <w:szCs w:val="24"/>
        </w:rPr>
        <w:t xml:space="preserve">. </w:t>
      </w:r>
      <w:proofErr w:type="spellStart"/>
      <w:r w:rsidRPr="00610A40">
        <w:rPr>
          <w:rFonts w:eastAsia="Arial"/>
          <w:color w:val="auto"/>
          <w:szCs w:val="24"/>
        </w:rPr>
        <w:t>Ozurdex</w:t>
      </w:r>
      <w:proofErr w:type="spellEnd"/>
      <w:r w:rsidRPr="00610A40">
        <w:rPr>
          <w:rFonts w:eastAsia="Arial"/>
          <w:color w:val="auto"/>
          <w:szCs w:val="24"/>
        </w:rPr>
        <w:t xml:space="preserve"> </w:t>
      </w:r>
      <w:r w:rsidR="00F317B1" w:rsidRPr="00610A40">
        <w:rPr>
          <w:rFonts w:eastAsia="Arial"/>
          <w:color w:val="auto"/>
          <w:szCs w:val="24"/>
        </w:rPr>
        <w:t xml:space="preserve">has </w:t>
      </w:r>
      <w:r w:rsidR="001F38D6" w:rsidRPr="00610A40">
        <w:rPr>
          <w:rFonts w:eastAsia="Arial"/>
          <w:color w:val="auto"/>
          <w:szCs w:val="24"/>
        </w:rPr>
        <w:t xml:space="preserve">a </w:t>
      </w:r>
      <w:r w:rsidRPr="00610A40">
        <w:rPr>
          <w:rFonts w:eastAsia="Arial"/>
          <w:color w:val="auto"/>
          <w:szCs w:val="24"/>
        </w:rPr>
        <w:t xml:space="preserve">ten times higher drug loading </w:t>
      </w:r>
      <w:r w:rsidR="005A5F45" w:rsidRPr="00610A40">
        <w:rPr>
          <w:rFonts w:eastAsia="Arial"/>
          <w:color w:val="auto"/>
          <w:szCs w:val="24"/>
        </w:rPr>
        <w:t xml:space="preserve">of </w:t>
      </w:r>
      <w:r w:rsidRPr="00610A40">
        <w:rPr>
          <w:rFonts w:eastAsia="Arial"/>
          <w:color w:val="auto"/>
          <w:szCs w:val="24"/>
        </w:rPr>
        <w:t xml:space="preserve">700µg, </w:t>
      </w:r>
      <w:r w:rsidR="00F317B1" w:rsidRPr="00610A40">
        <w:rPr>
          <w:rFonts w:eastAsia="Arial"/>
          <w:color w:val="auto"/>
          <w:szCs w:val="24"/>
        </w:rPr>
        <w:t xml:space="preserve">and therefore </w:t>
      </w:r>
      <w:r w:rsidRPr="00610A40">
        <w:rPr>
          <w:rFonts w:eastAsia="Arial"/>
          <w:color w:val="auto"/>
          <w:szCs w:val="24"/>
        </w:rPr>
        <w:t>displays a much longer delivery window (6 m</w:t>
      </w:r>
      <w:r w:rsidR="009D0786" w:rsidRPr="00610A40">
        <w:rPr>
          <w:rFonts w:eastAsia="Arial"/>
          <w:color w:val="auto"/>
          <w:szCs w:val="24"/>
        </w:rPr>
        <w:t>onths)</w:t>
      </w:r>
      <w:r w:rsidR="009D0786"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"10.1007/s11095-010-0159-x", "ISSN" : "0724-8741", "author" : [ { "dropping-particle" : "", "family" : "Lee", "given" : "Susan S.", "non-dropping-particle" : "", "parse-names" : false, "suffix" : "" }, { "dropping-particle" : "", "family" : "Hughes", "given" : "Patrick", "non-dropping-particle" : "", "parse-names" : false, "suffix" : "" }, { "dropping-particle" : "", "family" : "Ross", "given" : "Aron D.", "non-dropping-particle" : "", "parse-names" : false, "suffix" : "" }, { "dropping-particle" : "", "family" : "Robinson", "given" : "Michael R.", "non-dropping-particle" : "", "parse-names" : false, "suffix" : "" } ], "container-title" : "Pharmaceutical Research", "id" : "ITEM-1", "issue" : "10", "issued" : { "date-parts" : [ [ "2010" ] ] }, "page" : "2043-2053", "title" : "Biodegradable Implants for Sustained Drug Release in the Eye", "type" : "article-journal", "volume" : "27" }, "uris" : [ "http://www.mendeley.com/documents/?uuid=14e82c89-dc16-4700-80d2-3c55036a82a1", "http://www.mendeley.com/documents/?uuid=d4c576a9-bcef-46c3-8235-330954dc76bf" ] } ], "mendeley" : { "formattedCitation" : "&lt;sup&gt;190&lt;/sup&gt;", "plainTextFormattedCitation" : "190", "previouslyFormattedCitation" : "&lt;sup&gt;189&lt;/sup&gt;" }, "properties" : { "noteIndex" : 0 }, "schema" : "https://github.com/citation-style-language/schema/raw/master/csl-citation.json" }</w:instrText>
      </w:r>
      <w:r w:rsidR="009D0786" w:rsidRPr="00610A40">
        <w:rPr>
          <w:rFonts w:eastAsia="Arial"/>
          <w:color w:val="auto"/>
          <w:szCs w:val="24"/>
        </w:rPr>
        <w:fldChar w:fldCharType="separate"/>
      </w:r>
      <w:r w:rsidR="00565E2A" w:rsidRPr="00610A40">
        <w:rPr>
          <w:rFonts w:eastAsia="Arial"/>
          <w:noProof/>
          <w:color w:val="auto"/>
          <w:szCs w:val="24"/>
          <w:vertAlign w:val="superscript"/>
        </w:rPr>
        <w:t>190</w:t>
      </w:r>
      <w:r w:rsidR="009D0786" w:rsidRPr="00610A40">
        <w:rPr>
          <w:rFonts w:eastAsia="Arial"/>
          <w:color w:val="auto"/>
          <w:szCs w:val="24"/>
        </w:rPr>
        <w:fldChar w:fldCharType="end"/>
      </w:r>
      <w:r w:rsidRPr="00610A40">
        <w:rPr>
          <w:rFonts w:eastAsia="Arial"/>
          <w:color w:val="auto"/>
          <w:szCs w:val="24"/>
        </w:rPr>
        <w:t xml:space="preserve">. In addition, </w:t>
      </w:r>
      <w:proofErr w:type="spellStart"/>
      <w:r w:rsidRPr="00610A40">
        <w:rPr>
          <w:rFonts w:eastAsia="Arial"/>
          <w:color w:val="auto"/>
          <w:szCs w:val="24"/>
        </w:rPr>
        <w:t>Ozurdex</w:t>
      </w:r>
      <w:proofErr w:type="spellEnd"/>
      <w:r w:rsidRPr="00610A40">
        <w:rPr>
          <w:rFonts w:eastAsia="Arial"/>
          <w:color w:val="auto"/>
          <w:szCs w:val="24"/>
        </w:rPr>
        <w:t xml:space="preserve"> releases DEX in a biphasic manner whereby high dosage occurs in the first two months and lower dosage occurs for the next four months. </w:t>
      </w:r>
      <w:proofErr w:type="spellStart"/>
      <w:r w:rsidR="00F317B1" w:rsidRPr="00610A40">
        <w:rPr>
          <w:rFonts w:eastAsia="Arial"/>
          <w:color w:val="auto"/>
          <w:szCs w:val="24"/>
        </w:rPr>
        <w:t>Ozurdex</w:t>
      </w:r>
      <w:proofErr w:type="spellEnd"/>
      <w:r w:rsidR="00F317B1" w:rsidRPr="00610A40">
        <w:rPr>
          <w:rFonts w:eastAsia="Arial"/>
          <w:color w:val="auto"/>
          <w:szCs w:val="24"/>
        </w:rPr>
        <w:t xml:space="preserve"> is also a rod-shaped implant that has be</w:t>
      </w:r>
      <w:r w:rsidR="001F38D6" w:rsidRPr="00610A40">
        <w:rPr>
          <w:rFonts w:eastAsia="Arial"/>
          <w:color w:val="auto"/>
          <w:szCs w:val="24"/>
        </w:rPr>
        <w:t>en</w:t>
      </w:r>
      <w:r w:rsidR="00F317B1" w:rsidRPr="00610A40">
        <w:rPr>
          <w:rFonts w:eastAsia="Arial"/>
          <w:color w:val="auto"/>
          <w:szCs w:val="24"/>
        </w:rPr>
        <w:t xml:space="preserve"> preloaded into a 22-gauge needle injector system for implantation via a single injection procedure (non-surgical)</w:t>
      </w:r>
      <w:r w:rsidR="00F317B1"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"author" : [ { "dropping-particle" : "", "family" : "Mbbs", "given" : "Pranita Sahay", "non-dropping-particle" : "", "parse-names" : false, "suffix" : "" }, { "dropping-particle" : "", "family" : "Mbbs", "given" : "Devesh Kumawat", "non-dropping-particle" : "", "parse-names" : false, "suffix" : "" }, { "dropping-particle" : "", "family" : "Prasad", "given" : "Rajendra", "non-dropping-particle" : "", "parse-names" : false, "suffix" : "" }, { "dropping-particle" : "", "family" : "Sciences", "given" : "Ophthalmic", "non-dropping-particle" : "", "parse-names" : false, "suffix" : "" } ], "id" : "ITEM-1", "issued" : { "date-parts" : [ [ "1951" ] ] }, "page" : "67-69", "title" : "Evolving Trend of Drug Delivery System in Uveitis", "type" : "article-journal" }, "uris" : [ "http://www.mendeley.com/documents/?uuid=9ed50bd8-f30f-4934-85d9-37d1b942cee7", "http://www.mendeley.com/documents/?uuid=a5181049-bac1-457b-9c8d-2568a7c4c52b" ] } ], "mendeley" : { "formattedCitation" : "&lt;sup&gt;189&lt;/sup&gt;", "plainTextFormattedCitation" : "189", "previouslyFormattedCitation" : "&lt;sup&gt;188&lt;/sup&gt;" }, "properties" : { "noteIndex" : 0 }, "schema" : "https://github.com/citation-style-language/schema/raw/master/csl-citation.json" }</w:instrText>
      </w:r>
      <w:r w:rsidR="00F317B1" w:rsidRPr="00610A40">
        <w:rPr>
          <w:rFonts w:eastAsia="Arial"/>
          <w:color w:val="auto"/>
          <w:szCs w:val="24"/>
        </w:rPr>
        <w:fldChar w:fldCharType="separate"/>
      </w:r>
      <w:r w:rsidR="00565E2A" w:rsidRPr="00610A40">
        <w:rPr>
          <w:rFonts w:eastAsia="Arial"/>
          <w:noProof/>
          <w:color w:val="auto"/>
          <w:szCs w:val="24"/>
          <w:vertAlign w:val="superscript"/>
        </w:rPr>
        <w:t>189</w:t>
      </w:r>
      <w:r w:rsidR="00F317B1" w:rsidRPr="00610A40">
        <w:rPr>
          <w:rFonts w:eastAsia="Arial"/>
          <w:color w:val="auto"/>
          <w:szCs w:val="24"/>
        </w:rPr>
        <w:fldChar w:fldCharType="end"/>
      </w:r>
      <w:r w:rsidR="00F317B1" w:rsidRPr="00610A40">
        <w:rPr>
          <w:rFonts w:eastAsia="Arial"/>
          <w:color w:val="auto"/>
          <w:szCs w:val="24"/>
        </w:rPr>
        <w:t xml:space="preserve">. </w:t>
      </w:r>
      <w:proofErr w:type="spellStart"/>
      <w:r w:rsidRPr="00610A40">
        <w:rPr>
          <w:rFonts w:eastAsia="Arial"/>
          <w:color w:val="auto"/>
          <w:szCs w:val="24"/>
        </w:rPr>
        <w:t>Surodex</w:t>
      </w:r>
      <w:proofErr w:type="spellEnd"/>
      <w:r w:rsidRPr="00610A40">
        <w:rPr>
          <w:rFonts w:eastAsia="Arial"/>
          <w:color w:val="auto"/>
          <w:szCs w:val="24"/>
        </w:rPr>
        <w:t xml:space="preserve"> has completed phase 3 clinical trials in the US and is </w:t>
      </w:r>
      <w:r w:rsidR="00F317B1" w:rsidRPr="00610A40">
        <w:rPr>
          <w:rFonts w:eastAsia="Arial"/>
          <w:color w:val="auto"/>
          <w:szCs w:val="24"/>
        </w:rPr>
        <w:t xml:space="preserve">indicated for </w:t>
      </w:r>
      <w:r w:rsidRPr="00610A40">
        <w:rPr>
          <w:rFonts w:eastAsia="Arial"/>
          <w:color w:val="auto"/>
          <w:szCs w:val="24"/>
        </w:rPr>
        <w:t>use</w:t>
      </w:r>
      <w:r w:rsidR="00F317B1" w:rsidRPr="00610A40">
        <w:rPr>
          <w:rFonts w:eastAsia="Arial"/>
          <w:color w:val="auto"/>
          <w:szCs w:val="24"/>
        </w:rPr>
        <w:t xml:space="preserve"> in the</w:t>
      </w:r>
      <w:r w:rsidRPr="00610A40">
        <w:rPr>
          <w:rFonts w:eastAsia="Arial"/>
          <w:color w:val="auto"/>
          <w:szCs w:val="24"/>
        </w:rPr>
        <w:t xml:space="preserve"> control </w:t>
      </w:r>
      <w:r w:rsidR="00F317B1" w:rsidRPr="00610A40">
        <w:rPr>
          <w:rFonts w:eastAsia="Arial"/>
          <w:color w:val="auto"/>
          <w:szCs w:val="24"/>
        </w:rPr>
        <w:t xml:space="preserve">of </w:t>
      </w:r>
      <w:r w:rsidRPr="00610A40">
        <w:rPr>
          <w:rFonts w:eastAsia="Arial"/>
          <w:color w:val="auto"/>
          <w:szCs w:val="24"/>
        </w:rPr>
        <w:t>post-cataract surgery</w:t>
      </w:r>
      <w:r w:rsidR="00F317B1" w:rsidRPr="00610A40">
        <w:rPr>
          <w:rFonts w:eastAsia="Arial"/>
          <w:color w:val="auto"/>
          <w:szCs w:val="24"/>
        </w:rPr>
        <w:t xml:space="preserve"> inflammation</w:t>
      </w:r>
      <w:r w:rsidRPr="00610A40">
        <w:rPr>
          <w:rFonts w:eastAsia="Arial"/>
          <w:color w:val="auto"/>
          <w:szCs w:val="24"/>
        </w:rPr>
        <w:t xml:space="preserve">. It is approved in Mexico, China and Singapore. </w:t>
      </w:r>
      <w:proofErr w:type="spellStart"/>
      <w:r w:rsidRPr="00610A40">
        <w:rPr>
          <w:rFonts w:eastAsia="Arial"/>
          <w:color w:val="auto"/>
          <w:szCs w:val="24"/>
        </w:rPr>
        <w:t>Ozurdex</w:t>
      </w:r>
      <w:proofErr w:type="spellEnd"/>
      <w:r w:rsidRPr="00610A40">
        <w:rPr>
          <w:rFonts w:eastAsia="Arial"/>
          <w:color w:val="auto"/>
          <w:szCs w:val="24"/>
        </w:rPr>
        <w:t xml:space="preserve"> is already FDA</w:t>
      </w:r>
      <w:r w:rsidR="009D0786" w:rsidRPr="00610A40">
        <w:rPr>
          <w:rFonts w:eastAsia="Arial"/>
          <w:color w:val="auto"/>
          <w:szCs w:val="24"/>
        </w:rPr>
        <w:t>-approved to treat macular edema</w:t>
      </w:r>
      <w:r w:rsidR="009D0786"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"http://dx.doi.org/10.1016/j.ophtha.2010.03.032", "ISSN" : "0161-6420", "abstract" : "To evaluate the safety and efficacy of dexamethasone intravitreal implant (DEX implant; OZURDEX, Allergan, Inc., Irvine, CA) compared with sham in eyes with vision loss due to macular edema (ME) associated with branch retinal vein occlusion (BRVO) or central retinal vein occlusion (CRVO). Two identical, multicenter, masked, randomized, 6-month, sham-controlled clinical trials (each of which included patients with BRVO and patients with CRVO). A total of 1267 patients with vision loss due to ME associated with BRVO or CRVO. A single treatment with DEX implant 0.7 mg (n = 427), DEX implant 0.35 mg (n = 414), or sham (n = 426). The primary outcome measure for the pooled data from the 2 studies was time to achieve a \u226515-letter improvement in best-corrected visual acuity (BCVA). Secondary end points included BCVA, central retinal thickness, and safety. After a single administration, the time to achieve a \u226515-letter improvement in BCVA was significantly less in both DEX implant groups compared with sham (P&lt;0.001). The percentage of eyes with a \u226515-letter improvement in BCVA was significantly higher in both DEX implant groups compared with sham at days 30 to 90 (P&lt;0.001). The percentage of eyes with a \u226515-letter loss in BCVA was significantly lower in the DEX implant 0.7-mg group compared with sham at all follow-up visits (P\u22640.036). Improvement in mean BCVA was greater in both DEX implant groups compared with sham at all follow-up visits (P\u22640.006). Improvements in BCVA with DEX implant were seen in patients with BRVO and patients with CRVO, although the patterns of response differed. The percentage of DEX implant-treated eyes with intraocular pressure (IOP) of \u226525 mmHg peaked at 16% at day 60 (both doses) and was not different from sham by day 180. There was no significant between-group difference in the occurrence of cataract or cataract surgery. Dexamethasone intravitreal implant can both reduce the risk of vision loss and improve the speed and incidence of visual improvement in eyes with ME secondary to BRVO or CRVO and may be a useful therapeutic option for eyes with these conditions. Proprietary or commercial disclosure may be found after the references.", "author" : [ { "dropping-particle" : "", "family" : "Haller", "given" : "Julia A", "non-dropping-particle" : "", "parse-names" : false, "suffix" : "" }, { "dropping-particle" : "", "family" : "Bandello", "given" : "Francesco", "non-dropping-particle" : "", "parse-names" : false, "suffix" : "" }, { "dropping-particle" : "", "family" : "Belfort", "given" : "Rubens", "non-dropping-particle" : "", "parse-names" : false, "suffix" : "" }, { "dropping-particle" : "", "family" : "Blumenkranz", "given" : "Mark S", "non-dropping-particle" : "", "parse-names" : false, "suffix" : "" }, { "dropping-particle" : "", "family" : "Gillies", "given" : "Mark", "non-dropping-particle" : "", "parse-names" : false, "suffix" : "" }, { "dropping-particle" : "", "family" : "Heier", "given" : "Jeffrey", "non-dropping-particle" : "", "parse-names" : false, "suffix" : "" }, { "dropping-particle" : "", "family" : "Loewenstein", "given" : "Anat", "non-dropping-particle" : "", "parse-names" : false, "suffix" : "" }, { "dropping-particle" : "", "family" : "Yoon", "given" : "Young-Hee", "non-dropping-particle" : "", "parse-names" : false, "suffix" : "" }, { "dropping-particle" : "", "family" : "Jacques", "given" : "Marie-Louise", "non-dropping-particle" : "", "parse-names" : false, "suffix" : "" }, { "dropping-particle" : "", "family" : "Jiao", "given" : "Jenny", "non-dropping-particle" : "", "parse-names" : false, "suffix" : "" }, { "dropping-particle" : "", "family" : "Li", "given" : "Xiao-Yan", "non-dropping-particle" : "", "parse-names" : false, "suffix" : "" }, { "dropping-particle" : "", "family" : "Whitcup", "given" : "Scott M", "non-dropping-particle" : "", "parse-names" : false, "suffix" : "" } ], "container-title" : "Ophthalmology", "id" : "ITEM-1", "issue" : "6", "issued" : { "date-parts" : [ [ "2010" ] ] }, "page" : "1134-1146.e3", "title" : "Randomized, Sham-Controlled Trial of Dexamethasone Intravitreal Implant in Patients with Macular Edema Due to Retinal Vein Occlusion", "type" : "article-journal", "volume" : "117" }, "uris" : [ "http://www.mendeley.com/documents/?uuid=5aefbc8a-cd67-4ffa-a12b-60974e08c261", "http://www.mendeley.com/documents/?uuid=fd0c98be-98ab-4025-8477-d05a24db4cdc" ] } ], "mendeley" : { "formattedCitation" : "&lt;sup&gt;191&lt;/sup&gt;", "plainTextFormattedCitation" : "191", "previouslyFormattedCitation" : "&lt;sup&gt;190&lt;/sup&gt;" }, "properties" : { "noteIndex" : 0 }, "schema" : "https://github.com/citation-style-language/schema/raw/master/csl-citation.json" }</w:instrText>
      </w:r>
      <w:r w:rsidR="009D0786" w:rsidRPr="00610A40">
        <w:rPr>
          <w:rFonts w:eastAsia="Arial"/>
          <w:color w:val="auto"/>
          <w:szCs w:val="24"/>
        </w:rPr>
        <w:fldChar w:fldCharType="separate"/>
      </w:r>
      <w:r w:rsidR="00565E2A" w:rsidRPr="00610A40">
        <w:rPr>
          <w:rFonts w:eastAsia="Arial"/>
          <w:noProof/>
          <w:color w:val="auto"/>
          <w:szCs w:val="24"/>
          <w:vertAlign w:val="superscript"/>
        </w:rPr>
        <w:t>191</w:t>
      </w:r>
      <w:r w:rsidR="009D0786" w:rsidRPr="00610A40">
        <w:rPr>
          <w:rFonts w:eastAsia="Arial"/>
          <w:color w:val="auto"/>
          <w:szCs w:val="24"/>
        </w:rPr>
        <w:fldChar w:fldCharType="end"/>
      </w:r>
      <w:r w:rsidR="009D0786" w:rsidRPr="00610A40">
        <w:rPr>
          <w:rFonts w:eastAsia="Arial"/>
          <w:color w:val="auto"/>
          <w:szCs w:val="24"/>
        </w:rPr>
        <w:t xml:space="preserve"> </w:t>
      </w:r>
      <w:r w:rsidRPr="00610A40">
        <w:rPr>
          <w:rFonts w:eastAsia="Arial"/>
          <w:color w:val="auto"/>
          <w:szCs w:val="24"/>
        </w:rPr>
        <w:t>and uveitis.</w:t>
      </w:r>
      <w:r w:rsidR="00F317B1" w:rsidRPr="00610A40">
        <w:rPr>
          <w:rFonts w:eastAsia="Arial"/>
          <w:color w:val="auto"/>
          <w:szCs w:val="24"/>
        </w:rPr>
        <w:t xml:space="preserve"> </w:t>
      </w:r>
    </w:p>
    <w:p w14:paraId="73D88C5D" w14:textId="77777777" w:rsidR="00E6012F" w:rsidRPr="00610A40" w:rsidRDefault="00E6012F" w:rsidP="00EB7D51">
      <w:pPr>
        <w:rPr>
          <w:rFonts w:eastAsia="Arial"/>
          <w:color w:val="auto"/>
          <w:szCs w:val="24"/>
        </w:rPr>
      </w:pPr>
    </w:p>
    <w:p w14:paraId="558DC71E" w14:textId="7683C83F" w:rsidR="00E6012F" w:rsidRPr="00610A40" w:rsidRDefault="00E6012F" w:rsidP="00EB7D51">
      <w:pPr>
        <w:rPr>
          <w:rFonts w:eastAsia="Arial"/>
          <w:color w:val="auto"/>
          <w:szCs w:val="24"/>
        </w:rPr>
      </w:pPr>
      <w:r w:rsidRPr="00610A40">
        <w:rPr>
          <w:rFonts w:eastAsia="Arial"/>
          <w:color w:val="auto"/>
          <w:szCs w:val="24"/>
        </w:rPr>
        <w:t>Both these devices have been well researched for numerous e</w:t>
      </w:r>
      <w:r w:rsidR="007C2D95" w:rsidRPr="00610A40">
        <w:rPr>
          <w:rFonts w:eastAsia="Arial"/>
          <w:color w:val="auto"/>
          <w:szCs w:val="24"/>
        </w:rPr>
        <w:t>ye conditions including uveitis</w:t>
      </w:r>
      <w:r w:rsidR="007C2D95"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"ISSN" : "1552-5783", "abstract" : "Abstract Purpose:\nTo audit the characteristics, clinical outcomes and treatment patterns of intravitreal dexamethasone implant (Ozurdex\u00ae) in Uveitis. Methods:\nRetrospective, observational, multicenter study in 4 european hospitals (2 United Kingdom, 2 Spain). Indication, uveitis type, diagnosis, visual acuity (VA), intraocular pressure (IOP), phakic status, number of injections, time to reinjection and complications rate were collected. Results:\nEighty-two eyes (63 patients, mean age 47.4, female:male ratio 2.8:1) received 139 Ozurdex injections in a 32 months period (November 2010-July 2013). Mean number of injections was 1.6\u00b10.8 (mean\u00b1standard deviation) with a mean follow up of 15.4\u00b19.8 months. Single injection was performed in 52.4% of cases, 30.4% required 2 injections, and 17.0% \u22653 injections. Cystoid macular oedema (CMO) (60.9%), vitritis (25.6%), and combined CMO+vitritis (10.9%) were the most common indications. Most frequent anatomical locations were intermediate uveitis (37.8%), posterior uveitis (23.1%) and panuveitis (21.9%), and most frequent diagnosis were undifferentiated (45.1%), Birdshot chorioretinopathy (14.6%), sarcoidosis (7.3%) and multiple sclerosis (7.3%). Baseline VA and vitreous haze score (VHS) was 0.71\u00b10.4 and 0.66\u00b10.8, at 1st month was 0.53\u00b10.4 and 0.14\u00b10.4, 3rd month 0.49\u00b10.4 and 0.21\u00b10.4, 6th month 0.60\u00b10.5 and 0.27\u00b10.5 and 12 months 0.54\u00b10.5 and 0.15\u00b10.3 respectively. Raised IOP (\u226521 mmHg) was observed in 45.8% of the cases and 44.9% required treatment during the follow up period. The percentage of pseudophakic patients increased from 51.2% at baseline to 56.1% at final follow up. There were 2 cases of implant dislocation to the anterior chamber and one case of endophthalmitis. No cases of retinal detachment were observed. Conclusions:\nThe use of Ozurdex in uveitis provides good outcomes with regards to VA and VHS measurements but requires repeated injections, with risk of postoperative complications. The reinjection frequency has to be considered during choice of intraocular steroid treatments.", "author" : [ { "dropping-particle" : "", "family" : "Johnston", "given" : "Robert", "non-dropping-particle" : "", "parse-names" : false, "suffix" : "" }, { "dropping-particle" : "", "family" : "Zarranz-Ventura", "given" : "Javier", "non-dropping-particle" : "", "parse-names" : false, "suffix" : "" }, { "dropping-particle" : "", "family" : "Carreno", "given" : "Ester", "non-dropping-particle" : "", "parse-names" : false, "suffix" : "" }, { "dropping-particle" : "", "family" : "Ross", "given" : "Adam", "non-dropping-particle" : "", "parse-names" : false, "suffix" : "" }, { "dropping-particle" : "", "family" : "Fonollosa", "given" : "Alex", "non-dropping-particle" : "", "parse-names" : false, "suffix" : "" }, { "dropping-particle" : "", "family" : "Pelegrin", "given" : "Laura", "non-dropping-particle" : "", "parse-names" : false, "suffix" : "" }, { "dropping-particle" : "", "family" : "Adan Civera", "given" : "Alfredo", "non-dropping-particle" : "", "parse-names" : false, "suffix" : "" }, { "dropping-particle" : "", "family" : "Lee", "given" : "Richard W J", "non-dropping-particle" : "", "parse-names" : false, "suffix" : "" }, { "dropping-particle" : "", "family" : "Dick", "given" : "Andrew D", "non-dropping-particle" : "", "parse-names" : false, "suffix" : "" }, { "dropping-particle" : "", "family" : "Sallam", "given" : "Ahmed A I", "non-dropping-particle" : "", "parse-names" : false, "suffix" : "" } ], "container-title" : "Investigative Ophthalmology &amp; Visual Science", "id" : "ITEM-1", "issue" : "13", "issued" : { "date-parts" : [ [ "2014", "4", "30" ] ] }, "page" : "5806", "title" : "Real-world observational multicenter study of intravitreal dexamethasone implant (Ozurdex\u00ae) in Uveitis: Baseline characteristics, clinical outcomes and reinjection frequency", "type" : "article-journal", "volume" : "55" }, "uris" : [ "http://www.mendeley.com/documents/?uuid=7879d3bb-482b-466a-9288-62d773d7ae73", "http://www.mendeley.com/documents/?uuid=bf0feecb-acb9-4a98-af82-ed7d598147e5" ] }, { "id" : "ITEM-2", "itemData" : { "DOI" : "10.1089/jop.2012.0180", "ISSN" : "1080-7683", "author" : [ { "dropping-particle" : "", "family" : "Arcinue", "given" : "Cheryl A", "non-dropping-particle" : "", "parse-names" : false, "suffix" : "" }, { "dropping-particle" : "", "family" : "Cer\u00f3n", "given" : "Olga M", "non-dropping-particle" : "", "parse-names" : false, "suffix" : "" }, { "dropping-particle" : "", "family" : "Foster", "given" : "C Stephen", "non-dropping-particle" : "", "parse-names" : false, "suffix" : "" } ], "container-title" : "Journal of Ocular Pharmacology and Therapeutics", "id" : "ITEM-2", "issue" : "5", "issued" : { "date-parts" : [ [ "2013", "1", "8" ] ] }, "note" : "doi: 10.1089/jop.2012.0180", "page" : "501-507", "publisher" : "Mary Ann Liebert, Inc., publishers", "title" : "A Comparison Between the Fluocinolone Acetonide (Retisert) and Dexamethasone (Ozurdex) Intravitreal Implants in Uveitis", "type" : "article-journal", "volume" : "29" }, "uris" : [ "http://www.mendeley.com/documents/?uuid=d08dc085-650b-4d9c-8d96-f3c49c7a8daf", "http://www.mendeley.com/documents/?uuid=d2372fbf-9b46-4e13-9579-658341e6e8b9" ] } ], "mendeley" : { "formattedCitation" : "&lt;sup&gt;192,193&lt;/sup&gt;", "plainTextFormattedCitation" : "192,193", "previouslyFormattedCitation" : "&lt;sup&gt;191,192&lt;/sup&gt;" }, "properties" : { "noteIndex" : 0 }, "schema" : "https://github.com/citation-style-language/schema/raw/master/csl-citation.json" }</w:instrText>
      </w:r>
      <w:r w:rsidR="007C2D95" w:rsidRPr="00610A40">
        <w:rPr>
          <w:rFonts w:eastAsia="Arial"/>
          <w:color w:val="auto"/>
          <w:szCs w:val="24"/>
        </w:rPr>
        <w:fldChar w:fldCharType="separate"/>
      </w:r>
      <w:r w:rsidR="00565E2A" w:rsidRPr="00610A40">
        <w:rPr>
          <w:rFonts w:eastAsia="Arial"/>
          <w:noProof/>
          <w:color w:val="auto"/>
          <w:szCs w:val="24"/>
          <w:vertAlign w:val="superscript"/>
        </w:rPr>
        <w:t>192,193</w:t>
      </w:r>
      <w:r w:rsidR="007C2D95" w:rsidRPr="00610A40">
        <w:rPr>
          <w:rFonts w:eastAsia="Arial"/>
          <w:color w:val="auto"/>
          <w:szCs w:val="24"/>
        </w:rPr>
        <w:fldChar w:fldCharType="end"/>
      </w:r>
      <w:r w:rsidR="007C2D95" w:rsidRPr="00610A40">
        <w:rPr>
          <w:rFonts w:eastAsia="Arial"/>
          <w:color w:val="auto"/>
          <w:szCs w:val="24"/>
        </w:rPr>
        <w:t>, macular edema (ME)</w:t>
      </w:r>
      <w:r w:rsidR="007C2D95"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"ISSN" : "0275-004X", "abstract" : "Purpose: Evaluation of safety and performance of an applicator-inserted dexamethasone drug delivery system. Methods: Patients with clinically observable macular edema were randomized to receive 700 \u03bcg dexamethasone drug delivery system via a pars plana incisional placement (n = 10) or a 22-gauge applicator insertion (n = 20). Outcome measures included assessment of procedure duration, the postinsertion wound, adverse events, intraocular pressure, and best-corrected visual acuity at baseline and days 1, 7, 14, 30, 60, 90, and 180. Results: Both procedures were well tolerated and none of the patients in the applicator group required sutures to close the insertion wound. The overall incidence of ocular adverse events was less in the applicator group (13/19; 68.4%) than the incisional group (9/10; 90%), although the difference was not statistically significant in this pilot study. Vitreous hemorrhage occurred in two patients in the incisional group and none in the applicator group. Increases in intraocular pressure were less frequent in the applicator group (3/19; 15.8%) than the incisional group (3/10; 30%). No cases of endophthalmitis or retinal detachment occurred in either group. The percentage of patients achieving improvement in visual acuity of \u226515-letters at Day 90 was similar in both groups; 40% (8/20) in the applicator group and 30% (3/10) in the incisional group. Conclusion: The dexamethasone drug delivery system applicator system performed well, allowing safe, effective, and sutureless intravitreal placement of 700 \u03bcg dexamethasone drug delivery system.", "author" : [ { "dropping-particle" : "", "family" : "Haller", "given" : "Julia A.", "non-dropping-particle" : "", "parse-names" : false, "suffix" : "" }, { "dropping-particle" : "", "family" : "Dugel", "given" : "Pravin", "non-dropping-particle" : "", "parse-names" : false, "suffix" : "" }, { "dropping-particle" : "V.", "family" : "Weinberg", "given" : "David", "non-dropping-particle" : "", "parse-names" : false, "suffix" : "" }, { "dropping-particle" : "", "family" : "Chou", "given" : "Connie", "non-dropping-particle" : "", "parse-names" : false, "suffix" : "" }, { "dropping-particle" : "", "family" : "Whitcup", "given" : "Scott M.", "non-dropping-particle" : "", "parse-names" : false, "suffix" : "" } ], "container-title" : "Retina", "id" : "ITEM-1", "issue" : "1", "issued" : { "date-parts" : [ [ "2009" ] ] }, "title" : "Evaluation of the safety and performance of an applicator for a novel intravitreal dexamethasone drug delivery system for the treatment of macular edema.", "type" : "article-journal", "volume" : "29" }, "uris" : [ "http://www.mendeley.com/documents/?uuid=eef6ca20-1f91-4ab1-b8cc-0f1a8377a46b", "http://www.mendeley.com/documents/?uuid=b55c9dc4-f4f6-4a42-bb0b-8a4c4ccb2356" ] }, { "id" : "ITEM-2", "itemData" : { "DOI" : "http://dx.doi.org/10.1016/j.ophtha.2014.04.024", "ISSN" : "0161-6420", "abstract" : "To evaluate the safety and efficacy of dexamethasone intravitreal implant (Ozurdex, DEX implant) 0.7 and 0.35 mg in the treatment of patients with diabetic macular edema (DME). Two randomized, multicenter, masked, sham-controlled, phase III clinical trials with identical protocols were conducted. Data were pooled for analysis. Patients (n = 1048) with DME, best-corrected visual acuity (BCVA) of 20/50 to 20/200 Snellen equivalent, and central retinal thickness (CRT) of \u2265300 \u03bcm by optical coherence tomography. Patients were randomized in a 1:1:1 ratio to study treatment with DEX implant 0.7 mg, DEX implant 0.35 mg, or sham procedure and followed for 3 years (or 39 months for patients treated at month 36) at \u226440 scheduled visits. Patients who met retreatment eligibility criteria could be retreated no more often than every 6 months. The predefined primary efficacy endpoint for the United States Food and Drug Administration was achievement of \u226515-letter improvement in BCVA from baseline at study end. Safety measures included adverse events and intraocular pressure (IOP). Mean number of treatments received over 3 years was 4.1, 4.4, and 3.3 with DEX implant 0.7 mg, DEX implant 0.35 mg, and sham, respectively. The percentage of patients with \u226515-letter improvement in BCVA from baseline at study end was greater with DEX implant 0.7 mg (22.2%) and DEX implant 0.35 mg (18.4%) than sham (12.0%; P \u2264 0.018). Mean average reduction in CRT from baseline was greater with DEX implant 0.7 mg (\u2212111.6 \u03bcm) and DEX implant 0.35 mg (\u2212107.9 \u03bcm) than sham (\u221241.9 \u03bcm; P &lt; 0.001). Rates of cataract-related adverse events in phakic eyes were 67.9%, 64.1%, and 20.4% in the DEX implant 0.7 mg, DEX implant 0.35 mg, and sham groups, respectively. Increases in IOP were usually controlled with medication or no therapy; only 2 patients (0.6%) in the DEX implant 0.7 mg group and 1 (0.3%) in the DEX implant 0.35 mg group required trabeculectomy. The DEX implant 0.7 mg and 0.35 mg met the primary efficacy endpoint for improvement in BCVA. The safety profile was acceptable and consistent with previous reports.", "author" : [ { "dropping-particle" : "", "family" : "Boyer", "given" : "David S", "non-dropping-particle" : "", "parse-names" : false, "suffix" : "" }, { "dropping-particle" : "", "family" : "Yoon", "given" : "Young Hee", "non-dropping-particle" : "", "parse-names" : false, "suffix" : "" }, { "dropping-particle" : "", "family" : "Belfort", "given" : "Rubens", "non-dropping-particle" : "", "parse-names" : false, "suffix" : "" }, { "dropping-particle" : "", "family" : "Bandello", "given" : "Francesco", "non-dropping-particle" : "", "parse-names" : false, "suffix" : "" }, { "dropping-particle" : "", "family" : "Maturi", "given" : "Raj K", "non-dropping-particle" : "", "parse-names" : false, "suffix" : "" }, { "dropping-particle" : "", "family" : "Augustin", "given" : "Albert J", "non-dropping-particle" : "", "parse-names" : false, "suffix" : "" }, { "dropping-particle" : "", "family" : "Li", "given" : "Xiao-Yan", "non-dropping-particle" : "", "parse-names" : false, "suffix" : "" }, { "dropping-particle" : "", "family" : "Cui", "given" : "Harry", "non-dropping-particle" : "", "parse-names" : false, "suffix" : "" }, { "dropping-particle" : "", "family" : "Hashad", "given" : "Yehia", "non-dropping-particle" : "", "parse-names" : false, "suffix" : "" }, { "dropping-particle" : "", "family" : "Whitcup", "given" : "Scott M", "non-dropping-particle" : "", "parse-names" : false, "suffix" : "" } ], "container-title" : "Ophthalmology", "id" : "ITEM-2", "issue" : "10", "issued" : { "date-parts" : [ [ "2014" ] ] }, "page" : "1904-1914", "title" : "Three-Year, Randomized, Sham-Controlled Trial of Dexamethasone Intravitreal Implant in Patients with Diabetic Macular Edema", "type" : "article-journal", "volume" : "121" }, "uris" : [ "http://www.mendeley.com/documents/?uuid=5c3a5753-63c0-4981-9fa1-95d613f7cd17", "http://www.mendeley.com/documents/?uuid=b89dfe40-81be-4f47-8e91-c843ec79485b" ] }, { "id" : "ITEM-3", "itemData" : { "DOI" : "http://dx.doi.org/10.1016/j.ophtha.2013.02.018", "ISSN" : "0161-6420", "abstract" : "To evaluate Ozurdex (dexamethasone intravitreal implant [DEX implant]; Allergan, Inc, Irvine, CA) 0.7 mg combined with laser photocoagulation compared with laser alone for treatment of diffuse diabetic macular edema (DME). Randomized, controlled, multicenter, double-masked, parallel-group, 12-month trial. Two hundred fifty-three patients with retinal thickening and impaired vision resulting from diffuse DME in at least 1 eye (the study eye) were enrolled. Patients were randomized to treatment in the study eye with DEX implant at baseline plus laser at month 1 (combination treatment; n\u00a0= 126) or sham implant at baseline and laser at month 1 (laser alone; n\u00a0= 127) and could receive up to 3 additional laser treatments and 1 additional DEX implant or sham treatment as needed. The primary efficacy variable was the percentage of patients who had a 10-letter or more improvement in best-corrected visual acuity (BCVA) from baseline at month 12. Other key efficacy variables included the change in BCVA from baseline and the area of vessel leakage evaluated with fluorescein angiography. Safety variables included adverse events and intraocular pressure (IOP). The percentage of patients who gained 10 letters or more in BCVA at month 12 did not differ between treatment groups, but the percentage of patients was significantly greater in the combination group at month 1 (P&lt;0.001) and month 9 (P\u00a0= 0.007). In patients with angiographically verified diffuse DME, the mean improvement in BCVA was significantly greater with DEX implant plus laser treatment than with laser treatment alone (up to 7.9 vs. 2.3 letters) at all time points through month 9 (P\u22640.013). Decreases in the area of diffuse vascular leakage measured angiographically were significantly larger with DEX implant plus laser treatment through month 12 (P\u22640.041). Increased IOP was more common with combination treatment. No surgeries for elevated IOP were required. There was no significant between-group difference at month 12. However, significantly greater improvement in BCVA, as demonstrated by changes from baseline at various time points up to 9 months and across time based on the area under the curve analysis, occurred in patients with diffuse DME treated with DEX implant plus laser than in patients treated with laser alone. Proprietary or commercial disclosure may be found after the references.", "author" : [ { "dropping-particle" : "", "family" : "Callanan", "given" : "David G", "non-dropping-particle" : "", "parse-names" : false, "suffix" : "" }, { "dropping-particle" : "", "family" : "Gupta", "given" : "Sunil", "non-dropping-particle" : "", "parse-names" : false, "suffix" : "" }, { "dropping-particle" : "", "family" : "Boyer", "given" : "David S", "non-dropping-particle" : "", "parse-names" : false, "suffix" : "" }, { "dropping-particle" : "", "family" : "Ciulla", "given" : "Thomas A", "non-dropping-particle" : "", "parse-names" : false, "suffix" : "" }, { "dropping-particle" : "", "family" : "Singer", "given" : "Michael A", "non-dropping-particle" : "", "parse-names" : false, "suffix" : "" }, { "dropping-particle" : "", "family" : "Kuppermann", "given" : "Baruch D", "non-dropping-particle" : "", "parse-names" : false, "suffix" : "" }, { "dropping-particle" : "", "family" : "Liu", "given" : "Ching-Chi", "non-dropping-particle" : "", "parse-names" : false, "suffix" : "" }, { "dropping-particle" : "", "family" : "Li", "given" : "Xiao-Yan", "non-dropping-particle" : "", "parse-names" : false, "suffix" : "" }, { "dropping-particle" : "", "family" : "Hollander", "given" : "David A", "non-dropping-particle" : "", "parse-names" : false, "suffix" : "" }, { "dropping-particle" : "", "family" : "Schiffman", "given" : "Rhett M", "non-dropping-particle" : "", "parse-names" : false, "suffix" : "" }, { "dropping-particle" : "", "family" : "Whitcup", "given" : "Scott M", "non-dropping-particle" : "", "parse-names" : false, "suffix" : "" } ], "container-title" : "Ophthalmology", "id" : "ITEM-3", "issue" : "9", "issued" : { "date-parts" : [ [ "2013" ] ] }, "page" : "1843-1851", "title" : "Dexamethasone Intravitreal Implant in Combination with Laser Photocoagulation for\u00a0the Treatment of Diffuse Diabetic Macular\u00a0Edema", "type" : "article-journal", "volume" : "120" }, "uris" : [ "http://www.mendeley.com/documents/?uuid=93bb5b14-3244-4eeb-af31-9243f5d56fe4", "http://www.mendeley.com/documents/?uuid=d0f7a0b6-055a-4c04-adab-15d72942b8f2" ] }, { "id" : "ITEM-4", "itemData" : { "ISSN" : "0030-3755", "abstract" : "&lt;b&gt;&lt;i&gt;Purpose:&lt;/i&gt;&lt;/b&gt; To report the 6-month anatomical and best-corrected visual acuity (BCVA) response after primary intravitreal dexamethasone implantation (Ozurdex\u00ae) in patients with refractory diabetic macular edema (DME). &lt;b&gt;&lt;i&gt;Methods:&lt;/i&gt;&lt;/b&gt; Retrospective review of the medical records of 58 patients with decreased visual acuity, due to refractory DME, who underwent a single injection of Ozurdex between November 2010 and January 2012, at the Instituto de Microcirurgia Ocular, Barcelona, Spain. &lt;b&gt;&lt;i&gt;Results:&lt;/i&gt;&lt;/b&gt; At baseline, the mean foveal thickness (FT) was 543.24 \u00b1 156.51 \u03bcm. Mean (\u00b1SD) values of FT did decrease to 346.82 \u00b1 123.74 \u03bcm at month 1 and 341.12 \u00b1 129.64 \u03bcm at month 3. Data on the 6-month follow-up showed a mild increase to 420.16 \u00b1 152.15 \u03bcm. All of the FT reduction outcomes were statistically significant, with respect to baseline data (p = 0.0001). The baseline BCVA data was 0.66 \u00b1 0.36 logarithm of the minimum angle of resolution (logMAR). The mean BCVA improved to 0.52 \u00b1 0.32 logMAR (p = 0.0001) and 0.44 \u00b1 0.27 logMAR (p = 0.0001) after 1 and 3 months, respectively. At the last visit (6-month follow-up), the mean BCVA increased to 0.51 \u00b1 0.31 logMAR (p = 0.0001). &lt;b&gt;&lt;i&gt;Conclusions:&lt;/i&gt;&lt;/b&gt; In this study, intravitreal treatment with a dexamethasone implant safely reduced DME and improved visual acuity in a difficult-to-treat patient population with long-standing refractory DME.", "author" : [ { "dropping-particle" : "", "family" : "Dutra Medeiros", "given" : "M", "non-dropping-particle" : "", "parse-names" : false, "suffix" : "" }, { "dropping-particle" : "", "family" : "Postorino", "given" : "M", "non-dropping-particle" : "", "parse-names" : false, "suffix" : "" }, { "dropping-particle" : "", "family" : "Navarro", "given" : "R", "non-dropping-particle" : "", "parse-names" : false, "suffix" : "" }, { "dropping-particle" : "", "family" : "Garcia-Arum\u00ed", "given" : "J", "non-dropping-particle" : "", "parse-names" : false, "suffix" : "" }, { "dropping-particle" : "", "family" : "Mateo", "given" : "C", "non-dropping-particle" : "", "parse-names" : false, "suffix" : "" }, { "dropping-particle" : "", "family" : "Corc\u00f3stegui", "given" : "B", "non-dropping-particle" : "", "parse-names" : false, "suffix" : "" } ], "container-title" : "Ophthalmologica", "id" : "ITEM-4", "issue" : "3", "issued" : { "date-parts" : [ [ "2014" ] ] }, "page" : "141-146", "title" : "Dexamethasone Intravitreal Implant for Treatment of Patients with Persistent Diabetic Macular Edema", "type" : "article-journal", "volume" : "231" }, "uris" : [ "http://www.mendeley.com/documents/?uuid=a1d20caa-b3ed-442e-81d6-c66a0c35bb43", "http://www.mendeley.com/documents/?uuid=8dfe0775-b968-4310-9778-624249013b3a" ] }, { "id" : "ITEM-5", "itemData" : { "DOI" : "10.1111/aos.13395", "ISSN" : "1755-3768", "abstract" : "Purpose: To evaluate a pro re nata administration of Ozurdex\u00ae implant versus a single administration for treating diabetic macular oedema (DME). \nMethods: This exploratory study is designed as a comparative, multicentre, randomized study with a follow-up of 6\u00a0months. Patients with DME were assigned to treatment at baseline either with a single Ozurdex\u00ae implant during the entire six-month follow-up (fixed group) or Ozurdex\u00ae implant followed by retreatment on an individualized basis (PRN group). Patients were scheduled for monthly evaluation based on assessment of best-corrected visual acuity (BCVA) and optical coherence tomography.\nResults: Twenty eyes were enrolled to the PRN group, and 22 were included in the fixed group. Following an equally steady, initial gain up to month 1, and maintenance up to month 3, vision started to decline in the fixed regimen group. At 6\u00a0months, a difference of 0.11 logMAR in BCVA was observed in favour of the PRN group. Compared to baseline, a significant reduction in retinal thickness was achieved up to month 2, when the fixed regimen group had begun to revert to pretreatment level. At 4 and 5\u00a0months, the difference in thickness between the two groups was statistically significant (p\u00a0&lt;\u00a00.05). Mean number of treatments was 1.6 in the PRN group. Both fixed and PRN administration of Ozurdex showed a good safety profile.\nConclusion: A personalized treatment with monthly monitoring and retreatment as needed is effective in maintaining functional and anatomical benefits of Ozurdex\u00ae.", "author" : [ { "dropping-particle" : "", "family" : "Sarao", "given" : "Valentina", "non-dropping-particle" : "", "parse-names" : false, "suffix" : "" }, { "dropping-particle" : "", "family" : "Veritti", "given" : "Daniele", "non-dropping-particle" : "", "parse-names" : false, "suffix" : "" }, { "dropping-particle" : "", "family" : "Furino", "given" : "Claudio", "non-dropping-particle" : "", "parse-names" : false, "suffix" : "" }, { "dropping-particle" : "", "family" : "Giancipoli", "given" : "Ermete", "non-dropping-particle" : "", "parse-names" : false, "suffix" : "" }, { "dropping-particle" : "", "family" : "Alessio", "given" : "Giovanni", "non-dropping-particle" : "", "parse-names" : false, "suffix" : "" }, { "dropping-particle" : "", "family" : "Boscia", "given" : "Francesco", "non-dropping-particle" : "", "parse-names" : false, "suffix" : "" }, { "dropping-particle" : "", "family" : "Lanzetta", "given" : "Paolo", "non-dropping-particle" : "", "parse-names" : false, "suffix" : "" } ], "container-title" : "Acta Ophthalmologica", "id" : "ITEM-5", "issue" : "4", "issued" : { "date-parts" : [ [ "2017", "6", "1" ] ] }, "page" : "e255-e260", "title" : "Dexamethasone implant with fixed or individualized regimen in the treatment of diabetic macular oedema: six-month outcomes of the UDBASA study", "type" : "article-journal", "volume" : "95" }, "uris" : [ "http://www.mendeley.com/documents/?uuid=828cef88-97b8-429e-963b-2f894a082d23", "http://www.mendeley.com/documents/?uuid=dc3b226d-0a19-48b1-b033-4692d7235cd9" ] }, { "id" : "ITEM-6", "itemData" : { "DOI" : "10.1007/s00417-016-3431-x", "ISSN" : "0721-832X", "author" : [ { "dropping-particle" : "", "family" : "Eter", "given" : "Nicole", "non-dropping-particle" : "", "parse-names" : false, "suffix" : "" }, { "dropping-particle" : "", "family" : "Mohr", "given" : "Andreas", "non-dropping-particle" : "", "parse-names" : false, "suffix" : "" }, { "dropping-particle" : "", "family" : "Wachtlin", "given" : "Joachim", "non-dropping-particle" : "", "parse-names" : false, "suffix" : "" }, { "dropping-particle" : "", "family" : "Feltgen", "given" : "Nicolas", "non-dropping-particle" : "", "parse-names" : false, "suffix" : "" } ], "container-title" : "Graefe's Archive for Clinical and Experimental Ophthalmology", "id" : "ITEM-6", "issue" : "1", "issued" : { "date-parts" : [ [ "2017" ] ] }, "page" : "77-87", "publisher" : "Graefe's Archive for Clinical and Experimental Ophthalmology", "title" : "Dexamethasone intravitreal implant in retinal vein occlusion : real-life data from a prospective , multicenter clinical trial", "type" : "article-journal", "volume" : "255" }, "uris" : [ "http://www.mendeley.com/documents/?uuid=16e6703a-b525-4f1a-93ed-a6c127ffa9c8", "http://www.mendeley.com/documents/?uuid=5ec4586f-a475-4ded-bd79-bc5b7f4130c5" ] }, { "id" : "ITEM-7", "itemData" : { "ISSN" : "1552-5783", "abstract" : "Abstract Purpose: To determine the patient-centered effectiveness of treatment with the slow-release dexamethasone intravitreal implant (DEX implant) and intravitreal bevacizumab using the Impact of Vision Impairment Questionnaire (IVI), a vision-related quality of life (VRQoL) measure, in patients with visual impairment secondary to center-involving diabetic macular edema (DME). Methods: Patients with DME were enrolled in a phase 2, prospective, multicenter, randomized, single-masked clinical trial and received either DEX implant 4 monthly or bevacizumab monthly, both pro re nata. Vision-related quality of life was measured at baseline and 24 months, using the IVI's three component scales, namely reading, mobility, and emotional well-being. Rasch analysis was used to generate interval-level estimates of VRQoL, which were then analyzed using t-tests to assess changes over time. Results: Forty-eight patients completed the main study; 43 (90%) answered the IVI at the baseline and 24-month (final efficacy) visits. Vision-related quality of life improved significantly, with average increases of 1.44, 0.99, and 1.49 logits, for the reading, mobility, and emotional well-being scales respectively, from baseline to 24 months, (P &amp;lt; 0.001). There was no significant between-group difference in improvement in VRQoL in the DEX implant only compared with the bevacizumab-only group, in any of the three scales listed above (with 1.41, 1.08, and 2.11 logits improvement, in reading, mobility, and emotional well-being, respectively, for DEX implant group, compared with 1.48, 1.06, and 2.11 for bevacizumab; P values &amp;gt; 0.1.) Conclusions: We found that both DEX implant and bevacizumab treatment result in significant and similar improvements in VRQoL in patients with DME over a 24-month period. (Clinicaltrials.gov identifier NCT01298076)", "author" : [ { "dropping-particle" : "", "family" : "Aroney", "given" : "Christine", "non-dropping-particle" : "", "parse-names" : false, "suffix" : "" }, { "dropping-particle" : "", "family" : "Fraser-Bell", "given" : "Samantha", "non-dropping-particle" : "", "parse-names" : false, "suffix" : "" }, { "dropping-particle" : "", "family" : "Lamoureux", "given" : "Ecosse L", "non-dropping-particle" : "", "parse-names" : false, "suffix" : "" }, { "dropping-particle" : "", "family" : "Gillies", "given" : "Mark C", "non-dropping-particle" : "", "parse-names" : false, "suffix" : "" }, { "dropping-particle" : "", "family" : "Lim", "given" : "Lyndell L", "non-dropping-particle" : "", "parse-names" : false, "suffix" : "" }, { "dropping-particle" : "", "family" : "Fenwick", "given" : "Eva K", "non-dropping-particle" : "", "parse-names" : false, "suffix" : "" } ], "container-title" : "Investigative Ophthalmology &amp; Visual Science", "id" : "ITEM-7", "issue" : "13", "issued" : { "date-parts" : [ [ "2016", "10", "21" ] ] }, "note" : "10.1167/iovs.16-19729", "page" : "5541-5546", "title" : "Vision-Related Quality of Life Outcomes in the BEVORDEX Study: A Clinical Trial Comparing Ozurdex Sustained Release Dexamethasone Intravitreal Implant and Bevacizumab Treatment for Diabetic Macular EdemaVision-Related Quality of Life in the BEVORDEX Study", "type" : "article-journal", "volume" : "57" }, "uris" : [ "http://www.mendeley.com/documents/?uuid=0d62ad8d-670a-4bfc-aabb-85498affd6e6", "http://www.mendeley.com/documents/?uuid=7b430e55-cdac-432d-b5d0-1a7fe54d838b" ] } ], "mendeley" : { "formattedCitation" : "&lt;sup&gt;194\u2013200&lt;/sup&gt;", "plainTextFormattedCitation" : "194\u2013200", "previouslyFormattedCitation" : "&lt;sup&gt;193\u2013199&lt;/sup&gt;" }, "properties" : { "noteIndex" : 0 }, "schema" : "https://github.com/citation-style-language/schema/raw/master/csl-citation.json" }</w:instrText>
      </w:r>
      <w:r w:rsidR="007C2D95" w:rsidRPr="00610A40">
        <w:rPr>
          <w:rFonts w:eastAsia="Arial"/>
          <w:color w:val="auto"/>
          <w:szCs w:val="24"/>
        </w:rPr>
        <w:fldChar w:fldCharType="separate"/>
      </w:r>
      <w:r w:rsidR="00565E2A" w:rsidRPr="00610A40">
        <w:rPr>
          <w:rFonts w:eastAsia="Arial"/>
          <w:noProof/>
          <w:color w:val="auto"/>
          <w:szCs w:val="24"/>
          <w:vertAlign w:val="superscript"/>
        </w:rPr>
        <w:t>194–200</w:t>
      </w:r>
      <w:r w:rsidR="007C2D95" w:rsidRPr="00610A40">
        <w:rPr>
          <w:rFonts w:eastAsia="Arial"/>
          <w:color w:val="auto"/>
          <w:szCs w:val="24"/>
        </w:rPr>
        <w:fldChar w:fldCharType="end"/>
      </w:r>
      <w:r w:rsidRPr="00610A40">
        <w:rPr>
          <w:rFonts w:eastAsia="Arial"/>
          <w:color w:val="auto"/>
          <w:szCs w:val="24"/>
        </w:rPr>
        <w:t xml:space="preserve"> and open angle glaucoma</w:t>
      </w:r>
      <w:r w:rsidR="007C2D95"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"10.1016/j.ajo.2004.10.052", "ISBN" : "0002-9394", "ISSN" : "00029394", "PMID" : "15860309", "abstract" : "PURPOSE: To evaluate the use of Surodex (Oculex Pharmaceuticals, Sunnyvale, California) a drug delivery system incorporating 60 micrograms of dexamethasone in a pellet, in phacotrabeculectomy surgery. DESIGN: Nonrandomized, prospective, interventional case series. METHODS: Phacotrabeculectomy was performed on 37 Asian subjects with primary open-angle glaucoma (POAG) using a standardized technique. All subjects received a Surodex pellet underneath the scleral flap. Results were compared with those of 31 POAG subjects who had undergone phacotrabeculectomy augmented with 50 mg/ml of intraoperative 5-fluorouracil (5-FU) during the same period. RESULTS: Mean follow-up in months was 19.7 &amp;PLUSMN; 7.9 and 22.1 &amp;PLUSMN; 6.2 for the Surodex and 5-FU groups, respectively (P = .29). There was a 20.1% decrease in intraocular pressure in the Surodex group compared with 28.5% decrease in the 5-FU group (P = .6). Postoperative complications occurred in three cases (8.1%) and six cases (19.3%), respectively (P = .04). CONCLUSIONS: Combined phacotrabeculectomy surgery augmented by intra-scleral placement of Surodex results in good control of IOP and a low incidence of complications. &amp;COPY; 2005 by Elsevier Inc. All rights reserved.", "author" : [ { "dropping-particle" : "", "family" : "Aung", "given" : "Tin", "non-dropping-particle" : "", "parse-names" : false, "suffix" : "" }, { "dropping-particle" : "", "family" : "Seah", "given" : "Steve K L", "non-dropping-particle" : "", "parse-names" : false, "suffix" : "" }, { "dropping-particle" : "", "family" : "Husain", "given" : "Rahat", "non-dropping-particle" : "", "parse-names" : false, "suffix" : "" }, { "dropping-particle" : "", "family" : "Gazzard", "given" : "Gus", "non-dropping-particle" : "", "parse-names" : false, "suffix" : "" }, { "dropping-particle" : "", "family" : "Lim", "given" : "Marcus C C", "non-dropping-particle" : "", "parse-names" : false, "suffix" : "" }, { "dropping-particle" : "", "family" : "Hoh", "given" : "Sek-tien", "non-dropping-particle" : "", "parse-names" : false, "suffix" : "" }, { "dropping-particle" : "", "family" : "Oen", "given" : "Francis T S", "non-dropping-particle" : "", "parse-names" : false, "suffix" : "" } ], "container-title" : "American Journal of Ophthalmology", "id" : "ITEM-1", "issue" : "5", "issued" : { "date-parts" : [ [ "2005" ] ] }, "page" : "927-928", "title" : "Use of Surodex in Phacotrabeculectomy Surgery", "type" : "article-journal", "volume" : "139" }, "uris" : [ "http://www.mendeley.com/documents/?uuid=42a55cff-15e9-43ee-8251-b2e5d9bebafa", "http://www.mendeley.com/documents/?uuid=b51b617a-8cd3-4ae1-94ad-22c8cc5a407b" ] } ], "mendeley" : { "formattedCitation" : "&lt;sup&gt;201&lt;/sup&gt;", "plainTextFormattedCitation" : "201", "previouslyFormattedCitation" : "&lt;sup&gt;200&lt;/sup&gt;" }, "properties" : { "noteIndex" : 0 }, "schema" : "https://github.com/citation-style-language/schema/raw/master/csl-citation.json" }</w:instrText>
      </w:r>
      <w:r w:rsidR="007C2D95" w:rsidRPr="00610A40">
        <w:rPr>
          <w:rFonts w:eastAsia="Arial"/>
          <w:color w:val="auto"/>
          <w:szCs w:val="24"/>
        </w:rPr>
        <w:fldChar w:fldCharType="separate"/>
      </w:r>
      <w:r w:rsidR="00565E2A" w:rsidRPr="00610A40">
        <w:rPr>
          <w:rFonts w:eastAsia="Arial"/>
          <w:noProof/>
          <w:color w:val="auto"/>
          <w:szCs w:val="24"/>
          <w:vertAlign w:val="superscript"/>
        </w:rPr>
        <w:t>201</w:t>
      </w:r>
      <w:r w:rsidR="007C2D95" w:rsidRPr="00610A40">
        <w:rPr>
          <w:rFonts w:eastAsia="Arial"/>
          <w:color w:val="auto"/>
          <w:szCs w:val="24"/>
        </w:rPr>
        <w:fldChar w:fldCharType="end"/>
      </w:r>
      <w:r w:rsidRPr="00610A40">
        <w:rPr>
          <w:rFonts w:eastAsia="Arial"/>
          <w:color w:val="auto"/>
          <w:szCs w:val="24"/>
        </w:rPr>
        <w:t xml:space="preserve">. Treatment outcome is </w:t>
      </w:r>
      <w:r w:rsidRPr="00610A40">
        <w:rPr>
          <w:rFonts w:eastAsia="Arial"/>
          <w:color w:val="auto"/>
          <w:szCs w:val="24"/>
        </w:rPr>
        <w:lastRenderedPageBreak/>
        <w:t xml:space="preserve">typically assessed using the best corrected visual acuity (BCVA) as well as anatomical features such as retina thickness. Good recovery is typically taken as an improvement of 15 letters (BCVA) or more from the baseline data before treatment. Besides efficacy, device safety is paramount and this is evaluated by noting any adverse events and assessing intraocular pressure. Compared to DEX </w:t>
      </w:r>
      <w:proofErr w:type="spellStart"/>
      <w:r w:rsidRPr="00610A40">
        <w:rPr>
          <w:rFonts w:eastAsia="Arial"/>
          <w:color w:val="auto"/>
          <w:szCs w:val="24"/>
        </w:rPr>
        <w:t>eyedrops</w:t>
      </w:r>
      <w:proofErr w:type="spellEnd"/>
      <w:r w:rsidRPr="00610A40">
        <w:rPr>
          <w:rFonts w:eastAsia="Arial"/>
          <w:color w:val="auto"/>
          <w:szCs w:val="24"/>
        </w:rPr>
        <w:t xml:space="preserve">, sustained release devices are more efficacious and requires less patient compliance. In one study involving 104 cataract surgery patients, </w:t>
      </w:r>
      <w:proofErr w:type="spellStart"/>
      <w:r w:rsidRPr="00610A40">
        <w:rPr>
          <w:rFonts w:eastAsia="Arial"/>
          <w:color w:val="auto"/>
          <w:szCs w:val="24"/>
        </w:rPr>
        <w:t>Surodex</w:t>
      </w:r>
      <w:proofErr w:type="spellEnd"/>
      <w:r w:rsidRPr="00610A40">
        <w:rPr>
          <w:rFonts w:eastAsia="Arial"/>
          <w:color w:val="auto"/>
          <w:szCs w:val="24"/>
        </w:rPr>
        <w:t xml:space="preserve"> pellets were implanted into either the </w:t>
      </w:r>
      <w:proofErr w:type="spellStart"/>
      <w:r w:rsidRPr="00610A40">
        <w:rPr>
          <w:rFonts w:eastAsia="Arial"/>
          <w:color w:val="auto"/>
          <w:szCs w:val="24"/>
        </w:rPr>
        <w:t>ciliary</w:t>
      </w:r>
      <w:proofErr w:type="spellEnd"/>
      <w:r w:rsidRPr="00610A40">
        <w:rPr>
          <w:rFonts w:eastAsia="Arial"/>
          <w:color w:val="auto"/>
          <w:szCs w:val="24"/>
        </w:rPr>
        <w:t xml:space="preserve"> sulcus or the anterior chamber</w:t>
      </w:r>
      <w:r w:rsidR="00944C77" w:rsidRPr="00610A40">
        <w:rPr>
          <w:rFonts w:eastAsia="Arial"/>
          <w:color w:val="auto"/>
          <w:szCs w:val="24"/>
        </w:rPr>
        <w:t xml:space="preserve"> (</w:t>
      </w:r>
      <w:r w:rsidR="00944C77" w:rsidRPr="00610A40">
        <w:rPr>
          <w:rFonts w:eastAsia="Arial"/>
          <w:color w:val="auto"/>
          <w:szCs w:val="24"/>
        </w:rPr>
        <w:fldChar w:fldCharType="begin"/>
      </w:r>
      <w:r w:rsidR="00944C77" w:rsidRPr="00610A40">
        <w:rPr>
          <w:rFonts w:eastAsia="Arial"/>
          <w:color w:val="auto"/>
          <w:szCs w:val="24"/>
        </w:rPr>
        <w:instrText xml:space="preserve"> REF _Ref489036972 \h </w:instrText>
      </w:r>
      <w:r w:rsidR="00004924" w:rsidRPr="00610A40">
        <w:rPr>
          <w:rFonts w:eastAsia="Arial"/>
          <w:color w:val="auto"/>
          <w:szCs w:val="24"/>
        </w:rPr>
        <w:instrText xml:space="preserve"> \* MERGEFORMAT </w:instrText>
      </w:r>
      <w:r w:rsidR="00944C77" w:rsidRPr="00610A40">
        <w:rPr>
          <w:rFonts w:eastAsia="Arial"/>
          <w:color w:val="auto"/>
          <w:szCs w:val="24"/>
        </w:rPr>
      </w:r>
      <w:r w:rsidR="00944C77" w:rsidRPr="00610A40">
        <w:rPr>
          <w:rFonts w:eastAsia="Arial"/>
          <w:color w:val="auto"/>
          <w:szCs w:val="24"/>
        </w:rPr>
        <w:fldChar w:fldCharType="separate"/>
      </w:r>
      <w:r w:rsidR="002B2E41" w:rsidRPr="00610A40">
        <w:rPr>
          <w:color w:val="auto"/>
          <w:szCs w:val="24"/>
        </w:rPr>
        <w:t xml:space="preserve">Figure </w:t>
      </w:r>
      <w:r w:rsidR="002B2E41" w:rsidRPr="00610A40">
        <w:rPr>
          <w:noProof/>
          <w:color w:val="auto"/>
          <w:szCs w:val="24"/>
        </w:rPr>
        <w:t>16</w:t>
      </w:r>
      <w:r w:rsidR="00944C77" w:rsidRPr="00610A40">
        <w:rPr>
          <w:rFonts w:eastAsia="Arial"/>
          <w:color w:val="auto"/>
          <w:szCs w:val="24"/>
        </w:rPr>
        <w:fldChar w:fldCharType="end"/>
      </w:r>
      <w:r w:rsidR="00944C77" w:rsidRPr="00610A40">
        <w:rPr>
          <w:rFonts w:eastAsia="Arial"/>
          <w:color w:val="auto"/>
          <w:szCs w:val="24"/>
        </w:rPr>
        <w:t>)</w:t>
      </w:r>
      <w:r w:rsidRPr="00610A40">
        <w:rPr>
          <w:rFonts w:eastAsia="Arial"/>
          <w:color w:val="auto"/>
          <w:szCs w:val="24"/>
        </w:rPr>
        <w:t xml:space="preserve">. 33 of these patients served as controls by receiving DEX </w:t>
      </w:r>
      <w:proofErr w:type="spellStart"/>
      <w:r w:rsidRPr="00610A40">
        <w:rPr>
          <w:rFonts w:eastAsia="Arial"/>
          <w:color w:val="auto"/>
          <w:szCs w:val="24"/>
        </w:rPr>
        <w:t>eyedrops</w:t>
      </w:r>
      <w:proofErr w:type="spellEnd"/>
      <w:r w:rsidRPr="00610A40">
        <w:rPr>
          <w:rFonts w:eastAsia="Arial"/>
          <w:color w:val="auto"/>
          <w:szCs w:val="24"/>
        </w:rPr>
        <w:t xml:space="preserve"> 4 times daily for 4 weeks. </w:t>
      </w:r>
      <w:proofErr w:type="spellStart"/>
      <w:r w:rsidRPr="00610A40">
        <w:rPr>
          <w:rFonts w:eastAsia="Arial"/>
          <w:color w:val="auto"/>
          <w:szCs w:val="24"/>
        </w:rPr>
        <w:t>Surodex</w:t>
      </w:r>
      <w:proofErr w:type="spellEnd"/>
      <w:r w:rsidRPr="00610A40">
        <w:rPr>
          <w:rFonts w:eastAsia="Arial"/>
          <w:color w:val="auto"/>
          <w:szCs w:val="24"/>
        </w:rPr>
        <w:t xml:space="preserve"> was markedly more effective than DEX </w:t>
      </w:r>
      <w:proofErr w:type="spellStart"/>
      <w:r w:rsidRPr="00610A40">
        <w:rPr>
          <w:rFonts w:eastAsia="Arial"/>
          <w:color w:val="auto"/>
          <w:szCs w:val="24"/>
        </w:rPr>
        <w:t>eyedrops</w:t>
      </w:r>
      <w:proofErr w:type="spellEnd"/>
      <w:r w:rsidRPr="00610A40">
        <w:rPr>
          <w:rFonts w:eastAsia="Arial"/>
          <w:color w:val="auto"/>
          <w:szCs w:val="24"/>
        </w:rPr>
        <w:t xml:space="preserve"> whereby the control group required steroid augmentation</w:t>
      </w:r>
      <w:r w:rsidR="007C2D95"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"http://dx.doi.org/10.1016/S0161-6420(01)00839-9", "ISSN" : "0161-6420", "abstract" : "To evaluate safety and antiinflammatory efficacy of placing two Surodex (Oculex Pharmaceuticals, Inc., Sunnyvale, CA) in the eye after cataract surgery in comparison with steroid eyedrops and to compare anterior versus posterior chamber placement. Randomized, masked, controlled trial. One hundred four eyes of 104 Asian patients undergoing extracapsular cataract extraction with intraocular lens implantation were examined. Of these, 33 eyes of 33 patients served as control eyes (group A). Two Surodex pellets were inserted in the anterior chamber (AC) of 35 eyes (group B), and two Surodex pellets were inserted in the ciliary sulcus of 36 eyes (group C) at the conclusion of surgery. Control eyes received neither Surodex nor a placebo implant, but were prescribed conventional 0.1% dexamethasone eyedrops four times daily for 4 weeks. Anterior chamber flare and cells were graded clinically at the slit lamp. Anterior chamber flare was assessed objectively with the Kowa FC500 Laser Flare Meter (Kowa Co. Ltd, Tokyo, Japan). Intraocular pressure and corneal endothelial specular microscopy with morphometric cell analysis were performed for up to 1 year after surgery. Lower flare meter readings occurred in both Surodex groups at all postoperative visits, as compared with the dexamethasone eyedrop group, with statistical significance at days 4 (P = 0.001), 8 (P = 0.001), and 15 (P = 0.02). No difference in flare occurred between AC and ciliary sulcus placement. Clinical slit-lamp assessment of anterior chamber flare and cells showed no difference between Surodex-treated eyes and dexamethasone-treated eyes. Nine of 33 eyes (27.3%) in group A required steroid augmentation, as opposed to 4 of 71 eyes (5.6%) in groups B and C. Inflammatory symptoms were reduced in the Surodex-treated eyes, with statistical significance for ocular discomfort (P = 0.001), photophobia (P = 0.04), and lacrimation (P = 0.01). No complications occurred with Surodex-treated eyes, and no significant difference in endothelial cell loss was noted between Surodex-treated eyes and dexamethasone-treated eyes up to 1 year after surgery. Intraocular placement of two Surodex is a safe and effective treatment method to reduce intraocular inflammation after cataract surgery and clearly is superior to eyedrops in reducing inflammatory symptoms and aqueous flare as measured with the laser flare meter. No difference in efficacy between AC placement and ciliary sulcus placement of Surodex was detected in this\u2026", "author" : [ { "dropping-particle" : "", "family" : "Tan", "given" : "Donald T H", "non-dropping-particle" : "", "parse-names" : false, "suffix" : "" }, { "dropping-particle" : "", "family" : "Chee", "given" : "Soon-Phaik", "non-dropping-particle" : "", "parse-names" : false, "suffix" : "" }, { "dropping-particle" : "", "family" : "Lim", "given" : "Li", "non-dropping-particle" : "", "parse-names" : false, "suffix" : "" }, { "dropping-particle" : "", "family" : "Theng", "given" : "Julian", "non-dropping-particle" : "", "parse-names" : false, "suffix" : "" }, { "dropping-particle" : "", "family" : "Ede", "given" : "Manon", "non-dropping-particle" : "Van", "parse-names" : false, "suffix" : "" } ], "container-title" : "Ophthalmology", "id" : "ITEM-1", "issue" : "12", "issued" : { "date-parts" : [ [ "2001" ] ] }, "page" : "2172-2181", "title" : "Randomized clinical trial of surodex steroid drug delivery system for cataract surgery", "type" : "article-journal", "volume" : "108" }, "uris" : [ "http://www.mendeley.com/documents/?uuid=eee83b29-d263-4405-9be6-1f4b6676aa95", "http://www.mendeley.com/documents/?uuid=4a25a003-0da1-4e4e-91e9-79d8f0c34175" ] } ], "mendeley" : { "formattedCitation" : "&lt;sup&gt;202&lt;/sup&gt;", "plainTextFormattedCitation" : "202", "previouslyFormattedCitation" : "&lt;sup&gt;201&lt;/sup&gt;" }, "properties" : { "noteIndex" : 0 }, "schema" : "https://github.com/citation-style-language/schema/raw/master/csl-citation.json" }</w:instrText>
      </w:r>
      <w:r w:rsidR="007C2D95" w:rsidRPr="00610A40">
        <w:rPr>
          <w:rFonts w:eastAsia="Arial"/>
          <w:color w:val="auto"/>
          <w:szCs w:val="24"/>
        </w:rPr>
        <w:fldChar w:fldCharType="separate"/>
      </w:r>
      <w:r w:rsidR="00565E2A" w:rsidRPr="00610A40">
        <w:rPr>
          <w:rFonts w:eastAsia="Arial"/>
          <w:noProof/>
          <w:color w:val="auto"/>
          <w:szCs w:val="24"/>
          <w:vertAlign w:val="superscript"/>
        </w:rPr>
        <w:t>202</w:t>
      </w:r>
      <w:r w:rsidR="007C2D95" w:rsidRPr="00610A40">
        <w:rPr>
          <w:rFonts w:eastAsia="Arial"/>
          <w:color w:val="auto"/>
          <w:szCs w:val="24"/>
        </w:rPr>
        <w:fldChar w:fldCharType="end"/>
      </w:r>
      <w:r w:rsidRPr="00610A40">
        <w:rPr>
          <w:rFonts w:eastAsia="Arial"/>
          <w:color w:val="auto"/>
          <w:szCs w:val="24"/>
        </w:rPr>
        <w:t xml:space="preserve">. </w:t>
      </w:r>
    </w:p>
    <w:p w14:paraId="3B1CA323" w14:textId="77777777" w:rsidR="00E6012F" w:rsidRPr="00610A40" w:rsidRDefault="00E6012F" w:rsidP="00EB7D51">
      <w:pPr>
        <w:rPr>
          <w:rFonts w:eastAsia="Arial"/>
          <w:color w:val="auto"/>
          <w:szCs w:val="24"/>
        </w:rPr>
      </w:pPr>
    </w:p>
    <w:p w14:paraId="54AB5C5E" w14:textId="18F7A426" w:rsidR="00E6012F" w:rsidRPr="00610A40" w:rsidRDefault="00E6012F" w:rsidP="00EB7D51">
      <w:pPr>
        <w:rPr>
          <w:rFonts w:eastAsia="Arial"/>
          <w:color w:val="auto"/>
          <w:szCs w:val="24"/>
        </w:rPr>
      </w:pPr>
      <w:r w:rsidRPr="00610A40">
        <w:rPr>
          <w:color w:val="auto"/>
          <w:szCs w:val="24"/>
        </w:rPr>
        <w:t>Intraocular implants may be combined with other treatments to improve</w:t>
      </w:r>
      <w:r w:rsidR="00EC4E11" w:rsidRPr="00610A40">
        <w:rPr>
          <w:color w:val="auto"/>
          <w:szCs w:val="24"/>
        </w:rPr>
        <w:t xml:space="preserve"> patient’s</w:t>
      </w:r>
      <w:r w:rsidRPr="00610A40">
        <w:rPr>
          <w:color w:val="auto"/>
          <w:szCs w:val="24"/>
        </w:rPr>
        <w:t xml:space="preserve"> recovery rate and </w:t>
      </w:r>
      <w:r w:rsidR="00EC4E11" w:rsidRPr="00610A40">
        <w:rPr>
          <w:color w:val="auto"/>
          <w:szCs w:val="24"/>
        </w:rPr>
        <w:t xml:space="preserve">other clinical </w:t>
      </w:r>
      <w:r w:rsidRPr="00610A40">
        <w:rPr>
          <w:color w:val="auto"/>
          <w:szCs w:val="24"/>
        </w:rPr>
        <w:t xml:space="preserve">outcomes. Implants, while effective and safe, should not be considered as the sole treatment option. When laser photocoagulation was augmented with </w:t>
      </w:r>
      <w:proofErr w:type="spellStart"/>
      <w:r w:rsidRPr="00610A40">
        <w:rPr>
          <w:color w:val="auto"/>
          <w:szCs w:val="24"/>
        </w:rPr>
        <w:t>Ozurdex</w:t>
      </w:r>
      <w:proofErr w:type="spellEnd"/>
      <w:r w:rsidRPr="00610A40">
        <w:rPr>
          <w:color w:val="auto"/>
          <w:szCs w:val="24"/>
        </w:rPr>
        <w:t>, BCVA outcomes were better than the laser-only group after one month and up to nine months</w:t>
      </w:r>
      <w:r w:rsidR="007C2D95" w:rsidRPr="00610A40">
        <w:rPr>
          <w:b/>
          <w:bCs/>
          <w:color w:val="auto"/>
          <w:szCs w:val="24"/>
        </w:rPr>
        <w:fldChar w:fldCharType="begin" w:fldLock="1"/>
      </w:r>
      <w:r w:rsidR="00565E2A" w:rsidRPr="00610A40">
        <w:rPr>
          <w:color w:val="auto"/>
          <w:szCs w:val="24"/>
        </w:rPr>
        <w:instrText>ADDIN CSL_CITATION { "citationItems" : [ { "id" : "ITEM-1", "itemData" : { "DOI" : "http://dx.doi.org/10.1016/j.ophtha.2013.02.018", "ISSN" : "0161-6420", "abstract" : "To evaluate Ozurdex (dexamethasone intravitreal implant [DEX implant]; Allergan, Inc, Irvine, CA) 0.7 mg combined with laser photocoagulation compared with laser alone for treatment of diffuse diabetic macular edema (DME). Randomized, controlled, multicenter, double-masked, parallel-group, 12-month trial. Two hundred fifty-three patients with retinal thickening and impaired vision resulting from diffuse DME in at least 1 eye (the study eye) were enrolled. Patients were randomized to treatment in the study eye with DEX implant at baseline plus laser at month 1 (combination treatment; n\u00a0= 126) or sham implant at baseline and laser at month 1 (laser alone; n\u00a0= 127) and could receive up to 3 additional laser treatments and 1 additional DEX implant or sham treatment as needed. The primary efficacy variable was the percentage of patients who had a 10-letter or more improvement in best-corrected visual acuity (BCVA) from baseline at month 12. Other key efficacy variables included the change in BCVA from baseline and the area of vessel leakage evaluated with fluorescein angiography. Safety variables included adverse events and intraocular pressure (IOP). The percentage of patients who gained 10 letters or more in BCVA at month 12 did not differ between treatment groups, but the percentage of patients was significantly greater in the combination group at month 1 (P&lt;0.001) and month 9 (P\u00a0= 0.007). In patients with angiographically verified diffuse DME, the mean improvement in BCVA was significantly greater with DEX implant plus laser treatment than with laser treatment alone (up to 7.9 vs. 2.3 letters) at all time points through month 9 (P\u22640.013). Decreases in the area of diffuse vascular leakage measured angiographically were significantly larger with DEX implant plus laser treatment through month 12 (P\u22640.041). Increased IOP was more common with combination treatment. No surgeries for elevated IOP were required. There was no significant between-group difference at month 12. However, significantly greater improvement in BCVA, as demonstrated by changes from baseline at various time points up to 9 months and across time based on the area under the curve analysis, occurred in patients with diffuse DME treated with DEX implant plus laser than in patients treated with laser alone. Proprietary or commercial disclosure may be found after the references.", "author" : [ { "dropping-particle" : "", "family" : "Callanan", "given" : "David G", "non-dropping-particle" : "", "parse-names" : false, "suffix" : "" }, { "dropping-particle" : "", "family" : "Gupta", "given" : "Sunil", "non-dropping-particle" : "", "parse-names" : false, "suffix" : "" }, { "dropping-particle" : "", "family" : "Boyer", "given" : "David S", "non-dropping-particle" : "", "parse-names" : false, "suffix" : "" }, { "dropping-particle" : "", "family" : "Ciulla", "given" : "Thomas A", "non-dropping-particle" : "", "parse-names" : false, "suffix" : "" }, { "dropping-particle" : "", "family" : "Singer", "given" : "Michael A", "non-dropping-particle" : "", "parse-names" : false, "suffix" : "" }, { "dropping-particle" : "", "family" : "Kuppermann", "given" : "Baruch D", "non-dropping-particle" : "", "parse-names" : false, "suffix" : "" }, { "dropping-particle" : "", "family" : "Liu", "given" : "Ching-Chi", "non-dropping-particle" : "", "parse-names" : false, "suffix" : "" }, { "dropping-particle" : "", "family" : "Li", "given" : "Xiao-Yan", "non-dropping-particle" : "", "parse-names" : false, "suffix" : "" }, { "dropping-particle" : "", "family" : "Hollander", "given" : "David A", "non-dropping-particle" : "", "parse-names" : false, "suffix" : "" }, { "dropping-particle" : "", "family" : "Schiffman", "given" : "Rhett M", "non-dropping-particle" : "", "parse-names" : false, "suffix" : "" }, { "dropping-particle" : "", "family" : "Whitcup", "given" : "Scott M", "non-dropping-particle" : "", "parse-names" : false, "suffix" : "" } ], "container-title" : "Ophthalmology", "id" : "ITEM-1", "issue" : "9", "issued" : { "date-parts" : [ [ "2013" ] ] }, "page" : "1843-1851", "title" : "Dexamethasone Intravitreal Implant in Combination with Laser Photocoagulation for\u00a0the Treatment of Diffuse Diabetic Macular\u00a0Edema", "type" : "article-journal", "volume" : "120" }, "uris" : [ "http://www.mendeley.com/documents/?uuid=d0f7a0b6-055a-4c04-adab-15d72942b8f2", "http://www.mendeley.com/documents/?uuid=93bb5b14-3244-4eeb-af31-9243f5d56fe4" ] } ], "mendeley" : { "formattedCitation" : "&lt;sup&gt;196&lt;/sup&gt;", "plainTextFormattedCitation" : "196", "previouslyFormattedCitation" : "&lt;sup&gt;195&lt;/sup&gt;" }, "properties" : { "noteIndex" : 0 }, "schema" : "https://github.com/citation-style-language/schema/raw/master/csl-citation.json" }</w:instrText>
      </w:r>
      <w:r w:rsidR="007C2D95" w:rsidRPr="00610A40">
        <w:rPr>
          <w:b/>
          <w:bCs/>
          <w:color w:val="auto"/>
          <w:szCs w:val="24"/>
        </w:rPr>
        <w:fldChar w:fldCharType="separate"/>
      </w:r>
      <w:r w:rsidR="00565E2A" w:rsidRPr="00610A40">
        <w:rPr>
          <w:noProof/>
          <w:color w:val="auto"/>
          <w:szCs w:val="24"/>
          <w:vertAlign w:val="superscript"/>
        </w:rPr>
        <w:t>196</w:t>
      </w:r>
      <w:r w:rsidR="007C2D95" w:rsidRPr="00610A40">
        <w:rPr>
          <w:b/>
          <w:bCs/>
          <w:color w:val="auto"/>
          <w:szCs w:val="24"/>
        </w:rPr>
        <w:fldChar w:fldCharType="end"/>
      </w:r>
      <w:r w:rsidRPr="00610A40">
        <w:rPr>
          <w:color w:val="auto"/>
          <w:szCs w:val="24"/>
        </w:rPr>
        <w:t>. There was no significant difference between the two groups after one year when the study ended.</w:t>
      </w:r>
      <w:r w:rsidR="009231BD" w:rsidRPr="00610A40">
        <w:rPr>
          <w:color w:val="auto"/>
          <w:szCs w:val="24"/>
        </w:rPr>
        <w:t xml:space="preserve"> </w:t>
      </w:r>
      <w:r w:rsidR="009231BD" w:rsidRPr="00610A40">
        <w:rPr>
          <w:rFonts w:eastAsia="Arial"/>
          <w:color w:val="auto"/>
          <w:szCs w:val="24"/>
        </w:rPr>
        <w:t xml:space="preserve">When </w:t>
      </w:r>
      <w:proofErr w:type="spellStart"/>
      <w:r w:rsidR="009231BD" w:rsidRPr="00610A40">
        <w:rPr>
          <w:rFonts w:eastAsia="Arial"/>
          <w:color w:val="auto"/>
          <w:szCs w:val="24"/>
        </w:rPr>
        <w:t>Surodex</w:t>
      </w:r>
      <w:proofErr w:type="spellEnd"/>
      <w:r w:rsidR="009231BD" w:rsidRPr="00610A40">
        <w:rPr>
          <w:rFonts w:eastAsia="Arial"/>
          <w:color w:val="auto"/>
          <w:szCs w:val="24"/>
        </w:rPr>
        <w:t xml:space="preserve"> was implanted during</w:t>
      </w:r>
      <w:r w:rsidRPr="00610A40">
        <w:rPr>
          <w:rFonts w:eastAsia="Arial"/>
          <w:color w:val="auto"/>
          <w:szCs w:val="24"/>
        </w:rPr>
        <w:t xml:space="preserve"> </w:t>
      </w:r>
      <w:proofErr w:type="spellStart"/>
      <w:r w:rsidRPr="00610A40">
        <w:rPr>
          <w:rFonts w:eastAsia="Arial"/>
          <w:color w:val="auto"/>
          <w:szCs w:val="24"/>
        </w:rPr>
        <w:t>phacotrabeculectomy</w:t>
      </w:r>
      <w:proofErr w:type="spellEnd"/>
      <w:r w:rsidRPr="00610A40">
        <w:rPr>
          <w:rFonts w:eastAsia="Arial"/>
          <w:color w:val="auto"/>
          <w:szCs w:val="24"/>
        </w:rPr>
        <w:t xml:space="preserve"> surgery, the intraocular pressure outcome was better than surgery augmented with intraoperative 5-fluorouracil. Post-surgery complications were significantly fewer for </w:t>
      </w:r>
      <w:proofErr w:type="spellStart"/>
      <w:r w:rsidRPr="00610A40">
        <w:rPr>
          <w:rFonts w:eastAsia="Arial"/>
          <w:color w:val="auto"/>
          <w:szCs w:val="24"/>
        </w:rPr>
        <w:t>Surodex</w:t>
      </w:r>
      <w:proofErr w:type="spellEnd"/>
      <w:r w:rsidRPr="00610A40">
        <w:rPr>
          <w:rFonts w:eastAsia="Arial"/>
          <w:color w:val="auto"/>
          <w:szCs w:val="24"/>
        </w:rPr>
        <w:t xml:space="preserve"> as compared </w:t>
      </w:r>
      <w:r w:rsidR="009231BD" w:rsidRPr="00610A40">
        <w:rPr>
          <w:rFonts w:eastAsia="Arial"/>
          <w:color w:val="auto"/>
          <w:szCs w:val="24"/>
        </w:rPr>
        <w:t>to</w:t>
      </w:r>
      <w:r w:rsidRPr="00610A40">
        <w:rPr>
          <w:rFonts w:eastAsia="Arial"/>
          <w:color w:val="auto"/>
          <w:szCs w:val="24"/>
        </w:rPr>
        <w:t xml:space="preserve"> the 5- fluorouracil</w:t>
      </w:r>
      <w:r w:rsidR="007C2D95" w:rsidRPr="00610A40">
        <w:rPr>
          <w:rFonts w:eastAsia="Arial"/>
          <w:b/>
          <w:color w:val="auto"/>
          <w:szCs w:val="24"/>
        </w:rPr>
        <w:fldChar w:fldCharType="begin" w:fldLock="1"/>
      </w:r>
      <w:r w:rsidR="00565E2A" w:rsidRPr="00610A40">
        <w:rPr>
          <w:rFonts w:eastAsia="Arial"/>
          <w:color w:val="auto"/>
          <w:szCs w:val="24"/>
        </w:rPr>
        <w:instrText>ADDIN CSL_CITATION { "citationItems" : [ { "id" : "ITEM-1", "itemData" : { "DOI" : "10.1016/j.ajo.2004.10.052", "ISBN" : "0002-9394", "ISSN" : "00029394", "PMID" : "15860309", "abstract" : "PURPOSE: To evaluate the use of Surodex (Oculex Pharmaceuticals, Sunnyvale, California) a drug delivery system incorporating 60 micrograms of dexamethasone in a pellet, in phacotrabeculectomy surgery. DESIGN: Nonrandomized, prospective, interventional case series. METHODS: Phacotrabeculectomy was performed on 37 Asian subjects with primary open-angle glaucoma (POAG) using a standardized technique. All subjects received a Surodex pellet underneath the scleral flap. Results were compared with those of 31 POAG subjects who had undergone phacotrabeculectomy augmented with 50 mg/ml of intraoperative 5-fluorouracil (5-FU) during the same period. RESULTS: Mean follow-up in months was 19.7 &amp;PLUSMN; 7.9 and 22.1 &amp;PLUSMN; 6.2 for the Surodex and 5-FU groups, respectively (P = .29). There was a 20.1% decrease in intraocular pressure in the Surodex group compared with 28.5% decrease in the 5-FU group (P = .6). Postoperative complications occurred in three cases (8.1%) and six cases (19.3%), respectively (P = .04). CONCLUSIONS: Combined phacotrabeculectomy surgery augmented by intra-scleral placement of Surodex results in good control of IOP and a low incidence of complications. &amp;COPY; 2005 by Elsevier Inc. All rights reserved.", "author" : [ { "dropping-particle" : "", "family" : "Aung", "given" : "Tin", "non-dropping-particle" : "", "parse-names" : false, "suffix" : "" }, { "dropping-particle" : "", "family" : "Seah", "given" : "Steve K L", "non-dropping-particle" : "", "parse-names" : false, "suffix" : "" }, { "dropping-particle" : "", "family" : "Husain", "given" : "Rahat", "non-dropping-particle" : "", "parse-names" : false, "suffix" : "" }, { "dropping-particle" : "", "family" : "Gazzard", "given" : "Gus", "non-dropping-particle" : "", "parse-names" : false, "suffix" : "" }, { "dropping-particle" : "", "family" : "Lim", "given" : "Marcus C C", "non-dropping-particle" : "", "parse-names" : false, "suffix" : "" }, { "dropping-particle" : "", "family" : "Hoh", "given" : "Sek-tien", "non-dropping-particle" : "", "parse-names" : false, "suffix" : "" }, { "dropping-particle" : "", "family" : "Oen", "given" : "Francis T S", "non-dropping-particle" : "", "parse-names" : false, "suffix" : "" } ], "container-title" : "American Journal of Ophthalmology", "id" : "ITEM-1", "issue" : "5", "issued" : { "date-parts" : [ [ "2005" ] ] }, "page" : "927-928", "title" : "Use of Surodex in Phacotrabeculectomy Surgery", "type" : "article-journal", "volume" : "139" }, "uris" : [ "http://www.mendeley.com/documents/?uuid=b51b617a-8cd3-4ae1-94ad-22c8cc5a407b", "http://www.mendeley.com/documents/?uuid=42a55cff-15e9-43ee-8251-b2e5d9bebafa" ] } ], "mendeley" : { "formattedCitation" : "&lt;sup&gt;201&lt;/sup&gt;", "plainTextFormattedCitation" : "201", "previouslyFormattedCitation" : "&lt;sup&gt;200&lt;/sup&gt;" }, "properties" : { "noteIndex" : 0 }, "schema" : "https://github.com/citation-style-language/schema/raw/master/csl-citation.json" }</w:instrText>
      </w:r>
      <w:r w:rsidR="007C2D95" w:rsidRPr="00610A40">
        <w:rPr>
          <w:rFonts w:eastAsia="Arial"/>
          <w:b/>
          <w:color w:val="auto"/>
          <w:szCs w:val="24"/>
        </w:rPr>
        <w:fldChar w:fldCharType="separate"/>
      </w:r>
      <w:r w:rsidR="00565E2A" w:rsidRPr="00610A40">
        <w:rPr>
          <w:rFonts w:eastAsia="Arial"/>
          <w:noProof/>
          <w:color w:val="auto"/>
          <w:szCs w:val="24"/>
          <w:vertAlign w:val="superscript"/>
        </w:rPr>
        <w:t>201</w:t>
      </w:r>
      <w:r w:rsidR="007C2D95" w:rsidRPr="00610A40">
        <w:rPr>
          <w:rFonts w:eastAsia="Arial"/>
          <w:b/>
          <w:color w:val="auto"/>
          <w:szCs w:val="24"/>
        </w:rPr>
        <w:fldChar w:fldCharType="end"/>
      </w:r>
      <w:r w:rsidRPr="00610A40">
        <w:rPr>
          <w:rFonts w:eastAsia="Arial"/>
          <w:color w:val="auto"/>
          <w:szCs w:val="24"/>
        </w:rPr>
        <w:t>.</w:t>
      </w:r>
    </w:p>
    <w:p w14:paraId="34A14637" w14:textId="77777777" w:rsidR="00032C04" w:rsidRPr="00610A40" w:rsidRDefault="00032C04" w:rsidP="00032C04">
      <w:pPr>
        <w:keepNext/>
        <w:rPr>
          <w:color w:val="auto"/>
          <w:szCs w:val="24"/>
        </w:rPr>
      </w:pPr>
      <w:r w:rsidRPr="00610A40">
        <w:rPr>
          <w:rFonts w:eastAsia="Arial"/>
          <w:b/>
          <w:noProof/>
          <w:color w:val="auto"/>
          <w:szCs w:val="24"/>
        </w:rPr>
        <w:lastRenderedPageBreak/>
        <w:drawing>
          <wp:inline distT="0" distB="0" distL="0" distR="0" wp14:anchorId="68480643" wp14:editId="7BE75563">
            <wp:extent cx="3899140" cy="3162013"/>
            <wp:effectExtent l="0" t="0" r="635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99140" cy="3162013"/>
                    </a:xfrm>
                    <a:prstGeom prst="rect">
                      <a:avLst/>
                    </a:prstGeom>
                    <a:noFill/>
                    <a:ln>
                      <a:noFill/>
                    </a:ln>
                  </pic:spPr>
                </pic:pic>
              </a:graphicData>
            </a:graphic>
          </wp:inline>
        </w:drawing>
      </w:r>
    </w:p>
    <w:p w14:paraId="577838BD" w14:textId="68FF88A0" w:rsidR="00032C04" w:rsidRPr="00610A40" w:rsidRDefault="00032C04" w:rsidP="00032C04">
      <w:pPr>
        <w:pStyle w:val="Caption"/>
        <w:rPr>
          <w:rFonts w:eastAsia="Arial"/>
          <w:sz w:val="24"/>
          <w:szCs w:val="24"/>
        </w:rPr>
      </w:pPr>
      <w:bookmarkStart w:id="20" w:name="_Ref489036972"/>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16</w:t>
      </w:r>
      <w:r w:rsidR="00004924" w:rsidRPr="00610A40">
        <w:rPr>
          <w:noProof/>
          <w:sz w:val="24"/>
          <w:szCs w:val="24"/>
        </w:rPr>
        <w:fldChar w:fldCharType="end"/>
      </w:r>
      <w:bookmarkEnd w:id="20"/>
      <w:r w:rsidRPr="00610A40">
        <w:rPr>
          <w:sz w:val="24"/>
          <w:szCs w:val="24"/>
        </w:rPr>
        <w:t xml:space="preserve">: Red arrow showing the </w:t>
      </w:r>
      <w:proofErr w:type="spellStart"/>
      <w:r w:rsidRPr="00610A40">
        <w:rPr>
          <w:sz w:val="24"/>
          <w:szCs w:val="24"/>
        </w:rPr>
        <w:t>Surodex</w:t>
      </w:r>
      <w:proofErr w:type="spellEnd"/>
      <w:r w:rsidRPr="00610A40">
        <w:rPr>
          <w:sz w:val="24"/>
          <w:szCs w:val="24"/>
        </w:rPr>
        <w:t xml:space="preserve"> pellet placed half-buried underneath the scleral flap</w:t>
      </w:r>
      <w:r w:rsidRPr="00610A40">
        <w:rPr>
          <w:sz w:val="24"/>
          <w:szCs w:val="24"/>
        </w:rPr>
        <w:fldChar w:fldCharType="begin" w:fldLock="1"/>
      </w:r>
      <w:r w:rsidR="00565E2A" w:rsidRPr="00610A40">
        <w:rPr>
          <w:sz w:val="24"/>
          <w:szCs w:val="24"/>
        </w:rPr>
        <w:instrText>ADDIN CSL_CITATION { "citationItems" : [ { "id" : "ITEM-1", "itemData" : { "DOI" : "10.1016/j.ajo.2004.10.052", "ISBN" : "0002-9394", "ISSN" : "00029394", "PMID" : "15860309", "abstract" : "PURPOSE: To evaluate the use of Surodex (Oculex Pharmaceuticals, Sunnyvale, California) a drug delivery system incorporating 60 micrograms of dexamethasone in a pellet, in phacotrabeculectomy surgery. DESIGN: Nonrandomized, prospective, interventional case series. METHODS: Phacotrabeculectomy was performed on 37 Asian subjects with primary open-angle glaucoma (POAG) using a standardized technique. All subjects received a Surodex pellet underneath the scleral flap. Results were compared with those of 31 POAG subjects who had undergone phacotrabeculectomy augmented with 50 mg/ml of intraoperative 5-fluorouracil (5-FU) during the same period. RESULTS: Mean follow-up in months was 19.7 &amp;PLUSMN; 7.9 and 22.1 &amp;PLUSMN; 6.2 for the Surodex and 5-FU groups, respectively (P = .29). There was a 20.1% decrease in intraocular pressure in the Surodex group compared with 28.5% decrease in the 5-FU group (P = .6). Postoperative complications occurred in three cases (8.1%) and six cases (19.3%), respectively (P = .04). CONCLUSIONS: Combined phacotrabeculectomy surgery augmented by intra-scleral placement of Surodex results in good control of IOP and a low incidence of complications. &amp;COPY; 2005 by Elsevier Inc. All rights reserved.", "author" : [ { "dropping-particle" : "", "family" : "Aung", "given" : "Tin", "non-dropping-particle" : "", "parse-names" : false, "suffix" : "" }, { "dropping-particle" : "", "family" : "Seah", "given" : "Steve K L", "non-dropping-particle" : "", "parse-names" : false, "suffix" : "" }, { "dropping-particle" : "", "family" : "Husain", "given" : "Rahat", "non-dropping-particle" : "", "parse-names" : false, "suffix" : "" }, { "dropping-particle" : "", "family" : "Gazzard", "given" : "Gus", "non-dropping-particle" : "", "parse-names" : false, "suffix" : "" }, { "dropping-particle" : "", "family" : "Lim", "given" : "Marcus C C", "non-dropping-particle" : "", "parse-names" : false, "suffix" : "" }, { "dropping-particle" : "", "family" : "Hoh", "given" : "Sek-tien", "non-dropping-particle" : "", "parse-names" : false, "suffix" : "" }, { "dropping-particle" : "", "family" : "Oen", "given" : "Francis T S", "non-dropping-particle" : "", "parse-names" : false, "suffix" : "" } ], "container-title" : "American Journal of Ophthalmology", "id" : "ITEM-1", "issue" : "5", "issued" : { "date-parts" : [ [ "2005" ] ] }, "page" : "927-928", "title" : "Use of Surodex in Phacotrabeculectomy Surgery", "type" : "article-journal", "volume" : "139" }, "uris" : [ "http://www.mendeley.com/documents/?uuid=42a55cff-15e9-43ee-8251-b2e5d9bebafa" ] } ], "mendeley" : { "formattedCitation" : "&lt;sup&gt;201&lt;/sup&gt;", "plainTextFormattedCitation" : "201", "previouslyFormattedCitation" : "&lt;sup&gt;200&lt;/sup&gt;" }, "properties" : { "noteIndex" : 0 }, "schema" : "https://github.com/citation-style-language/schema/raw/master/csl-citation.json" }</w:instrText>
      </w:r>
      <w:r w:rsidRPr="00610A40">
        <w:rPr>
          <w:sz w:val="24"/>
          <w:szCs w:val="24"/>
        </w:rPr>
        <w:fldChar w:fldCharType="separate"/>
      </w:r>
      <w:r w:rsidR="00565E2A" w:rsidRPr="00610A40">
        <w:rPr>
          <w:b w:val="0"/>
          <w:noProof/>
          <w:sz w:val="24"/>
          <w:szCs w:val="24"/>
          <w:vertAlign w:val="superscript"/>
        </w:rPr>
        <w:t>201</w:t>
      </w:r>
      <w:r w:rsidRPr="00610A40">
        <w:rPr>
          <w:sz w:val="24"/>
          <w:szCs w:val="24"/>
        </w:rPr>
        <w:fldChar w:fldCharType="end"/>
      </w:r>
      <w:r w:rsidRPr="00610A40">
        <w:rPr>
          <w:sz w:val="24"/>
          <w:szCs w:val="24"/>
        </w:rPr>
        <w:t>.</w:t>
      </w:r>
      <w:r w:rsidR="009A5BC6">
        <w:rPr>
          <w:sz w:val="24"/>
          <w:szCs w:val="24"/>
        </w:rPr>
        <w:t xml:space="preserve"> </w:t>
      </w:r>
      <w:r w:rsidR="009A5BC6" w:rsidRPr="00610A40">
        <w:rPr>
          <w:sz w:val="24"/>
          <w:szCs w:val="24"/>
        </w:rPr>
        <w:t xml:space="preserve">Reproduced from ref. </w:t>
      </w:r>
      <w:r w:rsidR="009A5BC6">
        <w:rPr>
          <w:sz w:val="24"/>
          <w:szCs w:val="24"/>
        </w:rPr>
        <w:t>201</w:t>
      </w:r>
      <w:r w:rsidR="009A5BC6" w:rsidRPr="00610A40">
        <w:rPr>
          <w:sz w:val="24"/>
          <w:szCs w:val="24"/>
        </w:rPr>
        <w:t xml:space="preserve"> with permission from </w:t>
      </w:r>
      <w:r w:rsidR="009A5BC6">
        <w:rPr>
          <w:sz w:val="24"/>
          <w:szCs w:val="24"/>
        </w:rPr>
        <w:t>Elsevier</w:t>
      </w:r>
      <w:r w:rsidR="009A5BC6" w:rsidRPr="00610A40">
        <w:rPr>
          <w:sz w:val="24"/>
          <w:szCs w:val="24"/>
        </w:rPr>
        <w:t xml:space="preserve">, copyright </w:t>
      </w:r>
      <w:r w:rsidR="009A5BC6">
        <w:rPr>
          <w:sz w:val="24"/>
          <w:szCs w:val="24"/>
        </w:rPr>
        <w:t>20</w:t>
      </w:r>
      <w:r w:rsidR="009A5BC6">
        <w:rPr>
          <w:sz w:val="24"/>
          <w:szCs w:val="24"/>
        </w:rPr>
        <w:t>0</w:t>
      </w:r>
      <w:r w:rsidR="009A5BC6">
        <w:rPr>
          <w:sz w:val="24"/>
          <w:szCs w:val="24"/>
        </w:rPr>
        <w:t>5</w:t>
      </w:r>
    </w:p>
    <w:p w14:paraId="140C94AC" w14:textId="77777777" w:rsidR="00E6012F" w:rsidRPr="00610A40" w:rsidRDefault="00E6012F" w:rsidP="00EB7D51">
      <w:pPr>
        <w:rPr>
          <w:rFonts w:eastAsia="Arial"/>
          <w:color w:val="auto"/>
          <w:szCs w:val="24"/>
        </w:rPr>
      </w:pPr>
    </w:p>
    <w:p w14:paraId="41B04C0C" w14:textId="1DD308A8" w:rsidR="00E6012F" w:rsidRPr="00610A40" w:rsidRDefault="00E6012F" w:rsidP="00EB7D51">
      <w:pPr>
        <w:rPr>
          <w:rFonts w:eastAsia="Arial"/>
          <w:color w:val="auto"/>
          <w:szCs w:val="24"/>
        </w:rPr>
      </w:pPr>
      <w:r w:rsidRPr="00610A40">
        <w:rPr>
          <w:rFonts w:eastAsia="Arial"/>
          <w:color w:val="auto"/>
          <w:szCs w:val="24"/>
        </w:rPr>
        <w:t xml:space="preserve">Initial success with </w:t>
      </w:r>
      <w:proofErr w:type="spellStart"/>
      <w:r w:rsidRPr="00610A40">
        <w:rPr>
          <w:rFonts w:eastAsia="Arial"/>
          <w:color w:val="auto"/>
          <w:szCs w:val="24"/>
        </w:rPr>
        <w:t>Ozurdex</w:t>
      </w:r>
      <w:proofErr w:type="spellEnd"/>
      <w:r w:rsidRPr="00610A40">
        <w:rPr>
          <w:rFonts w:eastAsia="Arial"/>
          <w:color w:val="auto"/>
          <w:szCs w:val="24"/>
        </w:rPr>
        <w:t xml:space="preserve"> for treating </w:t>
      </w:r>
      <w:r w:rsidR="009231BD" w:rsidRPr="00610A40">
        <w:rPr>
          <w:rFonts w:eastAsia="Arial"/>
          <w:color w:val="auto"/>
          <w:szCs w:val="24"/>
        </w:rPr>
        <w:t>macular edema (</w:t>
      </w:r>
      <w:r w:rsidRPr="00610A40">
        <w:rPr>
          <w:rFonts w:eastAsia="Arial"/>
          <w:color w:val="auto"/>
          <w:szCs w:val="24"/>
        </w:rPr>
        <w:t>ME</w:t>
      </w:r>
      <w:r w:rsidR="009231BD" w:rsidRPr="00610A40">
        <w:rPr>
          <w:rFonts w:eastAsia="Arial"/>
          <w:color w:val="auto"/>
          <w:szCs w:val="24"/>
        </w:rPr>
        <w:t>)</w:t>
      </w:r>
      <w:r w:rsidRPr="00610A40">
        <w:rPr>
          <w:rFonts w:eastAsia="Arial"/>
          <w:color w:val="auto"/>
          <w:szCs w:val="24"/>
        </w:rPr>
        <w:t xml:space="preserve"> was seen in a study involving 22 patients. Approximately 35% of patients improved their visual acuity by 15 letters or more after three months</w:t>
      </w:r>
      <w:r w:rsidR="003E7A46"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"ISSN" : "0275-004X", "abstract" : "Purpose: Evaluation of safety and performance of an applicator-inserted dexamethasone drug delivery system. Methods: Patients with clinically observable macular edema were randomized to receive 700 \u03bcg dexamethasone drug delivery system via a pars plana incisional placement (n = 10) or a 22-gauge applicator insertion (n = 20). Outcome measures included assessment of procedure duration, the postinsertion wound, adverse events, intraocular pressure, and best-corrected visual acuity at baseline and days 1, 7, 14, 30, 60, 90, and 180. Results: Both procedures were well tolerated and none of the patients in the applicator group required sutures to close the insertion wound. The overall incidence of ocular adverse events was less in the applicator group (13/19; 68.4%) than the incisional group (9/10; 90%), although the difference was not statistically significant in this pilot study. Vitreous hemorrhage occurred in two patients in the incisional group and none in the applicator group. Increases in intraocular pressure were less frequent in the applicator group (3/19; 15.8%) than the incisional group (3/10; 30%). No cases of endophthalmitis or retinal detachment occurred in either group. The percentage of patients achieving improvement in visual acuity of \u226515-letters at Day 90 was similar in both groups; 40% (8/20) in the applicator group and 30% (3/10) in the incisional group. Conclusion: The dexamethasone drug delivery system applicator system performed well, allowing safe, effective, and sutureless intravitreal placement of 700 \u03bcg dexamethasone drug delivery system.", "author" : [ { "dropping-particle" : "", "family" : "Haller", "given" : "Julia A.", "non-dropping-particle" : "", "parse-names" : false, "suffix" : "" }, { "dropping-particle" : "", "family" : "Dugel", "given" : "Pravin", "non-dropping-particle" : "", "parse-names" : false, "suffix" : "" }, { "dropping-particle" : "V.", "family" : "Weinberg", "given" : "David", "non-dropping-particle" : "", "parse-names" : false, "suffix" : "" }, { "dropping-particle" : "", "family" : "Chou", "given" : "Connie", "non-dropping-particle" : "", "parse-names" : false, "suffix" : "" }, { "dropping-particle" : "", "family" : "Whitcup", "given" : "Scott M.", "non-dropping-particle" : "", "parse-names" : false, "suffix" : "" } ], "container-title" : "Retina", "id" : "ITEM-1", "issue" : "1", "issued" : { "date-parts" : [ [ "2009" ] ] }, "title" : "Evaluation of the safety and performance of an applicator for a novel intravitreal dexamethasone drug delivery system for the treatment of macular edema.", "type" : "article-journal", "volume" : "29" }, "uris" : [ "http://www.mendeley.com/documents/?uuid=b55c9dc4-f4f6-4a42-bb0b-8a4c4ccb2356", "http://www.mendeley.com/documents/?uuid=eef6ca20-1f91-4ab1-b8cc-0f1a8377a46b" ] } ], "mendeley" : { "formattedCitation" : "&lt;sup&gt;194&lt;/sup&gt;", "plainTextFormattedCitation" : "194", "previouslyFormattedCitation" : "&lt;sup&gt;193&lt;/sup&gt;" }, "properties" : { "noteIndex" : 0 }, "schema" : "https://github.com/citation-style-language/schema/raw/master/csl-citation.json" }</w:instrText>
      </w:r>
      <w:r w:rsidR="003E7A46" w:rsidRPr="00610A40">
        <w:rPr>
          <w:rFonts w:eastAsia="Arial"/>
          <w:color w:val="auto"/>
          <w:szCs w:val="24"/>
        </w:rPr>
        <w:fldChar w:fldCharType="separate"/>
      </w:r>
      <w:r w:rsidR="00565E2A" w:rsidRPr="00610A40">
        <w:rPr>
          <w:rFonts w:eastAsia="Arial"/>
          <w:noProof/>
          <w:color w:val="auto"/>
          <w:szCs w:val="24"/>
          <w:vertAlign w:val="superscript"/>
        </w:rPr>
        <w:t>194</w:t>
      </w:r>
      <w:r w:rsidR="003E7A46" w:rsidRPr="00610A40">
        <w:rPr>
          <w:rFonts w:eastAsia="Arial"/>
          <w:color w:val="auto"/>
          <w:szCs w:val="24"/>
        </w:rPr>
        <w:fldChar w:fldCharType="end"/>
      </w:r>
      <w:r w:rsidRPr="00610A40">
        <w:rPr>
          <w:rFonts w:eastAsia="Arial"/>
          <w:color w:val="auto"/>
          <w:szCs w:val="24"/>
        </w:rPr>
        <w:t>. The research group progressed to a mu</w:t>
      </w:r>
      <w:r w:rsidRPr="00610A40">
        <w:rPr>
          <w:color w:val="auto"/>
          <w:szCs w:val="24"/>
        </w:rPr>
        <w:t>lticenter study involving 1267 patients with ME due to branch or central retinal vein occlusion</w:t>
      </w:r>
      <w:r w:rsidR="003E7A46" w:rsidRPr="00610A40">
        <w:rPr>
          <w:color w:val="auto"/>
          <w:szCs w:val="24"/>
        </w:rPr>
        <w:fldChar w:fldCharType="begin" w:fldLock="1"/>
      </w:r>
      <w:r w:rsidR="00565E2A" w:rsidRPr="00610A40">
        <w:rPr>
          <w:color w:val="auto"/>
          <w:szCs w:val="24"/>
        </w:rPr>
        <w:instrText>ADDIN CSL_CITATION { "citationItems" : [ { "id" : "ITEM-1", "itemData" : { "DOI" : "http://dx.doi.org/10.1016/j.ophtha.2010.03.032", "ISSN" : "0161-6420", "abstract" : "To evaluate the safety and efficacy of dexamethasone intravitreal implant (DEX implant; OZURDEX, Allergan, Inc., Irvine, CA) compared with sham in eyes with vision loss due to macular edema (ME) associated with branch retinal vein occlusion (BRVO) or central retinal vein occlusion (CRVO). Two identical, multicenter, masked, randomized, 6-month, sham-controlled clinical trials (each of which included patients with BRVO and patients with CRVO). A total of 1267 patients with vision loss due to ME associated with BRVO or CRVO. A single treatment with DEX implant 0.7 mg (n = 427), DEX implant 0.35 mg (n = 414), or sham (n = 426). The primary outcome measure for the pooled data from the 2 studies was time to achieve a \u226515-letter improvement in best-corrected visual acuity (BCVA). Secondary end points included BCVA, central retinal thickness, and safety. After a single administration, the time to achieve a \u226515-letter improvement in BCVA was significantly less in both DEX implant groups compared with sham (P&lt;0.001). The percentage of eyes with a \u226515-letter improvement in BCVA was significantly higher in both DEX implant groups compared with sham at days 30 to 90 (P&lt;0.001). The percentage of eyes with a \u226515-letter loss in BCVA was significantly lower in the DEX implant 0.7-mg group compared with sham at all follow-up visits (P\u22640.036). Improvement in mean BCVA was greater in both DEX implant groups compared with sham at all follow-up visits (P\u22640.006). Improvements in BCVA with DEX implant were seen in patients with BRVO and patients with CRVO, although the patterns of response differed. The percentage of DEX implant-treated eyes with intraocular pressure (IOP) of \u226525 mmHg peaked at 16% at day 60 (both doses) and was not different from sham by day 180. There was no significant between-group difference in the occurrence of cataract or cataract surgery. Dexamethasone intravitreal implant can both reduce the risk of vision loss and improve the speed and incidence of visual improvement in eyes with ME secondary to BRVO or CRVO and may be a useful therapeutic option for eyes with these conditions. Proprietary or commercial disclosure may be found after the references.", "author" : [ { "dropping-particle" : "", "family" : "Haller", "given" : "Julia A", "non-dropping-particle" : "", "parse-names" : false, "suffix" : "" }, { "dropping-particle" : "", "family" : "Bandello", "given" : "Francesco", "non-dropping-particle" : "", "parse-names" : false, "suffix" : "" }, { "dropping-particle" : "", "family" : "Belfort", "given" : "Rubens", "non-dropping-particle" : "", "parse-names" : false, "suffix" : "" }, { "dropping-particle" : "", "family" : "Blumenkranz", "given" : "Mark S", "non-dropping-particle" : "", "parse-names" : false, "suffix" : "" }, { "dropping-particle" : "", "family" : "Gillies", "given" : "Mark", "non-dropping-particle" : "", "parse-names" : false, "suffix" : "" }, { "dropping-particle" : "", "family" : "Heier", "given" : "Jeffrey", "non-dropping-particle" : "", "parse-names" : false, "suffix" : "" }, { "dropping-particle" : "", "family" : "Loewenstein", "given" : "Anat", "non-dropping-particle" : "", "parse-names" : false, "suffix" : "" }, { "dropping-particle" : "", "family" : "Yoon", "given" : "Young-Hee", "non-dropping-particle" : "", "parse-names" : false, "suffix" : "" }, { "dropping-particle" : "", "family" : "Jacques", "given" : "Marie-Louise", "non-dropping-particle" : "", "parse-names" : false, "suffix" : "" }, { "dropping-particle" : "", "family" : "Jiao", "given" : "Jenny", "non-dropping-particle" : "", "parse-names" : false, "suffix" : "" }, { "dropping-particle" : "", "family" : "Li", "given" : "Xiao-Yan", "non-dropping-particle" : "", "parse-names" : false, "suffix" : "" }, { "dropping-particle" : "", "family" : "Whitcup", "given" : "Scott M", "non-dropping-particle" : "", "parse-names" : false, "suffix" : "" } ], "container-title" : "Ophthalmology", "id" : "ITEM-1", "issue" : "6", "issued" : { "date-parts" : [ [ "2010" ] ] }, "page" : "1134-1146.e3", "title" : "Randomized, Sham-Controlled Trial of Dexamethasone Intravitreal Implant in Patients with Macular Edema Due to Retinal Vein Occlusion", "type" : "article-journal", "volume" : "117" }, "uris" : [ "http://www.mendeley.com/documents/?uuid=fd0c98be-98ab-4025-8477-d05a24db4cdc", "http://www.mendeley.com/documents/?uuid=5aefbc8a-cd67-4ffa-a12b-60974e08c261" ] } ], "mendeley" : { "formattedCitation" : "&lt;sup&gt;191&lt;/sup&gt;", "plainTextFormattedCitation" : "191", "previouslyFormattedCitation" : "&lt;sup&gt;190&lt;/sup&gt;" }, "properties" : { "noteIndex" : 0 }, "schema" : "https://github.com/citation-style-language/schema/raw/master/csl-citation.json" }</w:instrText>
      </w:r>
      <w:r w:rsidR="003E7A46" w:rsidRPr="00610A40">
        <w:rPr>
          <w:color w:val="auto"/>
          <w:szCs w:val="24"/>
        </w:rPr>
        <w:fldChar w:fldCharType="separate"/>
      </w:r>
      <w:r w:rsidR="00565E2A" w:rsidRPr="00610A40">
        <w:rPr>
          <w:noProof/>
          <w:color w:val="auto"/>
          <w:szCs w:val="24"/>
          <w:vertAlign w:val="superscript"/>
        </w:rPr>
        <w:t>191</w:t>
      </w:r>
      <w:r w:rsidR="003E7A46" w:rsidRPr="00610A40">
        <w:rPr>
          <w:color w:val="auto"/>
          <w:szCs w:val="24"/>
        </w:rPr>
        <w:fldChar w:fldCharType="end"/>
      </w:r>
      <w:r w:rsidRPr="00610A40">
        <w:rPr>
          <w:rFonts w:eastAsia="Arial"/>
          <w:color w:val="auto"/>
          <w:szCs w:val="24"/>
        </w:rPr>
        <w:t xml:space="preserve">. High dose and low dose </w:t>
      </w:r>
      <w:proofErr w:type="spellStart"/>
      <w:r w:rsidRPr="00610A40">
        <w:rPr>
          <w:rFonts w:eastAsia="Arial"/>
          <w:color w:val="auto"/>
          <w:szCs w:val="24"/>
        </w:rPr>
        <w:t>Ozurdex</w:t>
      </w:r>
      <w:proofErr w:type="spellEnd"/>
      <w:r w:rsidRPr="00610A40">
        <w:rPr>
          <w:rFonts w:eastAsia="Arial"/>
          <w:color w:val="auto"/>
          <w:szCs w:val="24"/>
        </w:rPr>
        <w:t xml:space="preserve"> outperformed sham implants in BCVA test at days 30 to 90. This study led to FDA approval of </w:t>
      </w:r>
      <w:proofErr w:type="spellStart"/>
      <w:r w:rsidRPr="00610A40">
        <w:rPr>
          <w:rFonts w:eastAsia="Arial"/>
          <w:color w:val="auto"/>
          <w:szCs w:val="24"/>
        </w:rPr>
        <w:t>Ozurdex</w:t>
      </w:r>
      <w:proofErr w:type="spellEnd"/>
      <w:r w:rsidRPr="00610A40">
        <w:rPr>
          <w:rFonts w:eastAsia="Arial"/>
          <w:color w:val="auto"/>
          <w:szCs w:val="24"/>
        </w:rPr>
        <w:t xml:space="preserve"> for macular edema. </w:t>
      </w:r>
      <w:r w:rsidRPr="00610A40">
        <w:rPr>
          <w:color w:val="auto"/>
          <w:szCs w:val="24"/>
          <w:shd w:val="clear" w:color="auto" w:fill="FFFFFF"/>
        </w:rPr>
        <w:t xml:space="preserve">In a later Barcelona study on 58 patients with refractory diabetic ME, a single injection of </w:t>
      </w:r>
      <w:proofErr w:type="spellStart"/>
      <w:r w:rsidRPr="00610A40">
        <w:rPr>
          <w:color w:val="auto"/>
          <w:szCs w:val="24"/>
          <w:shd w:val="clear" w:color="auto" w:fill="FFFFFF"/>
        </w:rPr>
        <w:t>Ozurdex</w:t>
      </w:r>
      <w:proofErr w:type="spellEnd"/>
      <w:r w:rsidRPr="00610A40">
        <w:rPr>
          <w:color w:val="auto"/>
          <w:szCs w:val="24"/>
          <w:shd w:val="clear" w:color="auto" w:fill="FFFFFF"/>
        </w:rPr>
        <w:t xml:space="preserve"> significantly reduced </w:t>
      </w:r>
      <w:proofErr w:type="spellStart"/>
      <w:r w:rsidRPr="00610A40">
        <w:rPr>
          <w:color w:val="auto"/>
          <w:szCs w:val="24"/>
          <w:shd w:val="clear" w:color="auto" w:fill="FFFFFF"/>
        </w:rPr>
        <w:t>foveal</w:t>
      </w:r>
      <w:proofErr w:type="spellEnd"/>
      <w:r w:rsidRPr="00610A40">
        <w:rPr>
          <w:color w:val="auto"/>
          <w:szCs w:val="24"/>
          <w:shd w:val="clear" w:color="auto" w:fill="FFFFFF"/>
        </w:rPr>
        <w:t xml:space="preserve"> thickness and the BCVA showed improvements at 1, 3 and 6-month intervals</w:t>
      </w:r>
      <w:r w:rsidR="003E7A46" w:rsidRPr="00610A40">
        <w:rPr>
          <w:color w:val="auto"/>
          <w:szCs w:val="24"/>
          <w:shd w:val="clear" w:color="auto" w:fill="FFFFFF"/>
        </w:rPr>
        <w:fldChar w:fldCharType="begin" w:fldLock="1"/>
      </w:r>
      <w:r w:rsidR="00565E2A" w:rsidRPr="00610A40">
        <w:rPr>
          <w:color w:val="auto"/>
          <w:szCs w:val="24"/>
          <w:shd w:val="clear" w:color="auto" w:fill="FFFFFF"/>
        </w:rPr>
        <w:instrText>ADDIN CSL_CITATION { "citationItems" : [ { "id" : "ITEM-1", "itemData" : { "ISSN" : "0030-3755", "abstract" : "&lt;b&gt;&lt;i&gt;Purpose:&lt;/i&gt;&lt;/b&gt; To report the 6-month anatomical and best-corrected visual acuity (BCVA) response after primary intravitreal dexamethasone implantation (Ozurdex\u00ae) in patients with refractory diabetic macular edema (DME). &lt;b&gt;&lt;i&gt;Methods:&lt;/i&gt;&lt;/b&gt; Retrospective review of the medical records of 58 patients with decreased visual acuity, due to refractory DME, who underwent a single injection of Ozurdex between November 2010 and January 2012, at the Instituto de Microcirurgia Ocular, Barcelona, Spain. &lt;b&gt;&lt;i&gt;Results:&lt;/i&gt;&lt;/b&gt; At baseline, the mean foveal thickness (FT) was 543.24 \u00b1 156.51 \u03bcm. Mean (\u00b1SD) values of FT did decrease to 346.82 \u00b1 123.74 \u03bcm at month 1 and 341.12 \u00b1 129.64 \u03bcm at month 3. Data on the 6-month follow-up showed a mild increase to 420.16 \u00b1 152.15 \u03bcm. All of the FT reduction outcomes were statistically significant, with respect to baseline data (p = 0.0001). The baseline BCVA data was 0.66 \u00b1 0.36 logarithm of the minimum angle of resolution (logMAR). The mean BCVA improved to 0.52 \u00b1 0.32 logMAR (p = 0.0001) and 0.44 \u00b1 0.27 logMAR (p = 0.0001) after 1 and 3 months, respectively. At the last visit (6-month follow-up), the mean BCVA increased to 0.51 \u00b1 0.31 logMAR (p = 0.0001). &lt;b&gt;&lt;i&gt;Conclusions:&lt;/i&gt;&lt;/b&gt; In this study, intravitreal treatment with a dexamethasone implant safely reduced DME and improved visual acuity in a difficult-to-treat patient population with long-standing refractory DME.", "author" : [ { "dropping-particle" : "", "family" : "Dutra Medeiros", "given" : "M", "non-dropping-particle" : "", "parse-names" : false, "suffix" : "" }, { "dropping-particle" : "", "family" : "Postorino", "given" : "M", "non-dropping-particle" : "", "parse-names" : false, "suffix" : "" }, { "dropping-particle" : "", "family" : "Navarro", "given" : "R", "non-dropping-particle" : "", "parse-names" : false, "suffix" : "" }, { "dropping-particle" : "", "family" : "Garcia-Arum\u00ed", "given" : "J", "non-dropping-particle" : "", "parse-names" : false, "suffix" : "" }, { "dropping-particle" : "", "family" : "Mateo", "given" : "C", "non-dropping-particle" : "", "parse-names" : false, "suffix" : "" }, { "dropping-particle" : "", "family" : "Corc\u00f3stegui", "given" : "B", "non-dropping-particle" : "", "parse-names" : false, "suffix" : "" } ], "container-title" : "Ophthalmologica", "id" : "ITEM-1", "issue" : "3", "issued" : { "date-parts" : [ [ "2014" ] ] }, "page" : "141-146", "title" : "Dexamethasone Intravitreal Implant for Treatment of Patients with Persistent Diabetic Macular Edema", "type" : "article-journal", "volume" : "231" }, "uris" : [ "http://www.mendeley.com/documents/?uuid=8dfe0775-b968-4310-9778-624249013b3a", "http://www.mendeley.com/documents/?uuid=a1d20caa-b3ed-442e-81d6-c66a0c35bb43" ] } ], "mendeley" : { "formattedCitation" : "&lt;sup&gt;197&lt;/sup&gt;", "plainTextFormattedCitation" : "197", "previouslyFormattedCitation" : "&lt;sup&gt;196&lt;/sup&gt;" }, "properties" : { "noteIndex" : 0 }, "schema" : "https://github.com/citation-style-language/schema/raw/master/csl-citation.json" }</w:instrText>
      </w:r>
      <w:r w:rsidR="003E7A46" w:rsidRPr="00610A40">
        <w:rPr>
          <w:color w:val="auto"/>
          <w:szCs w:val="24"/>
          <w:shd w:val="clear" w:color="auto" w:fill="FFFFFF"/>
        </w:rPr>
        <w:fldChar w:fldCharType="separate"/>
      </w:r>
      <w:r w:rsidR="00565E2A" w:rsidRPr="00610A40">
        <w:rPr>
          <w:noProof/>
          <w:color w:val="auto"/>
          <w:szCs w:val="24"/>
          <w:shd w:val="clear" w:color="auto" w:fill="FFFFFF"/>
          <w:vertAlign w:val="superscript"/>
        </w:rPr>
        <w:t>197</w:t>
      </w:r>
      <w:r w:rsidR="003E7A46" w:rsidRPr="00610A40">
        <w:rPr>
          <w:color w:val="auto"/>
          <w:szCs w:val="24"/>
          <w:shd w:val="clear" w:color="auto" w:fill="FFFFFF"/>
        </w:rPr>
        <w:fldChar w:fldCharType="end"/>
      </w:r>
      <w:r w:rsidRPr="00610A40">
        <w:rPr>
          <w:color w:val="auto"/>
          <w:szCs w:val="24"/>
          <w:shd w:val="clear" w:color="auto" w:fill="FFFFFF"/>
        </w:rPr>
        <w:t>.</w:t>
      </w:r>
      <w:r w:rsidRPr="00610A40">
        <w:rPr>
          <w:rFonts w:eastAsia="Arial"/>
          <w:color w:val="auto"/>
          <w:szCs w:val="24"/>
        </w:rPr>
        <w:t xml:space="preserve"> More recently, an extensive analysis of 573 patients across 70 sites in Germany revealed favorable outcomes of using </w:t>
      </w:r>
      <w:proofErr w:type="spellStart"/>
      <w:r w:rsidRPr="00610A40">
        <w:rPr>
          <w:rFonts w:eastAsia="Arial"/>
          <w:color w:val="auto"/>
          <w:szCs w:val="24"/>
        </w:rPr>
        <w:t>Ozurdex</w:t>
      </w:r>
      <w:proofErr w:type="spellEnd"/>
      <w:r w:rsidRPr="00610A40">
        <w:rPr>
          <w:rFonts w:eastAsia="Arial"/>
          <w:color w:val="auto"/>
          <w:szCs w:val="24"/>
        </w:rPr>
        <w:t xml:space="preserve"> against ME. In three months, more than 30% of patients gained at least 3 lines in BCVA from baseline. At six months, there were further im</w:t>
      </w:r>
      <w:r w:rsidR="0073777B" w:rsidRPr="00610A40">
        <w:rPr>
          <w:rFonts w:eastAsia="Arial"/>
          <w:color w:val="auto"/>
          <w:szCs w:val="24"/>
        </w:rPr>
        <w:t>provements in BCVA and decrease</w:t>
      </w:r>
      <w:r w:rsidRPr="00610A40">
        <w:rPr>
          <w:rFonts w:eastAsia="Arial"/>
          <w:color w:val="auto"/>
          <w:szCs w:val="24"/>
        </w:rPr>
        <w:t xml:space="preserve"> in central retinal thickness</w:t>
      </w:r>
      <w:r w:rsidR="003E7A46"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"DOI" : "10.1007/s00417-016-3431-x", "ISSN" : "0721-832X", "author" : [ { "dropping-particle" : "", "family" : "Eter", "given" : "Nicole", "non-dropping-particle" : "", "parse-names" : false, "suffix" : "" }, { "dropping-particle" : "", "family" : "Mohr", "given" : "Andreas", "non-dropping-particle" : "", "parse-names" : false, "suffix" : "" }, { "dropping-particle" : "", "family" : "Wachtlin", "given" : "Joachim", "non-dropping-particle" : "", "parse-names" : false, "suffix" : "" }, { "dropping-particle" : "", "family" : "Feltgen", "given" : "Nicolas", "non-dropping-particle" : "", "parse-names" : false, "suffix" : "" } ], "container-title" : "Graefe's Archive for Clinical and Experimental Ophthalmology", "id" : "ITEM-1", "issue" : "1", "issued" : { "date-parts" : [ [ "2017" ] ] }, "page" : "77-87", "publisher" : "Graefe's Archive for Clinical and Experimental Ophthalmology", "title" : "Dexamethasone intravitreal implant in retinal vein occlusion : real-life data from a prospective , multicenter clinical trial", "type" : "article-journal", "volume" : "255" }, "uris" : [ "http://www.mendeley.com/documents/?uuid=5ec4586f-a475-4ded-bd79-bc5b7f4130c5", "http://www.mendeley.com/documents/?uuid=16e6703a-b525-4f1a-93ed-a6c127ffa9c8" ] } ], "mendeley" : { "formattedCitation" : "&lt;sup&gt;199&lt;/sup&gt;", "plainTextFormattedCitation" : "199", "previouslyFormattedCitation" : "&lt;sup&gt;198&lt;/sup&gt;" }, "properties" : { "noteIndex" : 0 }, "schema" : "https://github.com/citation-style-language/schema/raw/master/csl-citation.json" }</w:instrText>
      </w:r>
      <w:r w:rsidR="003E7A46" w:rsidRPr="00610A40">
        <w:rPr>
          <w:rFonts w:eastAsia="Arial"/>
          <w:color w:val="auto"/>
          <w:szCs w:val="24"/>
        </w:rPr>
        <w:fldChar w:fldCharType="separate"/>
      </w:r>
      <w:r w:rsidR="00565E2A" w:rsidRPr="00610A40">
        <w:rPr>
          <w:rFonts w:eastAsia="Arial"/>
          <w:noProof/>
          <w:color w:val="auto"/>
          <w:szCs w:val="24"/>
          <w:vertAlign w:val="superscript"/>
        </w:rPr>
        <w:t>199</w:t>
      </w:r>
      <w:r w:rsidR="003E7A46" w:rsidRPr="00610A40">
        <w:rPr>
          <w:rFonts w:eastAsia="Arial"/>
          <w:color w:val="auto"/>
          <w:szCs w:val="24"/>
        </w:rPr>
        <w:fldChar w:fldCharType="end"/>
      </w:r>
      <w:r w:rsidRPr="00610A40">
        <w:rPr>
          <w:rFonts w:eastAsia="Arial"/>
          <w:color w:val="auto"/>
          <w:szCs w:val="24"/>
        </w:rPr>
        <w:t xml:space="preserve">. </w:t>
      </w:r>
    </w:p>
    <w:p w14:paraId="23623FBA" w14:textId="77777777" w:rsidR="00E6012F" w:rsidRPr="00610A40" w:rsidRDefault="00E6012F" w:rsidP="00EB7D51">
      <w:pPr>
        <w:rPr>
          <w:rFonts w:eastAsia="Arial"/>
          <w:color w:val="auto"/>
          <w:szCs w:val="24"/>
        </w:rPr>
      </w:pPr>
    </w:p>
    <w:p w14:paraId="245B4241" w14:textId="649ACFC2" w:rsidR="00E6012F" w:rsidRPr="00610A40" w:rsidRDefault="00E6012F" w:rsidP="00EB7D51">
      <w:pPr>
        <w:rPr>
          <w:color w:val="auto"/>
          <w:szCs w:val="24"/>
        </w:rPr>
      </w:pPr>
      <w:r w:rsidRPr="00610A40">
        <w:rPr>
          <w:color w:val="auto"/>
          <w:szCs w:val="24"/>
        </w:rPr>
        <w:lastRenderedPageBreak/>
        <w:t xml:space="preserve">Constant monitoring and prescribing reinjection when necessary lead to better outcomes than single injection. </w:t>
      </w:r>
      <w:r w:rsidRPr="00610A40">
        <w:rPr>
          <w:rFonts w:eastAsia="Arial"/>
          <w:color w:val="auto"/>
          <w:szCs w:val="24"/>
        </w:rPr>
        <w:t>Reinjection frequency must be considered while choosing intraocular steroid treatments. Unnecessary reinjection can lead to patient trauma and post-operative complications. In a recent multicenter study, the s</w:t>
      </w:r>
      <w:r w:rsidRPr="00610A40">
        <w:rPr>
          <w:color w:val="auto"/>
          <w:szCs w:val="24"/>
        </w:rPr>
        <w:t xml:space="preserve">ingle injection patient group showed declining BCVA after 3 months and retinal thickness was reverting to pretreatment state. The retreatment group with monthly follow-up </w:t>
      </w:r>
      <w:r w:rsidR="0073777B" w:rsidRPr="00610A40">
        <w:rPr>
          <w:color w:val="auto"/>
          <w:szCs w:val="24"/>
        </w:rPr>
        <w:t>showed</w:t>
      </w:r>
      <w:r w:rsidRPr="00610A40">
        <w:rPr>
          <w:color w:val="auto"/>
          <w:szCs w:val="24"/>
        </w:rPr>
        <w:t xml:space="preserve"> significantly better retinal thickness than the fixed group after 4-5 months. After 6 months, the retreatment group also demonstrated better BCVA</w:t>
      </w:r>
      <w:r w:rsidR="003E7A46" w:rsidRPr="00610A40">
        <w:rPr>
          <w:color w:val="auto"/>
          <w:szCs w:val="24"/>
        </w:rPr>
        <w:fldChar w:fldCharType="begin" w:fldLock="1"/>
      </w:r>
      <w:r w:rsidR="00565E2A" w:rsidRPr="00610A40">
        <w:rPr>
          <w:color w:val="auto"/>
          <w:szCs w:val="24"/>
        </w:rPr>
        <w:instrText>ADDIN CSL_CITATION { "citationItems" : [ { "id" : "ITEM-1", "itemData" : { "DOI" : "10.1111/aos.13395", "ISSN" : "1755-3768", "abstract" : "Purpose: To evaluate a pro re nata administration of Ozurdex\u00ae implant versus a single administration for treating diabetic macular oedema (DME). \nMethods: This exploratory study is designed as a comparative, multicentre, randomized study with a follow-up of 6\u00a0months. Patients with DME were assigned to treatment at baseline either with a single Ozurdex\u00ae implant during the entire six-month follow-up (fixed group) or Ozurdex\u00ae implant followed by retreatment on an individualized basis (PRN group). Patients were scheduled for monthly evaluation based on assessment of best-corrected visual acuity (BCVA) and optical coherence tomography.\nResults: Twenty eyes were enrolled to the PRN group, and 22 were included in the fixed group. Following an equally steady, initial gain up to month 1, and maintenance up to month 3, vision started to decline in the fixed regimen group. At 6\u00a0months, a difference of 0.11 logMAR in BCVA was observed in favour of the PRN group. Compared to baseline, a significant reduction in retinal thickness was achieved up to month 2, when the fixed regimen group had begun to revert to pretreatment level. At 4 and 5\u00a0months, the difference in thickness between the two groups was statistically significant (p\u00a0&lt;\u00a00.05). Mean number of treatments was 1.6 in the PRN group. Both fixed and PRN administration of Ozurdex showed a good safety profile.\nConclusion: A personalized treatment with monthly monitoring and retreatment as needed is effective in maintaining functional and anatomical benefits of Ozurdex\u00ae.", "author" : [ { "dropping-particle" : "", "family" : "Sarao", "given" : "Valentina", "non-dropping-particle" : "", "parse-names" : false, "suffix" : "" }, { "dropping-particle" : "", "family" : "Veritti", "given" : "Daniele", "non-dropping-particle" : "", "parse-names" : false, "suffix" : "" }, { "dropping-particle" : "", "family" : "Furino", "given" : "Claudio", "non-dropping-particle" : "", "parse-names" : false, "suffix" : "" }, { "dropping-particle" : "", "family" : "Giancipoli", "given" : "Ermete", "non-dropping-particle" : "", "parse-names" : false, "suffix" : "" }, { "dropping-particle" : "", "family" : "Alessio", "given" : "Giovanni", "non-dropping-particle" : "", "parse-names" : false, "suffix" : "" }, { "dropping-particle" : "", "family" : "Boscia", "given" : "Francesco", "non-dropping-particle" : "", "parse-names" : false, "suffix" : "" }, { "dropping-particle" : "", "family" : "Lanzetta", "given" : "Paolo", "non-dropping-particle" : "", "parse-names" : false, "suffix" : "" } ], "container-title" : "Acta Ophthalmologica", "id" : "ITEM-1", "issue" : "4", "issued" : { "date-parts" : [ [ "2017", "6", "1" ] ] }, "page" : "e255-e260", "title" : "Dexamethasone implant with fixed or individualized regimen in the treatment of diabetic macular oedema: six-month outcomes of the UDBASA study", "type" : "article-journal", "volume" : "95" }, "uris" : [ "http://www.mendeley.com/documents/?uuid=dc3b226d-0a19-48b1-b033-4692d7235cd9", "http://www.mendeley.com/documents/?uuid=828cef88-97b8-429e-963b-2f894a082d23" ] } ], "mendeley" : { "formattedCitation" : "&lt;sup&gt;198&lt;/sup&gt;", "plainTextFormattedCitation" : "198", "previouslyFormattedCitation" : "&lt;sup&gt;197&lt;/sup&gt;" }, "properties" : { "noteIndex" : 0 }, "schema" : "https://github.com/citation-style-language/schema/raw/master/csl-citation.json" }</w:instrText>
      </w:r>
      <w:r w:rsidR="003E7A46" w:rsidRPr="00610A40">
        <w:rPr>
          <w:color w:val="auto"/>
          <w:szCs w:val="24"/>
        </w:rPr>
        <w:fldChar w:fldCharType="separate"/>
      </w:r>
      <w:r w:rsidR="00565E2A" w:rsidRPr="00610A40">
        <w:rPr>
          <w:noProof/>
          <w:color w:val="auto"/>
          <w:szCs w:val="24"/>
          <w:vertAlign w:val="superscript"/>
        </w:rPr>
        <w:t>198</w:t>
      </w:r>
      <w:r w:rsidR="003E7A46" w:rsidRPr="00610A40">
        <w:rPr>
          <w:color w:val="auto"/>
          <w:szCs w:val="24"/>
        </w:rPr>
        <w:fldChar w:fldCharType="end"/>
      </w:r>
      <w:r w:rsidRPr="00610A40">
        <w:rPr>
          <w:color w:val="auto"/>
          <w:szCs w:val="24"/>
        </w:rPr>
        <w:t>. Notably, the ave</w:t>
      </w:r>
      <w:r w:rsidR="00200BF4" w:rsidRPr="00610A40">
        <w:rPr>
          <w:color w:val="auto"/>
          <w:szCs w:val="24"/>
        </w:rPr>
        <w:t xml:space="preserve">rage re-injection was only 1.6. </w:t>
      </w:r>
      <w:r w:rsidRPr="00610A40">
        <w:rPr>
          <w:color w:val="auto"/>
          <w:szCs w:val="24"/>
        </w:rPr>
        <w:t xml:space="preserve">In another study, reinjection of </w:t>
      </w:r>
      <w:proofErr w:type="spellStart"/>
      <w:r w:rsidRPr="00610A40">
        <w:rPr>
          <w:color w:val="auto"/>
          <w:szCs w:val="24"/>
        </w:rPr>
        <w:t>Ozurdex</w:t>
      </w:r>
      <w:proofErr w:type="spellEnd"/>
      <w:r w:rsidRPr="00610A40">
        <w:rPr>
          <w:color w:val="auto"/>
          <w:szCs w:val="24"/>
        </w:rPr>
        <w:t xml:space="preserve"> was warranted in 40% to 50% of patients after approximately 17 weeks. The authors suggest a retreatment at week 16 to stabilize improvements in retina thickness and BCVA</w:t>
      </w:r>
      <w:r w:rsidR="003E7A46" w:rsidRPr="00610A40">
        <w:rPr>
          <w:color w:val="auto"/>
          <w:szCs w:val="24"/>
        </w:rPr>
        <w:fldChar w:fldCharType="begin" w:fldLock="1"/>
      </w:r>
      <w:r w:rsidR="00565E2A" w:rsidRPr="00610A40">
        <w:rPr>
          <w:color w:val="auto"/>
          <w:szCs w:val="24"/>
        </w:rPr>
        <w:instrText>ADDIN CSL_CITATION { "citationItems" : [ { "id" : "ITEM-1", "itemData" : { "DOI" : "10.1111/aos.12020", "ISSN" : "1755-3768", "abstract" : "Purpose:\u00a0 To evaluate the efficacy of intravitreal dexamethasone implants in eyes with cystoid macular oedema (CME) secondary to branch retinal vein occlusion (BRVO) or central retinal vein occlusion (CRVO) in the clinical everyday practice, examine the effects of early retreatment and compare the results with the GENEVA study. Methods:\u00a0 The charts of 102 patients (102 eyes) with CME secondary to BRVO (n\u00a0=\u00a054) or CRVO (n\u00a0=\u00a048) treated with Ozurdex at 8 centres were retrospectively reviewed. The patients were examined monthly over a 24-week period. Slit-lamp biomicroscopy, measurement of best-corrected visual acuity (BCVA) and measurement of the central retinal thickness (CRT) with spectral-domain optical coherence tomography (SD-OCT) were performed at baseline and at every follow-up examination. With progression of the disease (loss of one line or increased central retinal thickness (CRT) of 150\u00a0\u03bcm), a reinjection of Ozurdex or anti-VEGF was offered. Additional supplementing sectorial or panretinal laser photocoagulation was considered based on the individual status of the retina. Results:\u00a0 In the BRVO group, the median BCVA was 0.6 logMAR (Snellen equivalent of 0.25) at baseline and improved to 0.4 logMAR (Snellen equivalent of 0.40) after 4\u00a0weeks, 0.3 logMAR (Snellen equivalent of 0.50) after 8\u00a0weeks, 0.4 logMAR (Snellen equivalent of 0.40) after 12\u00a0weeks, 0.5 logMAR (Snellen equivalent of 0.32) after 16\u00a0weeks, 0.4 logMAR (Snellen equivalent of 0.40) after 20\u00a0weeks and 0.45 logMAR (Snellen equivalent of 0.35) after 24\u00a0weeks. The mean CRT was 559\u00a0\u00b1\u00a0(SD) 209\u00a0\u03bcm at baseline and it decreased to 335\u00a0\u00b1\u00a0148\u00a0\u03bcm after 4\u00a0weeks, 316\u00a0\u00b1\u00a0137\u00a0\u03bcm after 8\u00a0weeks, 369\u00a0\u00b1\u00a0126\u00a0\u03bcm after 12\u00a0weeks, 407\u00a0\u00b1\u00a0161\u00a0\u03bcm after 16\u00a0weeks, 399\u00a0\u00b1\u00a0191\u00a0\u03bcm after 20\u00a0weeks and 419\u00a0\u00b1\u00a0196\u00a0\u03bcm after 24\u00a0weeks. In the CRVO group, the median BCVA was 0.7 logMAR (Snellen equivalent of 0.20) at baseline and improved to 0.4 logMAR (Snellen equivalent of 0.40) after 4\u00a0weeks, 0.4 logMAR (Snellen equivalent of 0.40) after 8\u00a0weeks, 0.6 logMAR (Snellen equivalent of 0.25) after 12\u00a0weeks, 0.6 logMAR (Snellen equivalent of 0.25) after 16\u00a0weeks, 0.5 logMAR (Snellen equivalent of 0.32) after 20\u00a0weeks and 0.52 logMAR (Snellen equivalent of 0.30) after 24\u00a0weeks. The mean CRT at baseline was 740\u00a0\u00b1\u00a0351\u00a0\u03bcm and it decreased to 419\u00a0\u00b1\u00a0315\u00a0\u03bcm after 4\u00a0weeks, 352\u00a0\u00b1\u00a0261\u00a0\u03bcm after 8\u00a0weeks, 455\u00a0\u00b1\u00a0251\u00a0\u03bcm after 12\u00a0weeks, 497\u00a0\u00b1\u00a0280\u00a0\u03bcm after 16\u00a0weeks, 468\u00a0\u00b1\u00a0301\u00a0\u03bcm after 20\u00a0weeks and 395\u00a0\u00b1\u00a0234\u00a0\u03bcm after 24\u00a0weeks. The BCVA improvement\u2026", "author" : [ { "dropping-particle" : "", "family" : "Bezatis", "given" : "Athanasios", "non-dropping-particle" : "", "parse-names" : false, "suffix" : "" }, { "dropping-particle" : "", "family" : "Spital", "given" : "Georg", "non-dropping-particle" : "", "parse-names" : false, "suffix" : "" }, { "dropping-particle" : "", "family" : "H\u00f6hn", "given" : "Fabian", "non-dropping-particle" : "", "parse-names" : false, "suffix" : "" }, { "dropping-particle" : "", "family" : "Maier", "given" : "Mathias", "non-dropping-particle" : "", "parse-names" : false, "suffix" : "" }, { "dropping-particle" : "", "family" : "Clemens", "given" : "Christoph R", "non-dropping-particle" : "", "parse-names" : false, "suffix" : "" }, { "dropping-particle" : "", "family" : "Wachtlin", "given" : "Joachim", "non-dropping-particle" : "", "parse-names" : false, "suffix" : "" }, { "dropping-particle" : "", "family" : "Lehmann", "given" : "Florian", "non-dropping-particle" : "", "parse-names" : false, "suffix" : "" }, { "dropping-particle" : "", "family" : "Hattenbach", "given" : "Lars Olof", "non-dropping-particle" : "", "parse-names" : false, "suffix" : "" }, { "dropping-particle" : "", "family" : "Feltgen", "given" : "Nicolas", "non-dropping-particle" : "", "parse-names" : false, "suffix" : "" }, { "dropping-particle" : "", "family" : "Meyer", "given" : "Carsten H", "non-dropping-particle" : "", "parse-names" : false, "suffix" : "" } ], "container-title" : "Acta Ophthalmologica", "id" : "ITEM-1", "issue" : "5", "issued" : { "date-parts" : [ [ "2013", "8", "1" ] ] }, "page" : "e340-e347", "publisher" : "Blackwell Publishing Ltd", "title" : "Functional and anatomical results after a single intravitreal Ozurdex injection in retinal vein occlusion: a 6-month follow-up \u2013 The SOLO study", "type" : "article-journal", "volume" : "91" }, "uris" : [ "http://www.mendeley.com/documents/?uuid=4b4e2510-b1f0-494e-871c-f5722b090b52", "http://www.mendeley.com/documents/?uuid=46fdfeb9-d864-4a4d-ac61-8b8a9e1e7283" ] } ], "mendeley" : { "formattedCitation" : "&lt;sup&gt;203&lt;/sup&gt;", "plainTextFormattedCitation" : "203", "previouslyFormattedCitation" : "&lt;sup&gt;202&lt;/sup&gt;" }, "properties" : { "noteIndex" : 0 }, "schema" : "https://github.com/citation-style-language/schema/raw/master/csl-citation.json" }</w:instrText>
      </w:r>
      <w:r w:rsidR="003E7A46" w:rsidRPr="00610A40">
        <w:rPr>
          <w:color w:val="auto"/>
          <w:szCs w:val="24"/>
        </w:rPr>
        <w:fldChar w:fldCharType="separate"/>
      </w:r>
      <w:r w:rsidR="00565E2A" w:rsidRPr="00610A40">
        <w:rPr>
          <w:noProof/>
          <w:color w:val="auto"/>
          <w:szCs w:val="24"/>
          <w:vertAlign w:val="superscript"/>
        </w:rPr>
        <w:t>203</w:t>
      </w:r>
      <w:r w:rsidR="003E7A46" w:rsidRPr="00610A40">
        <w:rPr>
          <w:color w:val="auto"/>
          <w:szCs w:val="24"/>
        </w:rPr>
        <w:fldChar w:fldCharType="end"/>
      </w:r>
      <w:r w:rsidRPr="00610A40">
        <w:rPr>
          <w:color w:val="auto"/>
          <w:szCs w:val="24"/>
        </w:rPr>
        <w:t>.</w:t>
      </w:r>
      <w:r w:rsidRPr="00610A40">
        <w:rPr>
          <w:b/>
          <w:color w:val="auto"/>
          <w:szCs w:val="24"/>
        </w:rPr>
        <w:t xml:space="preserve"> </w:t>
      </w:r>
      <w:r w:rsidRPr="00610A40">
        <w:rPr>
          <w:color w:val="auto"/>
          <w:szCs w:val="24"/>
        </w:rPr>
        <w:t>This recommendation agree</w:t>
      </w:r>
      <w:r w:rsidR="008F2873" w:rsidRPr="00610A40">
        <w:rPr>
          <w:color w:val="auto"/>
          <w:szCs w:val="24"/>
        </w:rPr>
        <w:t>d</w:t>
      </w:r>
      <w:r w:rsidRPr="00610A40">
        <w:rPr>
          <w:color w:val="auto"/>
          <w:szCs w:val="24"/>
        </w:rPr>
        <w:t xml:space="preserve"> with the previous study which showed declining visual acuity in the single-injection group after three months</w:t>
      </w:r>
      <w:r w:rsidR="003E7A46" w:rsidRPr="00610A40">
        <w:rPr>
          <w:color w:val="auto"/>
          <w:szCs w:val="24"/>
        </w:rPr>
        <w:fldChar w:fldCharType="begin" w:fldLock="1"/>
      </w:r>
      <w:r w:rsidR="00565E2A" w:rsidRPr="00610A40">
        <w:rPr>
          <w:color w:val="auto"/>
          <w:szCs w:val="24"/>
        </w:rPr>
        <w:instrText>ADDIN CSL_CITATION { "citationItems" : [ { "id" : "ITEM-1", "itemData" : { "DOI" : "10.1111/aos.13395", "ISSN" : "1755-3768", "abstract" : "Purpose: To evaluate a pro re nata administration of Ozurdex\u00ae implant versus a single administration for treating diabetic macular oedema (DME). \nMethods: This exploratory study is designed as a comparative, multicentre, randomized study with a follow-up of 6\u00a0months. Patients with DME were assigned to treatment at baseline either with a single Ozurdex\u00ae implant during the entire six-month follow-up (fixed group) or Ozurdex\u00ae implant followed by retreatment on an individualized basis (PRN group). Patients were scheduled for monthly evaluation based on assessment of best-corrected visual acuity (BCVA) and optical coherence tomography.\nResults: Twenty eyes were enrolled to the PRN group, and 22 were included in the fixed group. Following an equally steady, initial gain up to month 1, and maintenance up to month 3, vision started to decline in the fixed regimen group. At 6\u00a0months, a difference of 0.11 logMAR in BCVA was observed in favour of the PRN group. Compared to baseline, a significant reduction in retinal thickness was achieved up to month 2, when the fixed regimen group had begun to revert to pretreatment level. At 4 and 5\u00a0months, the difference in thickness between the two groups was statistically significant (p\u00a0&lt;\u00a00.05). Mean number of treatments was 1.6 in the PRN group. Both fixed and PRN administration of Ozurdex showed a good safety profile.\nConclusion: A personalized treatment with monthly monitoring and retreatment as needed is effective in maintaining functional and anatomical benefits of Ozurdex\u00ae.", "author" : [ { "dropping-particle" : "", "family" : "Sarao", "given" : "Valentina", "non-dropping-particle" : "", "parse-names" : false, "suffix" : "" }, { "dropping-particle" : "", "family" : "Veritti", "given" : "Daniele", "non-dropping-particle" : "", "parse-names" : false, "suffix" : "" }, { "dropping-particle" : "", "family" : "Furino", "given" : "Claudio", "non-dropping-particle" : "", "parse-names" : false, "suffix" : "" }, { "dropping-particle" : "", "family" : "Giancipoli", "given" : "Ermete", "non-dropping-particle" : "", "parse-names" : false, "suffix" : "" }, { "dropping-particle" : "", "family" : "Alessio", "given" : "Giovanni", "non-dropping-particle" : "", "parse-names" : false, "suffix" : "" }, { "dropping-particle" : "", "family" : "Boscia", "given" : "Francesco", "non-dropping-particle" : "", "parse-names" : false, "suffix" : "" }, { "dropping-particle" : "", "family" : "Lanzetta", "given" : "Paolo", "non-dropping-particle" : "", "parse-names" : false, "suffix" : "" } ], "container-title" : "Acta Ophthalmologica", "id" : "ITEM-1", "issue" : "4", "issued" : { "date-parts" : [ [ "2017", "6", "1" ] ] }, "page" : "e255-e260", "title" : "Dexamethasone implant with fixed or individualized regimen in the treatment of diabetic macular oedema: six-month outcomes of the UDBASA study", "type" : "article-journal", "volume" : "95" }, "uris" : [ "http://www.mendeley.com/documents/?uuid=dc3b226d-0a19-48b1-b033-4692d7235cd9", "http://www.mendeley.com/documents/?uuid=828cef88-97b8-429e-963b-2f894a082d23" ] } ], "mendeley" : { "formattedCitation" : "&lt;sup&gt;198&lt;/sup&gt;", "plainTextFormattedCitation" : "198", "previouslyFormattedCitation" : "&lt;sup&gt;197&lt;/sup&gt;" }, "properties" : { "noteIndex" : 0 }, "schema" : "https://github.com/citation-style-language/schema/raw/master/csl-citation.json" }</w:instrText>
      </w:r>
      <w:r w:rsidR="003E7A46" w:rsidRPr="00610A40">
        <w:rPr>
          <w:color w:val="auto"/>
          <w:szCs w:val="24"/>
        </w:rPr>
        <w:fldChar w:fldCharType="separate"/>
      </w:r>
      <w:r w:rsidR="00565E2A" w:rsidRPr="00610A40">
        <w:rPr>
          <w:noProof/>
          <w:color w:val="auto"/>
          <w:szCs w:val="24"/>
          <w:vertAlign w:val="superscript"/>
        </w:rPr>
        <w:t>198</w:t>
      </w:r>
      <w:r w:rsidR="003E7A46" w:rsidRPr="00610A40">
        <w:rPr>
          <w:color w:val="auto"/>
          <w:szCs w:val="24"/>
        </w:rPr>
        <w:fldChar w:fldCharType="end"/>
      </w:r>
      <w:r w:rsidRPr="00610A40">
        <w:rPr>
          <w:color w:val="auto"/>
          <w:szCs w:val="24"/>
        </w:rPr>
        <w:t>.</w:t>
      </w:r>
      <w:r w:rsidR="00200BF4" w:rsidRPr="00610A40">
        <w:rPr>
          <w:color w:val="auto"/>
          <w:szCs w:val="24"/>
        </w:rPr>
        <w:t xml:space="preserve"> </w:t>
      </w:r>
      <w:r w:rsidRPr="00610A40">
        <w:rPr>
          <w:rFonts w:eastAsia="Arial"/>
          <w:color w:val="auto"/>
          <w:szCs w:val="24"/>
        </w:rPr>
        <w:t>A retrospective, multicenter investigation of 82 eyes revealed that 52.4% of cases involved single injection, 30.4% required 2 injections and 17% required 3 or more injections</w:t>
      </w:r>
      <w:r w:rsidR="003E7A46" w:rsidRPr="00610A40">
        <w:rPr>
          <w:rFonts w:eastAsia="Arial"/>
          <w:color w:val="auto"/>
          <w:szCs w:val="24"/>
        </w:rPr>
        <w:fldChar w:fldCharType="begin" w:fldLock="1"/>
      </w:r>
      <w:r w:rsidR="00565E2A" w:rsidRPr="00610A40">
        <w:rPr>
          <w:rFonts w:eastAsia="Arial"/>
          <w:color w:val="auto"/>
          <w:szCs w:val="24"/>
        </w:rPr>
        <w:instrText>ADDIN CSL_CITATION { "citationItems" : [ { "id" : "ITEM-1", "itemData" : { "ISSN" : "1552-5783", "abstract" : "Abstract Purpose:\nTo audit the characteristics, clinical outcomes and treatment patterns of intravitreal dexamethasone implant (Ozurdex\u00ae) in Uveitis. Methods:\nRetrospective, observational, multicenter study in 4 european hospitals (2 United Kingdom, 2 Spain). Indication, uveitis type, diagnosis, visual acuity (VA), intraocular pressure (IOP), phakic status, number of injections, time to reinjection and complications rate were collected. Results:\nEighty-two eyes (63 patients, mean age 47.4, female:male ratio 2.8:1) received 139 Ozurdex injections in a 32 months period (November 2010-July 2013). Mean number of injections was 1.6\u00b10.8 (mean\u00b1standard deviation) with a mean follow up of 15.4\u00b19.8 months. Single injection was performed in 52.4% of cases, 30.4% required 2 injections, and 17.0% \u22653 injections. Cystoid macular oedema (CMO) (60.9%), vitritis (25.6%), and combined CMO+vitritis (10.9%) were the most common indications. Most frequent anatomical locations were intermediate uveitis (37.8%), posterior uveitis (23.1%) and panuveitis (21.9%), and most frequent diagnosis were undifferentiated (45.1%), Birdshot chorioretinopathy (14.6%), sarcoidosis (7.3%) and multiple sclerosis (7.3%). Baseline VA and vitreous haze score (VHS) was 0.71\u00b10.4 and 0.66\u00b10.8, at 1st month was 0.53\u00b10.4 and 0.14\u00b10.4, 3rd month 0.49\u00b10.4 and 0.21\u00b10.4, 6th month 0.60\u00b10.5 and 0.27\u00b10.5 and 12 months 0.54\u00b10.5 and 0.15\u00b10.3 respectively. Raised IOP (\u226521 mmHg) was observed in 45.8% of the cases and 44.9% required treatment during the follow up period. The percentage of pseudophakic patients increased from 51.2% at baseline to 56.1% at final follow up. There were 2 cases of implant dislocation to the anterior chamber and one case of endophthalmitis. No cases of retinal detachment were observed. Conclusions:\nThe use of Ozurdex in uveitis provides good outcomes with regards to VA and VHS measurements but requires repeated injections, with risk of postoperative complications. The reinjection frequency has to be considered during choice of intraocular steroid treatments.", "author" : [ { "dropping-particle" : "", "family" : "Johnston", "given" : "Robert", "non-dropping-particle" : "", "parse-names" : false, "suffix" : "" }, { "dropping-particle" : "", "family" : "Zarranz-Ventura", "given" : "Javier", "non-dropping-particle" : "", "parse-names" : false, "suffix" : "" }, { "dropping-particle" : "", "family" : "Carreno", "given" : "Ester", "non-dropping-particle" : "", "parse-names" : false, "suffix" : "" }, { "dropping-particle" : "", "family" : "Ross", "given" : "Adam", "non-dropping-particle" : "", "parse-names" : false, "suffix" : "" }, { "dropping-particle" : "", "family" : "Fonollosa", "given" : "Alex", "non-dropping-particle" : "", "parse-names" : false, "suffix" : "" }, { "dropping-particle" : "", "family" : "Pelegrin", "given" : "Laura", "non-dropping-particle" : "", "parse-names" : false, "suffix" : "" }, { "dropping-particle" : "", "family" : "Adan Civera", "given" : "Alfredo", "non-dropping-particle" : "", "parse-names" : false, "suffix" : "" }, { "dropping-particle" : "", "family" : "Lee", "given" : "Richard W J", "non-dropping-particle" : "", "parse-names" : false, "suffix" : "" }, { "dropping-particle" : "", "family" : "Dick", "given" : "Andrew D", "non-dropping-particle" : "", "parse-names" : false, "suffix" : "" }, { "dropping-particle" : "", "family" : "Sallam", "given" : "Ahmed A I", "non-dropping-particle" : "", "parse-names" : false, "suffix" : "" } ], "container-title" : "Investigative Ophthalmology &amp; Visual Science", "id" : "ITEM-1", "issue" : "13", "issued" : { "date-parts" : [ [ "2014", "4", "30" ] ] }, "page" : "5806", "title" : "Real-world observational multicenter study of intravitreal dexamethasone implant (Ozurdex\u00ae) in Uveitis: Baseline characteristics, clinical outcomes and reinjection frequency", "type" : "article-journal", "volume" : "55" }, "uris" : [ "http://www.mendeley.com/documents/?uuid=bf0feecb-acb9-4a98-af82-ed7d598147e5", "http://www.mendeley.com/documents/?uuid=7879d3bb-482b-466a-9288-62d773d7ae73" ] } ], "mendeley" : { "formattedCitation" : "&lt;sup&gt;192&lt;/sup&gt;", "plainTextFormattedCitation" : "192", "previouslyFormattedCitation" : "&lt;sup&gt;191&lt;/sup&gt;" }, "properties" : { "noteIndex" : 0 }, "schema" : "https://github.com/citation-style-language/schema/raw/master/csl-citation.json" }</w:instrText>
      </w:r>
      <w:r w:rsidR="003E7A46" w:rsidRPr="00610A40">
        <w:rPr>
          <w:rFonts w:eastAsia="Arial"/>
          <w:color w:val="auto"/>
          <w:szCs w:val="24"/>
        </w:rPr>
        <w:fldChar w:fldCharType="separate"/>
      </w:r>
      <w:r w:rsidR="00565E2A" w:rsidRPr="00610A40">
        <w:rPr>
          <w:rFonts w:eastAsia="Arial"/>
          <w:noProof/>
          <w:color w:val="auto"/>
          <w:szCs w:val="24"/>
          <w:vertAlign w:val="superscript"/>
        </w:rPr>
        <w:t>192</w:t>
      </w:r>
      <w:r w:rsidR="003E7A46" w:rsidRPr="00610A40">
        <w:rPr>
          <w:rFonts w:eastAsia="Arial"/>
          <w:color w:val="auto"/>
          <w:szCs w:val="24"/>
        </w:rPr>
        <w:fldChar w:fldCharType="end"/>
      </w:r>
      <w:r w:rsidRPr="00610A40">
        <w:rPr>
          <w:color w:val="auto"/>
          <w:szCs w:val="24"/>
        </w:rPr>
        <w:t xml:space="preserve">. </w:t>
      </w:r>
      <w:r w:rsidRPr="00610A40">
        <w:rPr>
          <w:rFonts w:eastAsia="Arial"/>
          <w:color w:val="auto"/>
          <w:szCs w:val="24"/>
        </w:rPr>
        <w:t>In a s</w:t>
      </w:r>
      <w:r w:rsidR="0073777B" w:rsidRPr="00610A40">
        <w:rPr>
          <w:rFonts w:eastAsia="Arial"/>
          <w:color w:val="auto"/>
          <w:szCs w:val="24"/>
        </w:rPr>
        <w:t xml:space="preserve">tudy of 94 eyes, </w:t>
      </w:r>
      <w:r w:rsidRPr="00610A40">
        <w:rPr>
          <w:rFonts w:eastAsia="Arial"/>
          <w:color w:val="auto"/>
          <w:szCs w:val="24"/>
        </w:rPr>
        <w:t>ME patients underwent</w:t>
      </w:r>
      <w:r w:rsidRPr="00610A40">
        <w:rPr>
          <w:color w:val="auto"/>
          <w:szCs w:val="24"/>
        </w:rPr>
        <w:t xml:space="preserve"> an average number of 2.6 </w:t>
      </w:r>
      <w:proofErr w:type="spellStart"/>
      <w:r w:rsidRPr="00610A40">
        <w:rPr>
          <w:color w:val="auto"/>
          <w:szCs w:val="24"/>
        </w:rPr>
        <w:t>intravitreal</w:t>
      </w:r>
      <w:proofErr w:type="spellEnd"/>
      <w:r w:rsidRPr="00610A40">
        <w:rPr>
          <w:color w:val="auto"/>
          <w:szCs w:val="24"/>
        </w:rPr>
        <w:t xml:space="preserve"> injections (IVT) with a maximum at 6. Excellent visual improvement was observed in 58.6% of patients and more than half showed ME resolution. </w:t>
      </w:r>
      <w:proofErr w:type="gramStart"/>
      <w:r w:rsidRPr="00610A40">
        <w:rPr>
          <w:color w:val="auto"/>
          <w:szCs w:val="24"/>
        </w:rPr>
        <w:t>ME</w:t>
      </w:r>
      <w:proofErr w:type="gramEnd"/>
      <w:r w:rsidRPr="00610A40">
        <w:rPr>
          <w:color w:val="auto"/>
          <w:szCs w:val="24"/>
        </w:rPr>
        <w:t xml:space="preserve"> was considered resolved when at least 6 months had elapsed from the last IVT. Summarizing the conclusions of all these separate studies, we can expect a low number of IVTs (≤ 3) is necessary for functional improvement</w:t>
      </w:r>
      <w:r w:rsidR="003E7A46" w:rsidRPr="00610A40">
        <w:rPr>
          <w:color w:val="auto"/>
          <w:szCs w:val="24"/>
        </w:rPr>
        <w:fldChar w:fldCharType="begin" w:fldLock="1"/>
      </w:r>
      <w:r w:rsidR="00565E2A" w:rsidRPr="00610A40">
        <w:rPr>
          <w:color w:val="auto"/>
          <w:szCs w:val="24"/>
        </w:rPr>
        <w:instrText>ADDIN CSL_CITATION { "citationItems" : [ { "id" : "ITEM-1", "itemData" : { "ISSN" : "0030-3755", "abstract" : "&lt;b&gt;&lt;i&gt;Purpose:&lt;/i&gt;&lt;/b&gt; The objective was to study long-term real-life efficacy and safety of repeated Ozurdex\u00ae injections and factors associated with macular edema (ME) resolution after retinal vein occlusion. &lt;b&gt;&lt;i&gt;Methods:&lt;/i&gt;&lt;/b&gt; Patients with ME after retinal vein occlusion, receiving Ozurdex\u00ae, were included to assess the following endpoints: visual acuity and central retinal thickness, retreatment, number of injections, side effects and ME resolution. ME resolution was defined as permanent discontinuation of intravitreal injections (IVTs) for at least 6 months after the last IVT. &lt;b&gt;&lt;i&gt;Results:&lt;/i&gt;&lt;/b&gt; A total of 94 eyes were included with an average of 2.6 IVTs (max 6 IVTs). 58.6% of patients gained \u226515 letters and 51.1% of patients showed ME resolution. Among the resolved patients, 64.6% were treatment-na\u00efve, 60.4% had branch retinal vein occlusion, and 78.1% gained \u226515 letters. &lt;b&gt;&lt;i&gt;Conclusions:&lt;/i&gt;&lt;/b&gt; Ozurdex\u00ae seemed to be a valuable treatment which may allow to achieve long-term anatomical and functional improvements and ME resolution with a minimum number of IVTs.", "author" : [ { "dropping-particle" : "", "family" : "Pommier", "given" : "S", "non-dropping-particle" : "", "parse-names" : false, "suffix" : "" }, { "dropping-particle" : "", "family" : "Meyer", "given" : "F", "non-dropping-particle" : "", "parse-names" : false, "suffix" : "" }, { "dropping-particle" : "", "family" : "Guigou", "given" : "S", "non-dropping-particle" : "", "parse-names" : false, "suffix" : "" }, { "dropping-particle" : "", "family" : "Barthelemy", "given" : "T", "non-dropping-particle" : "", "parse-names" : false, "suffix" : "" }, { "dropping-particle" : "", "family" : "Gobert", "given" : "F", "non-dropping-particle" : "", "parse-names" : false, "suffix" : "" }, { "dropping-particle" : "", "family" : "Hajjar", "given" : "C", "non-dropping-particle" : "", "parse-names" : false, "suffix" : "" }, { "dropping-particle" : "", "family" : "Merite", "given" : "P.-Y.", "non-dropping-particle" : "", "parse-names" : false, "suffix" : "" }, { "dropping-particle" : "", "family" : "Parrat", "given" : "E", "non-dropping-particle" : "", "parse-names" : false, "suffix" : "" }, { "dropping-particle" : "", "family" : "Rouhette", "given" : "H", "non-dropping-particle" : "", "parse-names" : false, "suffix" : "" }, { "dropping-particle" : "", "family" : "Matonti", "given" : "F", "non-dropping-particle" : "", "parse-names" : false, "suffix" : "" } ], "container-title" : "Ophthalmologica", "id" : "ITEM-1", "issue" : "4", "issued" : { "date-parts" : [ [ "2016" ] ] }, "page" : "186-192", "title" : "Long-Term Real-Life Efficacy and Safety of Repeated Ozurdex\u00ae Injections and Factors Associated with Macular Edema Resolution after Retinal Vein Occlusion: The REMIDO 2 Study", "type" : "article-journal", "volume" : "236" }, "uris" : [ "http://www.mendeley.com/documents/?uuid=e5193c44-5bc0-4ece-a013-522c4fc0d6da", "http://www.mendeley.com/documents/?uuid=652a2782-3113-4032-a79d-807a7eee43d1" ] } ], "mendeley" : { "formattedCitation" : "&lt;sup&gt;204&lt;/sup&gt;", "plainTextFormattedCitation" : "204", "previouslyFormattedCitation" : "&lt;sup&gt;203&lt;/sup&gt;" }, "properties" : { "noteIndex" : 0 }, "schema" : "https://github.com/citation-style-language/schema/raw/master/csl-citation.json" }</w:instrText>
      </w:r>
      <w:r w:rsidR="003E7A46" w:rsidRPr="00610A40">
        <w:rPr>
          <w:color w:val="auto"/>
          <w:szCs w:val="24"/>
        </w:rPr>
        <w:fldChar w:fldCharType="separate"/>
      </w:r>
      <w:r w:rsidR="00565E2A" w:rsidRPr="00610A40">
        <w:rPr>
          <w:noProof/>
          <w:color w:val="auto"/>
          <w:szCs w:val="24"/>
          <w:vertAlign w:val="superscript"/>
        </w:rPr>
        <w:t>204</w:t>
      </w:r>
      <w:r w:rsidR="003E7A46" w:rsidRPr="00610A40">
        <w:rPr>
          <w:color w:val="auto"/>
          <w:szCs w:val="24"/>
        </w:rPr>
        <w:fldChar w:fldCharType="end"/>
      </w:r>
      <w:r w:rsidR="00200BF4" w:rsidRPr="00610A40">
        <w:rPr>
          <w:color w:val="auto"/>
          <w:szCs w:val="24"/>
        </w:rPr>
        <w:t xml:space="preserve">. </w:t>
      </w:r>
      <w:r w:rsidRPr="00610A40">
        <w:rPr>
          <w:color w:val="auto"/>
          <w:szCs w:val="24"/>
        </w:rPr>
        <w:t xml:space="preserve">Clinical trials comparing </w:t>
      </w:r>
      <w:proofErr w:type="spellStart"/>
      <w:r w:rsidRPr="00610A40">
        <w:rPr>
          <w:color w:val="auto"/>
          <w:szCs w:val="24"/>
        </w:rPr>
        <w:t>Ozurdex</w:t>
      </w:r>
      <w:proofErr w:type="spellEnd"/>
      <w:r w:rsidRPr="00610A40">
        <w:rPr>
          <w:color w:val="auto"/>
          <w:szCs w:val="24"/>
        </w:rPr>
        <w:t xml:space="preserve"> with other treatments have shown more favorable outcomes for </w:t>
      </w:r>
      <w:proofErr w:type="spellStart"/>
      <w:r w:rsidRPr="00610A40">
        <w:rPr>
          <w:color w:val="auto"/>
          <w:szCs w:val="24"/>
        </w:rPr>
        <w:t>Ozurdex</w:t>
      </w:r>
      <w:proofErr w:type="spellEnd"/>
      <w:r w:rsidRPr="00610A40">
        <w:rPr>
          <w:color w:val="auto"/>
          <w:szCs w:val="24"/>
        </w:rPr>
        <w:t xml:space="preserve">. Comparing </w:t>
      </w:r>
      <w:proofErr w:type="spellStart"/>
      <w:r w:rsidRPr="00610A40">
        <w:rPr>
          <w:color w:val="auto"/>
          <w:szCs w:val="24"/>
        </w:rPr>
        <w:t>Ozurdex</w:t>
      </w:r>
      <w:proofErr w:type="spellEnd"/>
      <w:r w:rsidRPr="00610A40">
        <w:rPr>
          <w:color w:val="auto"/>
          <w:szCs w:val="24"/>
        </w:rPr>
        <w:t xml:space="preserve"> with a non-biodegradable silicone/PVA implant (</w:t>
      </w:r>
      <w:proofErr w:type="spellStart"/>
      <w:r w:rsidRPr="00610A40">
        <w:rPr>
          <w:color w:val="auto"/>
          <w:szCs w:val="24"/>
        </w:rPr>
        <w:t>Retisert</w:t>
      </w:r>
      <w:proofErr w:type="spellEnd"/>
      <w:r w:rsidRPr="00610A40">
        <w:rPr>
          <w:color w:val="auto"/>
          <w:szCs w:val="24"/>
        </w:rPr>
        <w:t xml:space="preserve">) for the treatment of uveitis, the </w:t>
      </w:r>
      <w:proofErr w:type="spellStart"/>
      <w:r w:rsidR="008F2873" w:rsidRPr="00610A40">
        <w:rPr>
          <w:color w:val="auto"/>
          <w:szCs w:val="24"/>
        </w:rPr>
        <w:t>Ozurdex</w:t>
      </w:r>
      <w:proofErr w:type="spellEnd"/>
      <w:r w:rsidR="008F2873" w:rsidRPr="00610A40">
        <w:rPr>
          <w:color w:val="auto"/>
          <w:szCs w:val="24"/>
        </w:rPr>
        <w:t xml:space="preserve"> </w:t>
      </w:r>
      <w:r w:rsidRPr="00610A40">
        <w:rPr>
          <w:color w:val="auto"/>
          <w:szCs w:val="24"/>
        </w:rPr>
        <w:t xml:space="preserve">group saw more than three times </w:t>
      </w:r>
      <w:r w:rsidR="008F2873" w:rsidRPr="00610A40">
        <w:rPr>
          <w:color w:val="auto"/>
          <w:szCs w:val="24"/>
        </w:rPr>
        <w:t xml:space="preserve">lower </w:t>
      </w:r>
      <w:r w:rsidRPr="00610A40">
        <w:rPr>
          <w:color w:val="auto"/>
          <w:szCs w:val="24"/>
        </w:rPr>
        <w:t xml:space="preserve">risk of uveitis recurrence. While there was no significant difference in terms of inflammatory score and BCVA, the </w:t>
      </w:r>
      <w:proofErr w:type="spellStart"/>
      <w:r w:rsidRPr="00610A40">
        <w:rPr>
          <w:color w:val="auto"/>
          <w:szCs w:val="24"/>
        </w:rPr>
        <w:t>Ozurdex</w:t>
      </w:r>
      <w:proofErr w:type="spellEnd"/>
      <w:r w:rsidRPr="00610A40">
        <w:rPr>
          <w:color w:val="auto"/>
          <w:szCs w:val="24"/>
        </w:rPr>
        <w:t xml:space="preserve"> group did not require additional glaucoma medications, surgery or laser. In contrast, </w:t>
      </w:r>
      <w:r w:rsidRPr="00610A40">
        <w:rPr>
          <w:color w:val="auto"/>
          <w:szCs w:val="24"/>
        </w:rPr>
        <w:lastRenderedPageBreak/>
        <w:t xml:space="preserve">almost half of the </w:t>
      </w:r>
      <w:proofErr w:type="spellStart"/>
      <w:r w:rsidRPr="00610A40">
        <w:rPr>
          <w:color w:val="auto"/>
          <w:szCs w:val="24"/>
        </w:rPr>
        <w:t>Retisert</w:t>
      </w:r>
      <w:proofErr w:type="spellEnd"/>
      <w:r w:rsidRPr="00610A40">
        <w:rPr>
          <w:color w:val="auto"/>
          <w:szCs w:val="24"/>
        </w:rPr>
        <w:t xml:space="preserve"> group required additional treatment and there were higher rates of cataract progression</w:t>
      </w:r>
      <w:r w:rsidR="003E7A46" w:rsidRPr="00610A40">
        <w:rPr>
          <w:color w:val="auto"/>
          <w:szCs w:val="24"/>
        </w:rPr>
        <w:fldChar w:fldCharType="begin" w:fldLock="1"/>
      </w:r>
      <w:r w:rsidR="00565E2A" w:rsidRPr="00610A40">
        <w:rPr>
          <w:color w:val="auto"/>
          <w:szCs w:val="24"/>
        </w:rPr>
        <w:instrText>ADDIN CSL_CITATION { "citationItems" : [ { "id" : "ITEM-1", "itemData" : { "DOI" : "10.1089/jop.2012.0180", "ISSN" : "1080-7683", "author" : [ { "dropping-particle" : "", "family" : "Arcinue", "given" : "Cheryl A", "non-dropping-particle" : "", "parse-names" : false, "suffix" : "" }, { "dropping-particle" : "", "family" : "Cer\u00f3n", "given" : "Olga M", "non-dropping-particle" : "", "parse-names" : false, "suffix" : "" }, { "dropping-particle" : "", "family" : "Foster", "given" : "C Stephen", "non-dropping-particle" : "", "parse-names" : false, "suffix" : "" } ], "container-title" : "Journal of Ocular Pharmacology and Therapeutics", "id" : "ITEM-1", "issue" : "5", "issued" : { "date-parts" : [ [ "2013", "1", "8" ] ] }, "note" : "doi: 10.1089/jop.2012.0180", "page" : "501-507", "publisher" : "Mary Ann Liebert, Inc., publishers", "title" : "A Comparison Between the Fluocinolone Acetonide (Retisert) and Dexamethasone (Ozurdex) Intravitreal Implants in Uveitis", "type" : "article-journal", "volume" : "29" }, "uris" : [ "http://www.mendeley.com/documents/?uuid=d2372fbf-9b46-4e13-9579-658341e6e8b9", "http://www.mendeley.com/documents/?uuid=d08dc085-650b-4d9c-8d96-f3c49c7a8daf" ] } ], "mendeley" : { "formattedCitation" : "&lt;sup&gt;193&lt;/sup&gt;", "plainTextFormattedCitation" : "193", "previouslyFormattedCitation" : "&lt;sup&gt;192&lt;/sup&gt;" }, "properties" : { "noteIndex" : 0 }, "schema" : "https://github.com/citation-style-language/schema/raw/master/csl-citation.json" }</w:instrText>
      </w:r>
      <w:r w:rsidR="003E7A46" w:rsidRPr="00610A40">
        <w:rPr>
          <w:color w:val="auto"/>
          <w:szCs w:val="24"/>
        </w:rPr>
        <w:fldChar w:fldCharType="separate"/>
      </w:r>
      <w:r w:rsidR="00565E2A" w:rsidRPr="00610A40">
        <w:rPr>
          <w:noProof/>
          <w:color w:val="auto"/>
          <w:szCs w:val="24"/>
          <w:vertAlign w:val="superscript"/>
        </w:rPr>
        <w:t>193</w:t>
      </w:r>
      <w:r w:rsidR="003E7A46" w:rsidRPr="00610A40">
        <w:rPr>
          <w:color w:val="auto"/>
          <w:szCs w:val="24"/>
        </w:rPr>
        <w:fldChar w:fldCharType="end"/>
      </w:r>
      <w:r w:rsidRPr="00610A40">
        <w:rPr>
          <w:color w:val="auto"/>
          <w:szCs w:val="24"/>
        </w:rPr>
        <w:t xml:space="preserve">. </w:t>
      </w:r>
      <w:r w:rsidRPr="00610A40">
        <w:rPr>
          <w:color w:val="auto"/>
          <w:szCs w:val="24"/>
          <w:shd w:val="clear" w:color="auto" w:fill="FFFFFF"/>
        </w:rPr>
        <w:t xml:space="preserve">In a two-year, multicenter clinical trial comparing </w:t>
      </w:r>
      <w:proofErr w:type="spellStart"/>
      <w:r w:rsidRPr="00610A40">
        <w:rPr>
          <w:color w:val="auto"/>
          <w:szCs w:val="24"/>
          <w:shd w:val="clear" w:color="auto" w:fill="FFFFFF"/>
        </w:rPr>
        <w:t>Ozurdex</w:t>
      </w:r>
      <w:proofErr w:type="spellEnd"/>
      <w:r w:rsidRPr="00610A40">
        <w:rPr>
          <w:color w:val="auto"/>
          <w:szCs w:val="24"/>
          <w:shd w:val="clear" w:color="auto" w:fill="FFFFFF"/>
        </w:rPr>
        <w:t xml:space="preserve"> implant versus </w:t>
      </w:r>
      <w:proofErr w:type="spellStart"/>
      <w:r w:rsidRPr="00610A40">
        <w:rPr>
          <w:color w:val="auto"/>
          <w:szCs w:val="24"/>
          <w:shd w:val="clear" w:color="auto" w:fill="FFFFFF"/>
        </w:rPr>
        <w:t>intravitreal</w:t>
      </w:r>
      <w:proofErr w:type="spellEnd"/>
      <w:r w:rsidRPr="00610A40">
        <w:rPr>
          <w:color w:val="auto"/>
          <w:szCs w:val="24"/>
          <w:shd w:val="clear" w:color="auto" w:fill="FFFFFF"/>
        </w:rPr>
        <w:t xml:space="preserve"> injections of </w:t>
      </w:r>
      <w:proofErr w:type="spellStart"/>
      <w:r w:rsidRPr="00610A40">
        <w:rPr>
          <w:color w:val="auto"/>
          <w:szCs w:val="24"/>
          <w:shd w:val="clear" w:color="auto" w:fill="FFFFFF"/>
        </w:rPr>
        <w:t>bevacizumab</w:t>
      </w:r>
      <w:proofErr w:type="spellEnd"/>
      <w:r w:rsidRPr="00610A40">
        <w:rPr>
          <w:color w:val="auto"/>
          <w:szCs w:val="24"/>
          <w:shd w:val="clear" w:color="auto" w:fill="FFFFFF"/>
        </w:rPr>
        <w:t xml:space="preserve"> (</w:t>
      </w:r>
      <w:proofErr w:type="spellStart"/>
      <w:r w:rsidRPr="00610A40">
        <w:rPr>
          <w:color w:val="auto"/>
          <w:szCs w:val="24"/>
          <w:shd w:val="clear" w:color="auto" w:fill="FFFFFF"/>
        </w:rPr>
        <w:t>Avastin</w:t>
      </w:r>
      <w:proofErr w:type="spellEnd"/>
      <w:r w:rsidRPr="00610A40">
        <w:rPr>
          <w:color w:val="auto"/>
          <w:szCs w:val="24"/>
          <w:shd w:val="clear" w:color="auto" w:fill="FFFFFF"/>
        </w:rPr>
        <w:t xml:space="preserve">), there was no significant difference for patients with diabetic macular edema. Both groups experienced vision-related quality of life improvement in terms of reading, mobility and emotional well-being. However, in both pro re </w:t>
      </w:r>
      <w:proofErr w:type="spellStart"/>
      <w:r w:rsidRPr="00610A40">
        <w:rPr>
          <w:color w:val="auto"/>
          <w:szCs w:val="24"/>
          <w:shd w:val="clear" w:color="auto" w:fill="FFFFFF"/>
        </w:rPr>
        <w:t>nata</w:t>
      </w:r>
      <w:proofErr w:type="spellEnd"/>
      <w:r w:rsidRPr="00610A40">
        <w:rPr>
          <w:color w:val="auto"/>
          <w:szCs w:val="24"/>
          <w:shd w:val="clear" w:color="auto" w:fill="FFFFFF"/>
        </w:rPr>
        <w:t xml:space="preserve">, the </w:t>
      </w:r>
      <w:proofErr w:type="spellStart"/>
      <w:r w:rsidRPr="00610A40">
        <w:rPr>
          <w:color w:val="auto"/>
          <w:szCs w:val="24"/>
          <w:shd w:val="clear" w:color="auto" w:fill="FFFFFF"/>
        </w:rPr>
        <w:t>bevacizumab</w:t>
      </w:r>
      <w:proofErr w:type="spellEnd"/>
      <w:r w:rsidRPr="00610A40">
        <w:rPr>
          <w:color w:val="auto"/>
          <w:szCs w:val="24"/>
          <w:shd w:val="clear" w:color="auto" w:fill="FFFFFF"/>
        </w:rPr>
        <w:t xml:space="preserve"> group was monitored monthly but the </w:t>
      </w:r>
      <w:proofErr w:type="spellStart"/>
      <w:r w:rsidRPr="00610A40">
        <w:rPr>
          <w:color w:val="auto"/>
          <w:szCs w:val="24"/>
          <w:shd w:val="clear" w:color="auto" w:fill="FFFFFF"/>
        </w:rPr>
        <w:t>Ozurdex</w:t>
      </w:r>
      <w:proofErr w:type="spellEnd"/>
      <w:r w:rsidRPr="00610A40">
        <w:rPr>
          <w:color w:val="auto"/>
          <w:szCs w:val="24"/>
          <w:shd w:val="clear" w:color="auto" w:fill="FFFFFF"/>
        </w:rPr>
        <w:t xml:space="preserve"> group was monitored every four months</w:t>
      </w:r>
      <w:r w:rsidR="003E7A46" w:rsidRPr="00610A40">
        <w:rPr>
          <w:color w:val="auto"/>
          <w:szCs w:val="24"/>
          <w:shd w:val="clear" w:color="auto" w:fill="FFFFFF"/>
        </w:rPr>
        <w:fldChar w:fldCharType="begin" w:fldLock="1"/>
      </w:r>
      <w:r w:rsidR="00565E2A" w:rsidRPr="00610A40">
        <w:rPr>
          <w:color w:val="auto"/>
          <w:szCs w:val="24"/>
          <w:shd w:val="clear" w:color="auto" w:fill="FFFFFF"/>
        </w:rPr>
        <w:instrText>ADDIN CSL_CITATION { "citationItems" : [ { "id" : "ITEM-1", "itemData" : { "ISSN" : "1552-5783", "abstract" : "Abstract Purpose: To determine the patient-centered effectiveness of treatment with the slow-release dexamethasone intravitreal implant (DEX implant) and intravitreal bevacizumab using the Impact of Vision Impairment Questionnaire (IVI), a vision-related quality of life (VRQoL) measure, in patients with visual impairment secondary to center-involving diabetic macular edema (DME). Methods: Patients with DME were enrolled in a phase 2, prospective, multicenter, randomized, single-masked clinical trial and received either DEX implant 4 monthly or bevacizumab monthly, both pro re nata. Vision-related quality of life was measured at baseline and 24 months, using the IVI's three component scales, namely reading, mobility, and emotional well-being. Rasch analysis was used to generate interval-level estimates of VRQoL, which were then analyzed using t-tests to assess changes over time. Results: Forty-eight patients completed the main study; 43 (90%) answered the IVI at the baseline and 24-month (final efficacy) visits. Vision-related quality of life improved significantly, with average increases of 1.44, 0.99, and 1.49 logits, for the reading, mobility, and emotional well-being scales respectively, from baseline to 24 months, (P &amp;lt; 0.001). There was no significant between-group difference in improvement in VRQoL in the DEX implant only compared with the bevacizumab-only group, in any of the three scales listed above (with 1.41, 1.08, and 2.11 logits improvement, in reading, mobility, and emotional well-being, respectively, for DEX implant group, compared with 1.48, 1.06, and 2.11 for bevacizumab; P values &amp;gt; 0.1.) Conclusions: We found that both DEX implant and bevacizumab treatment result in significant and similar improvements in VRQoL in patients with DME over a 24-month period. (Clinicaltrials.gov identifier NCT01298076)", "author" : [ { "dropping-particle" : "", "family" : "Aroney", "given" : "Christine", "non-dropping-particle" : "", "parse-names" : false, "suffix" : "" }, { "dropping-particle" : "", "family" : "Fraser-Bell", "given" : "Samantha", "non-dropping-particle" : "", "parse-names" : false, "suffix" : "" }, { "dropping-particle" : "", "family" : "Lamoureux", "given" : "Ecosse L", "non-dropping-particle" : "", "parse-names" : false, "suffix" : "" }, { "dropping-particle" : "", "family" : "Gillies", "given" : "Mark C", "non-dropping-particle" : "", "parse-names" : false, "suffix" : "" }, { "dropping-particle" : "", "family" : "Lim", "given" : "Lyndell L", "non-dropping-particle" : "", "parse-names" : false, "suffix" : "" }, { "dropping-particle" : "", "family" : "Fenwick", "given" : "Eva K", "non-dropping-particle" : "", "parse-names" : false, "suffix" : "" } ], "container-title" : "Investigative Ophthalmology &amp; Visual Science", "id" : "ITEM-1", "issue" : "13", "issued" : { "date-parts" : [ [ "2016", "10", "21" ] ] }, "note" : "10.1167/iovs.16-19729", "page" : "5541-5546", "title" : "Vision-Related Quality of Life Outcomes in the BEVORDEX Study: A Clinical Trial Comparing Ozurdex Sustained Release Dexamethasone Intravitreal Implant and Bevacizumab Treatment for Diabetic Macular EdemaVision-Related Quality of Life in the BEVORDEX Study", "type" : "article-journal", "volume" : "57" }, "uris" : [ "http://www.mendeley.com/documents/?uuid=7b430e55-cdac-432d-b5d0-1a7fe54d838b", "http://www.mendeley.com/documents/?uuid=0d62ad8d-670a-4bfc-aabb-85498affd6e6" ] } ], "mendeley" : { "formattedCitation" : "&lt;sup&gt;200&lt;/sup&gt;", "plainTextFormattedCitation" : "200", "previouslyFormattedCitation" : "&lt;sup&gt;199&lt;/sup&gt;" }, "properties" : { "noteIndex" : 0 }, "schema" : "https://github.com/citation-style-language/schema/raw/master/csl-citation.json" }</w:instrText>
      </w:r>
      <w:r w:rsidR="003E7A46" w:rsidRPr="00610A40">
        <w:rPr>
          <w:color w:val="auto"/>
          <w:szCs w:val="24"/>
          <w:shd w:val="clear" w:color="auto" w:fill="FFFFFF"/>
        </w:rPr>
        <w:fldChar w:fldCharType="separate"/>
      </w:r>
      <w:r w:rsidR="00565E2A" w:rsidRPr="00610A40">
        <w:rPr>
          <w:noProof/>
          <w:color w:val="auto"/>
          <w:szCs w:val="24"/>
          <w:shd w:val="clear" w:color="auto" w:fill="FFFFFF"/>
          <w:vertAlign w:val="superscript"/>
        </w:rPr>
        <w:t>200</w:t>
      </w:r>
      <w:r w:rsidR="003E7A46" w:rsidRPr="00610A40">
        <w:rPr>
          <w:color w:val="auto"/>
          <w:szCs w:val="24"/>
          <w:shd w:val="clear" w:color="auto" w:fill="FFFFFF"/>
        </w:rPr>
        <w:fldChar w:fldCharType="end"/>
      </w:r>
      <w:r w:rsidRPr="00610A40">
        <w:rPr>
          <w:color w:val="auto"/>
          <w:szCs w:val="24"/>
        </w:rPr>
        <w:t xml:space="preserve">. Hence, </w:t>
      </w:r>
      <w:proofErr w:type="spellStart"/>
      <w:r w:rsidRPr="00610A40">
        <w:rPr>
          <w:color w:val="auto"/>
          <w:szCs w:val="24"/>
        </w:rPr>
        <w:t>Ozurdex</w:t>
      </w:r>
      <w:proofErr w:type="spellEnd"/>
      <w:r w:rsidRPr="00610A40">
        <w:rPr>
          <w:color w:val="auto"/>
          <w:szCs w:val="24"/>
        </w:rPr>
        <w:t xml:space="preserve"> is more robust in achieving the same outcomes with fewer monitoring and intervention.</w:t>
      </w:r>
      <w:r w:rsidR="00200BF4" w:rsidRPr="00610A40">
        <w:rPr>
          <w:color w:val="auto"/>
          <w:szCs w:val="24"/>
        </w:rPr>
        <w:t xml:space="preserve"> </w:t>
      </w:r>
      <w:r w:rsidRPr="00610A40">
        <w:rPr>
          <w:color w:val="auto"/>
          <w:szCs w:val="24"/>
        </w:rPr>
        <w:t xml:space="preserve">While the clinical research data </w:t>
      </w:r>
      <w:r w:rsidR="008F2873" w:rsidRPr="00610A40">
        <w:rPr>
          <w:color w:val="auto"/>
          <w:szCs w:val="24"/>
        </w:rPr>
        <w:t xml:space="preserve">had been </w:t>
      </w:r>
      <w:r w:rsidRPr="00610A40">
        <w:rPr>
          <w:color w:val="auto"/>
          <w:szCs w:val="24"/>
        </w:rPr>
        <w:t xml:space="preserve">highly positive overall, risk factors and complications still exist for DEX implants. Although implant migration is a rare event, it can lead to corneal endothelial </w:t>
      </w:r>
      <w:proofErr w:type="spellStart"/>
      <w:r w:rsidRPr="00610A40">
        <w:rPr>
          <w:color w:val="auto"/>
          <w:szCs w:val="24"/>
        </w:rPr>
        <w:t>decompensation</w:t>
      </w:r>
      <w:proofErr w:type="spellEnd"/>
      <w:r w:rsidRPr="00610A40">
        <w:rPr>
          <w:color w:val="auto"/>
          <w:szCs w:val="24"/>
        </w:rPr>
        <w:t xml:space="preserve"> and edema, as well as permanent visual compromise. Urgent removal is necessary when the implant migrates into the anterior chamber with corneal edema</w:t>
      </w:r>
      <w:r w:rsidR="0088689B" w:rsidRPr="00610A40">
        <w:rPr>
          <w:color w:val="auto"/>
          <w:szCs w:val="24"/>
        </w:rPr>
        <w:fldChar w:fldCharType="begin" w:fldLock="1"/>
      </w:r>
      <w:r w:rsidR="00565E2A" w:rsidRPr="00610A40">
        <w:rPr>
          <w:color w:val="auto"/>
          <w:szCs w:val="24"/>
        </w:rPr>
        <w:instrText>ADDIN CSL_CITATION { "citationItems" : [ { "id" : "ITEM-1", "itemData" : { "ISSN" : "1040-8738", "abstract" : "Purpose of review:To describe the risk factors, clinical course, and complications related to anterior segment migration of a dexamethasone (DEX) intravitreal implant, and review over potential management strategies.\nRecent findings:Recent reports have demonstrated that migration of a DEX implant into the anterior chamber may occur in patients with higher risk ocular characteristics. Although a relatively rare occurrence, DEX implant migration carries the possibility of inducing potentially vision-threatening corneal endothelial decompensation and edema.\nSummary:Any combination of previous pars plana vitrectomy, an open/defective lens capsule, and/or iris defects may increase the risk of DEX implant migration into the anterior chamber. In the setting of a DEX implant that has moved into the anterior segment with corneal edema already present, urgent removal of the implant is warranted to reduce the risk of permanent visual compromise.", "author" : [ { "dropping-particle" : "", "family" : "Rahimy", "given" : "Ehsan", "non-dropping-particle" : "", "parse-names" : false, "suffix" : "" }, { "dropping-particle" : "", "family" : "Khurana", "given" : "Rahul N", "non-dropping-particle" : "", "parse-names" : false, "suffix" : "" } ], "container-title" : "Current Opinion in Ophthalmology", "id" : "ITEM-1", "issue" : "3", "issued" : { "date-parts" : [ [ "2017" ] ] }, "title" : "Anterior segment migration of dexamethasone implant: risk factors, complications, and management", "type" : "article-journal", "volume" : "28" }, "uris" : [ "http://www.mendeley.com/documents/?uuid=18738f4b-eaa9-42e0-88e7-ac483a8f588c", "http://www.mendeley.com/documents/?uuid=ab0a7372-23f2-4f58-bdc9-1e11f28d3d3c" ] } ], "mendeley" : { "formattedCitation" : "&lt;sup&gt;205&lt;/sup&gt;", "plainTextFormattedCitation" : "205", "previouslyFormattedCitation" : "&lt;sup&gt;204&lt;/sup&gt;" }, "properties" : { "noteIndex" : 0 }, "schema" : "https://github.com/citation-style-language/schema/raw/master/csl-citation.json" }</w:instrText>
      </w:r>
      <w:r w:rsidR="0088689B" w:rsidRPr="00610A40">
        <w:rPr>
          <w:color w:val="auto"/>
          <w:szCs w:val="24"/>
        </w:rPr>
        <w:fldChar w:fldCharType="separate"/>
      </w:r>
      <w:r w:rsidR="00565E2A" w:rsidRPr="00610A40">
        <w:rPr>
          <w:noProof/>
          <w:color w:val="auto"/>
          <w:szCs w:val="24"/>
          <w:vertAlign w:val="superscript"/>
        </w:rPr>
        <w:t>205</w:t>
      </w:r>
      <w:r w:rsidR="0088689B" w:rsidRPr="00610A40">
        <w:rPr>
          <w:color w:val="auto"/>
          <w:szCs w:val="24"/>
        </w:rPr>
        <w:fldChar w:fldCharType="end"/>
      </w:r>
      <w:r w:rsidRPr="00610A40">
        <w:rPr>
          <w:color w:val="auto"/>
          <w:szCs w:val="24"/>
        </w:rPr>
        <w:t xml:space="preserve">. A retrospective review of fifteen patients with </w:t>
      </w:r>
      <w:proofErr w:type="spellStart"/>
      <w:r w:rsidRPr="00610A40">
        <w:rPr>
          <w:color w:val="auto"/>
          <w:szCs w:val="24"/>
        </w:rPr>
        <w:t>Ozurdex</w:t>
      </w:r>
      <w:proofErr w:type="spellEnd"/>
      <w:r w:rsidRPr="00610A40">
        <w:rPr>
          <w:color w:val="auto"/>
          <w:szCs w:val="24"/>
        </w:rPr>
        <w:t xml:space="preserve"> implant migration revealed an average interval of 13 days after inject</w:t>
      </w:r>
      <w:r w:rsidR="00F442E6" w:rsidRPr="00610A40">
        <w:rPr>
          <w:color w:val="auto"/>
          <w:szCs w:val="24"/>
        </w:rPr>
        <w:t>ion had passed before detection</w:t>
      </w:r>
      <w:r w:rsidR="00F442E6" w:rsidRPr="00610A40">
        <w:rPr>
          <w:b/>
          <w:color w:val="auto"/>
          <w:szCs w:val="24"/>
        </w:rPr>
        <w:fldChar w:fldCharType="begin" w:fldLock="1"/>
      </w:r>
      <w:r w:rsidR="00565E2A" w:rsidRPr="00610A40">
        <w:rPr>
          <w:b/>
          <w:color w:val="auto"/>
          <w:szCs w:val="24"/>
        </w:rPr>
        <w:instrText>ADDIN CSL_CITATION { "citationItems" : [ { "id" : "ITEM-1", "itemData" : { "DOI" : "http://dx.doi.org/10.1016/j.ophtha.2013.06.033", "ISSN" : "0161-6420", "abstract" : "To describe the risk factors, clinical course, and complications of migration of a dexamethasone (DEX) intravitreal implant (OZURDEX; Allergan, Inc., Irvine, CA) into the anterior chamber and subsequent management strategies. Retrospective, observational case series. Fifteen patients had 18 episodes of migration of the DEX implant into the anterior chamber. The medical records of 15 patients with spontaneous migration of a DEX implant were retrospectively reviewed. Migration of the DEX implant into the anterior chamber. Migration of a DEX intravitreal implant into the anterior chamber occurred in 6 patients who were aphakic, 4 patients with an anterior chamber intraocular lens, 2 patients with a scleral-fixated posterior chamber intraocular lens (PCIOL), 2 patients with a PCIOL, and 1 patient with an iris-fixated PCIOL. All 15 patients had prior pars plana vitrectomy, and 14 patients (93%) had no lens capsule. The average interval from DEX implant injection to detection of the implant migration into the anterior chamber was 13 days (range, 5\u201344 days). In 14 patients, corneal edema developed. Among those eyes undergoing surgical removal of the implant, earlier intervention reduced the likelihood of permanent corneal edema (0.5 days [from diagnosis of migration to surgical removal of the implant] vs. 5.5 days; P = 0.04). Aspiration was necessary to remove the implant in 6 patients. Among the 14 patients with corneal edema, the corneal edema did not resolve in 10 patients (71%), 6 (43%) of whom required corneal transplantation. Absence of lens capsule and prior vitrectomy are risk factors for migration of the DEX implant into the anterior chamber. Early removal of the implant may be necessary to minimize the risk of chronic corneal edema.", "author" : [ { "dropping-particle" : "", "family" : "Khurana", "given" : "Rahul N", "non-dropping-particle" : "", "parse-names" : false, "suffix" : "" }, { "dropping-particle" : "", "family" : "Appa", "given" : "Suri N", "non-dropping-particle" : "", "parse-names" : false, "suffix" : "" }, { "dropping-particle" : "", "family" : "McCannel", "given" : "Colin A", "non-dropping-particle" : "", "parse-names" : false, "suffix" : "" }, { "dropping-particle" : "", "family" : "Elman", "given" : "Michael J", "non-dropping-particle" : "", "parse-names" : false, "suffix" : "" }, { "dropping-particle" : "", "family" : "Wittenberg", "given" : "Susan E", "non-dropping-particle" : "", "parse-names" : false, "suffix" : "" }, { "dropping-particle" : "", "family" : "Parks", "given" : "David J", "non-dropping-particle" : "", "parse-names" : false, "suffix" : "" }, { "dropping-particle" : "", "family" : "Ahmad", "given" : "Saad", "non-dropping-particle" : "", "parse-names" : false, "suffix" : "" }, { "dropping-particle" : "", "family" : "Yeh", "given" : "Steven", "non-dropping-particle" : "", "parse-names" : false, "suffix" : "" } ], "container-title" : "Ophthalmology", "id" : "ITEM-1", "issue" : "1", "issued" : { "date-parts" : [ [ "2014" ] ] }, "page" : "67-71", "title" : "Dexamethasone Implant Anterior Chamber Migration: Risk Factors, Complications, and Management Strategies", "type" : "article-journal", "volume" : "121" }, "uris" : [ "http://www.mendeley.com/documents/?uuid=55ce8627-6558-4c33-9c7a-3ea4cc28ca05", "http://www.mendeley.com/documents/?uuid=b0265280-6172-4e69-bd3d-6f3b40df78a0" ] } ], "mendeley" : { "formattedCitation" : "&lt;sup&gt;206&lt;/sup&gt;", "plainTextFormattedCitation" : "206", "previouslyFormattedCitation" : "&lt;sup&gt;205&lt;/sup&gt;" }, "properties" : { "noteIndex" : 0 }, "schema" : "https://github.com/citation-style-language/schema/raw/master/csl-citation.json" }</w:instrText>
      </w:r>
      <w:r w:rsidR="00F442E6" w:rsidRPr="00610A40">
        <w:rPr>
          <w:b/>
          <w:color w:val="auto"/>
          <w:szCs w:val="24"/>
        </w:rPr>
        <w:fldChar w:fldCharType="separate"/>
      </w:r>
      <w:r w:rsidR="00565E2A" w:rsidRPr="00610A40">
        <w:rPr>
          <w:noProof/>
          <w:color w:val="auto"/>
          <w:szCs w:val="24"/>
          <w:vertAlign w:val="superscript"/>
        </w:rPr>
        <w:t>206</w:t>
      </w:r>
      <w:r w:rsidR="00F442E6" w:rsidRPr="00610A40">
        <w:rPr>
          <w:b/>
          <w:color w:val="auto"/>
          <w:szCs w:val="24"/>
        </w:rPr>
        <w:fldChar w:fldCharType="end"/>
      </w:r>
      <w:r w:rsidRPr="00610A40">
        <w:rPr>
          <w:color w:val="auto"/>
          <w:szCs w:val="24"/>
        </w:rPr>
        <w:t>.</w:t>
      </w:r>
      <w:r w:rsidRPr="00610A40">
        <w:rPr>
          <w:b/>
          <w:color w:val="auto"/>
          <w:szCs w:val="24"/>
        </w:rPr>
        <w:t xml:space="preserve"> </w:t>
      </w:r>
      <w:r w:rsidRPr="00610A40">
        <w:rPr>
          <w:color w:val="auto"/>
          <w:szCs w:val="24"/>
        </w:rPr>
        <w:t>The time period is critical because ea</w:t>
      </w:r>
      <w:r w:rsidR="0073777B" w:rsidRPr="00610A40">
        <w:rPr>
          <w:color w:val="auto"/>
          <w:szCs w:val="24"/>
        </w:rPr>
        <w:t>rly removal of implant decreases</w:t>
      </w:r>
      <w:r w:rsidRPr="00610A40">
        <w:rPr>
          <w:color w:val="auto"/>
          <w:szCs w:val="24"/>
        </w:rPr>
        <w:t xml:space="preserve"> the probability of permanent corneal edema. The edema did not resolve in 10 patients and 6 patients re</w:t>
      </w:r>
      <w:r w:rsidR="00200BF4" w:rsidRPr="00610A40">
        <w:rPr>
          <w:color w:val="auto"/>
          <w:szCs w:val="24"/>
        </w:rPr>
        <w:t xml:space="preserve">quired corneal transplantation. </w:t>
      </w:r>
      <w:r w:rsidRPr="00610A40">
        <w:rPr>
          <w:color w:val="auto"/>
          <w:szCs w:val="24"/>
        </w:rPr>
        <w:t xml:space="preserve">Notably, a multicenter study showed that 139 </w:t>
      </w:r>
      <w:proofErr w:type="spellStart"/>
      <w:r w:rsidRPr="00610A40">
        <w:rPr>
          <w:color w:val="auto"/>
          <w:szCs w:val="24"/>
        </w:rPr>
        <w:t>Ozurdex</w:t>
      </w:r>
      <w:proofErr w:type="spellEnd"/>
      <w:r w:rsidRPr="00610A40">
        <w:rPr>
          <w:color w:val="auto"/>
          <w:szCs w:val="24"/>
        </w:rPr>
        <w:t xml:space="preserve"> injections over a 32-month period saw only two cases of dislocation. Hence, implant dislocation is generally rare</w:t>
      </w:r>
      <w:r w:rsidR="00F442E6" w:rsidRPr="00610A40">
        <w:rPr>
          <w:color w:val="auto"/>
          <w:szCs w:val="24"/>
        </w:rPr>
        <w:fldChar w:fldCharType="begin" w:fldLock="1"/>
      </w:r>
      <w:r w:rsidR="00565E2A" w:rsidRPr="00610A40">
        <w:rPr>
          <w:color w:val="auto"/>
          <w:szCs w:val="24"/>
        </w:rPr>
        <w:instrText>ADDIN CSL_CITATION { "citationItems" : [ { "id" : "ITEM-1", "itemData" : { "ISSN" : "1552-5783", "abstract" : "Abstract Purpose:\nTo audit the characteristics, clinical outcomes and treatment patterns of intravitreal dexamethasone implant (Ozurdex\u00ae) in Uveitis. Methods:\nRetrospective, observational, multicenter study in 4 european hospitals (2 United Kingdom, 2 Spain). Indication, uveitis type, diagnosis, visual acuity (VA), intraocular pressure (IOP), phakic status, number of injections, time to reinjection and complications rate were collected. Results:\nEighty-two eyes (63 patients, mean age 47.4, female:male ratio 2.8:1) received 139 Ozurdex injections in a 32 months period (November 2010-July 2013). Mean number of injections was 1.6\u00b10.8 (mean\u00b1standard deviation) with a mean follow up of 15.4\u00b19.8 months. Single injection was performed in 52.4% of cases, 30.4% required 2 injections, and 17.0% \u22653 injections. Cystoid macular oedema (CMO) (60.9%), vitritis (25.6%), and combined CMO+vitritis (10.9%) were the most common indications. Most frequent anatomical locations were intermediate uveitis (37.8%), posterior uveitis (23.1%) and panuveitis (21.9%), and most frequent diagnosis were undifferentiated (45.1%), Birdshot chorioretinopathy (14.6%), sarcoidosis (7.3%) and multiple sclerosis (7.3%). Baseline VA and vitreous haze score (VHS) was 0.71\u00b10.4 and 0.66\u00b10.8, at 1st month was 0.53\u00b10.4 and 0.14\u00b10.4, 3rd month 0.49\u00b10.4 and 0.21\u00b10.4, 6th month 0.60\u00b10.5 and 0.27\u00b10.5 and 12 months 0.54\u00b10.5 and 0.15\u00b10.3 respectively. Raised IOP (\u226521 mmHg) was observed in 45.8% of the cases and 44.9% required treatment during the follow up period. The percentage of pseudophakic patients increased from 51.2% at baseline to 56.1% at final follow up. There were 2 cases of implant dislocation to the anterior chamber and one case of endophthalmitis. No cases of retinal detachment were observed. Conclusions:\nThe use of Ozurdex in uveitis provides good outcomes with regards to VA and VHS measurements but requires repeated injections, with risk of postoperative complications. The reinjection frequency has to be considered during choice of intraocular steroid treatments.", "author" : [ { "dropping-particle" : "", "family" : "Johnston", "given" : "Robert", "non-dropping-particle" : "", "parse-names" : false, "suffix" : "" }, { "dropping-particle" : "", "family" : "Zarranz-Ventura", "given" : "Javier", "non-dropping-particle" : "", "parse-names" : false, "suffix" : "" }, { "dropping-particle" : "", "family" : "Carreno", "given" : "Ester", "non-dropping-particle" : "", "parse-names" : false, "suffix" : "" }, { "dropping-particle" : "", "family" : "Ross", "given" : "Adam", "non-dropping-particle" : "", "parse-names" : false, "suffix" : "" }, { "dropping-particle" : "", "family" : "Fonollosa", "given" : "Alex", "non-dropping-particle" : "", "parse-names" : false, "suffix" : "" }, { "dropping-particle" : "", "family" : "Pelegrin", "given" : "Laura", "non-dropping-particle" : "", "parse-names" : false, "suffix" : "" }, { "dropping-particle" : "", "family" : "Adan Civera", "given" : "Alfredo", "non-dropping-particle" : "", "parse-names" : false, "suffix" : "" }, { "dropping-particle" : "", "family" : "Lee", "given" : "Richard W J", "non-dropping-particle" : "", "parse-names" : false, "suffix" : "" }, { "dropping-particle" : "", "family" : "Dick", "given" : "Andrew D", "non-dropping-particle" : "", "parse-names" : false, "suffix" : "" }, { "dropping-particle" : "", "family" : "Sallam", "given" : "Ahmed A I", "non-dropping-particle" : "", "parse-names" : false, "suffix" : "" } ], "container-title" : "Investigative Ophthalmology &amp; Visual Science", "id" : "ITEM-1", "issue" : "13", "issued" : { "date-parts" : [ [ "2014", "4", "30" ] ] }, "page" : "5806", "title" : "Real-world observational multicenter study of intravitreal dexamethasone implant (Ozurdex\u00ae) in Uveitis: Baseline characteristics, clinical outcomes and reinjection frequency", "type" : "article-journal", "volume" : "55" }, "uris" : [ "http://www.mendeley.com/documents/?uuid=bf0feecb-acb9-4a98-af82-ed7d598147e5", "http://www.mendeley.com/documents/?uuid=7879d3bb-482b-466a-9288-62d773d7ae73" ] } ], "mendeley" : { "formattedCitation" : "&lt;sup&gt;192&lt;/sup&gt;", "plainTextFormattedCitation" : "192", "previouslyFormattedCitation" : "&lt;sup&gt;191&lt;/sup&gt;" }, "properties" : { "noteIndex" : 0 }, "schema" : "https://github.com/citation-style-language/schema/raw/master/csl-citation.json" }</w:instrText>
      </w:r>
      <w:r w:rsidR="00F442E6" w:rsidRPr="00610A40">
        <w:rPr>
          <w:color w:val="auto"/>
          <w:szCs w:val="24"/>
        </w:rPr>
        <w:fldChar w:fldCharType="separate"/>
      </w:r>
      <w:r w:rsidR="00565E2A" w:rsidRPr="00610A40">
        <w:rPr>
          <w:noProof/>
          <w:color w:val="auto"/>
          <w:szCs w:val="24"/>
          <w:vertAlign w:val="superscript"/>
        </w:rPr>
        <w:t>192</w:t>
      </w:r>
      <w:r w:rsidR="00F442E6" w:rsidRPr="00610A40">
        <w:rPr>
          <w:color w:val="auto"/>
          <w:szCs w:val="24"/>
        </w:rPr>
        <w:fldChar w:fldCharType="end"/>
      </w:r>
      <w:r w:rsidR="00F442E6" w:rsidRPr="00610A40">
        <w:rPr>
          <w:color w:val="auto"/>
          <w:szCs w:val="24"/>
        </w:rPr>
        <w:t xml:space="preserve">. </w:t>
      </w:r>
      <w:r w:rsidR="0073777B" w:rsidRPr="00610A40">
        <w:rPr>
          <w:color w:val="auto"/>
          <w:szCs w:val="24"/>
        </w:rPr>
        <w:t>Adverse events are infrequent and t</w:t>
      </w:r>
      <w:r w:rsidRPr="00610A40">
        <w:rPr>
          <w:color w:val="auto"/>
          <w:szCs w:val="24"/>
        </w:rPr>
        <w:t>he most common adverse drug reaction associated with DEX im</w:t>
      </w:r>
      <w:r w:rsidR="0073777B" w:rsidRPr="00610A40">
        <w:rPr>
          <w:color w:val="auto"/>
          <w:szCs w:val="24"/>
        </w:rPr>
        <w:t>plants is increased intraocular</w:t>
      </w:r>
      <w:r w:rsidR="00200BF4" w:rsidRPr="00610A40">
        <w:rPr>
          <w:color w:val="auto"/>
          <w:szCs w:val="24"/>
        </w:rPr>
        <w:t xml:space="preserve"> pressure</w:t>
      </w:r>
      <w:r w:rsidR="00F442E6" w:rsidRPr="00610A40">
        <w:rPr>
          <w:color w:val="auto"/>
          <w:szCs w:val="24"/>
        </w:rPr>
        <w:fldChar w:fldCharType="begin" w:fldLock="1"/>
      </w:r>
      <w:r w:rsidR="00565E2A" w:rsidRPr="00610A40">
        <w:rPr>
          <w:color w:val="auto"/>
          <w:szCs w:val="24"/>
        </w:rPr>
        <w:instrText>ADDIN CSL_CITATION { "citationItems" : [ { "id" : "ITEM-1", "itemData" : { "DOI" : "http://dx.doi.org/10.1016/j.ophtha.2014.04.024", "ISSN" : "0161-6420", "abstract" : "To evaluate the safety and efficacy of dexamethasone intravitreal implant (Ozurdex, DEX implant) 0.7 and 0.35 mg in the treatment of patients with diabetic macular edema (DME). Two randomized, multicenter, masked, sham-controlled, phase III clinical trials with identical protocols were conducted. Data were pooled for analysis. Patients (n = 1048) with DME, best-corrected visual acuity (BCVA) of 20/50 to 20/200 Snellen equivalent, and central retinal thickness (CRT) of \u2265300 \u03bcm by optical coherence tomography. Patients were randomized in a 1:1:1 ratio to study treatment with DEX implant 0.7 mg, DEX implant 0.35 mg, or sham procedure and followed for 3 years (or 39 months for patients treated at month 36) at \u226440 scheduled visits. Patients who met retreatment eligibility criteria could be retreated no more often than every 6 months. The predefined primary efficacy endpoint for the United States Food and Drug Administration was achievement of \u226515-letter improvement in BCVA from baseline at study end. Safety measures included adverse events and intraocular pressure (IOP). Mean number of treatments received over 3 years was 4.1, 4.4, and 3.3 with DEX implant 0.7 mg, DEX implant 0.35 mg, and sham, respectively. The percentage of patients with \u226515-letter improvement in BCVA from baseline at study end was greater with DEX implant 0.7 mg (22.2%) and DEX implant 0.35 mg (18.4%) than sham (12.0%; P \u2264 0.018). Mean average reduction in CRT from baseline was greater with DEX implant 0.7 mg (\u2212111.6 \u03bcm) and DEX implant 0.35 mg (\u2212107.9 \u03bcm) than sham (\u221241.9 \u03bcm; P &lt; 0.001). Rates of cataract-related adverse events in phakic eyes were 67.9%, 64.1%, and 20.4% in the DEX implant 0.7 mg, DEX implant 0.35 mg, and sham groups, respectively. Increases in IOP were usually controlled with medication or no therapy; only 2 patients (0.6%) in the DEX implant 0.7 mg group and 1 (0.3%) in the DEX implant 0.35 mg group required trabeculectomy. The DEX implant 0.7 mg and 0.35 mg met the primary efficacy endpoint for improvement in BCVA. The safety profile was acceptable and consistent with previous reports.", "author" : [ { "dropping-particle" : "", "family" : "Boyer", "given" : "David S", "non-dropping-particle" : "", "parse-names" : false, "suffix" : "" }, { "dropping-particle" : "", "family" : "Yoon", "given" : "Young Hee", "non-dropping-particle" : "", "parse-names" : false, "suffix" : "" }, { "dropping-particle" : "", "family" : "Belfort", "given" : "Rubens", "non-dropping-particle" : "", "parse-names" : false, "suffix" : "" }, { "dropping-particle" : "", "family" : "Bandello", "given" : "Francesco", "non-dropping-particle" : "", "parse-names" : false, "suffix" : "" }, { "dropping-particle" : "", "family" : "Maturi", "given" : "Raj K", "non-dropping-particle" : "", "parse-names" : false, "suffix" : "" }, { "dropping-particle" : "", "family" : "Augustin", "given" : "Albert J", "non-dropping-particle" : "", "parse-names" : false, "suffix" : "" }, { "dropping-particle" : "", "family" : "Li", "given" : "Xiao-Yan", "non-dropping-particle" : "", "parse-names" : false, "suffix" : "" }, { "dropping-particle" : "", "family" : "Cui", "given" : "Harry", "non-dropping-particle" : "", "parse-names" : false, "suffix" : "" }, { "dropping-particle" : "", "family" : "Hashad", "given" : "Yehia", "non-dropping-particle" : "", "parse-names" : false, "suffix" : "" }, { "dropping-particle" : "", "family" : "Whitcup", "given" : "Scott M", "non-dropping-particle" : "", "parse-names" : false, "suffix" : "" } ], "container-title" : "Ophthalmology", "id" : "ITEM-1", "issue" : "10", "issued" : { "date-parts" : [ [ "2014" ] ] }, "page" : "1904-1914", "title" : "Three-Year, Randomized, Sham-Controlled Trial of Dexamethasone Intravitreal Implant in Patients with Diabetic Macular Edema", "type" : "article-journal", "volume" : "121" }, "uris" : [ "http://www.mendeley.com/documents/?uuid=b89dfe40-81be-4f47-8e91-c843ec79485b", "http://www.mendeley.com/documents/?uuid=5c3a5753-63c0-4981-9fa1-95d613f7cd17" ] }, { "id" : "ITEM-2", "itemData" : { "DOI" : "10.1007/s00417-016-3431-x", "ISSN" : "0721-832X", "author" : [ { "dropping-particle" : "", "family" : "Eter", "given" : "Nicole", "non-dropping-particle" : "", "parse-names" : false, "suffix" : "" }, { "dropping-particle" : "", "family" : "Mohr", "given" : "Andreas", "non-dropping-particle" : "", "parse-names" : false, "suffix" : "" }, { "dropping-particle" : "", "family" : "Wachtlin", "given" : "Joachim", "non-dropping-particle" : "", "parse-names" : false, "suffix" : "" }, { "dropping-particle" : "", "family" : "Feltgen", "given" : "Nicolas", "non-dropping-particle" : "", "parse-names" : false, "suffix" : "" } ], "container-title" : "Graefe's Archive for Clinical and Experimental Ophthalmology", "id" : "ITEM-2", "issue" : "1", "issued" : { "date-parts" : [ [ "2017" ] ] }, "page" : "77-87", "publisher" : "Graefe's Archive for Clinical and Experimental Ophthalmology", "title" : "Dexamethasone intravitreal implant in retinal vein occlusion : real-life data from a prospective , multicenter clinical trial", "type" : "article-journal", "volume" : "255" }, "uris" : [ "http://www.mendeley.com/documents/?uuid=5ec4586f-a475-4ded-bd79-bc5b7f4130c5", "http://www.mendeley.com/documents/?uuid=16e6703a-b525-4f1a-93ed-a6c127ffa9c8", "http://www.mendeley.com/documents/?uuid=c0f52bf6-909e-4649-8a16-22f909cc80bd" ] } ], "mendeley" : { "formattedCitation" : "&lt;sup&gt;195,199&lt;/sup&gt;", "plainTextFormattedCitation" : "195,199", "previouslyFormattedCitation" : "&lt;sup&gt;194,198&lt;/sup&gt;" }, "properties" : { "noteIndex" : 0 }, "schema" : "https://github.com/citation-style-language/schema/raw/master/csl-citation.json" }</w:instrText>
      </w:r>
      <w:r w:rsidR="00F442E6" w:rsidRPr="00610A40">
        <w:rPr>
          <w:color w:val="auto"/>
          <w:szCs w:val="24"/>
        </w:rPr>
        <w:fldChar w:fldCharType="separate"/>
      </w:r>
      <w:r w:rsidR="00565E2A" w:rsidRPr="00610A40">
        <w:rPr>
          <w:noProof/>
          <w:color w:val="auto"/>
          <w:szCs w:val="24"/>
          <w:vertAlign w:val="superscript"/>
        </w:rPr>
        <w:t>195,199</w:t>
      </w:r>
      <w:r w:rsidR="00F442E6" w:rsidRPr="00610A40">
        <w:rPr>
          <w:color w:val="auto"/>
          <w:szCs w:val="24"/>
        </w:rPr>
        <w:fldChar w:fldCharType="end"/>
      </w:r>
      <w:r w:rsidRPr="00610A40">
        <w:rPr>
          <w:color w:val="auto"/>
          <w:szCs w:val="24"/>
        </w:rPr>
        <w:t>. Overall, these DEX implants have good safety profiles if patients are monitored monthly and specific high-risk pat</w:t>
      </w:r>
      <w:r w:rsidR="00F442E6" w:rsidRPr="00610A40">
        <w:rPr>
          <w:color w:val="auto"/>
          <w:szCs w:val="24"/>
        </w:rPr>
        <w:t>ients are given extra attention</w:t>
      </w:r>
      <w:r w:rsidR="00F442E6" w:rsidRPr="00610A40">
        <w:rPr>
          <w:b/>
          <w:color w:val="auto"/>
          <w:szCs w:val="24"/>
        </w:rPr>
        <w:fldChar w:fldCharType="begin" w:fldLock="1"/>
      </w:r>
      <w:r w:rsidR="00565E2A" w:rsidRPr="00610A40">
        <w:rPr>
          <w:b/>
          <w:color w:val="auto"/>
          <w:szCs w:val="24"/>
        </w:rPr>
        <w:instrText>ADDIN CSL_CITATION { "citationItems" : [ { "id" : "ITEM-1", "itemData" : { "DOI" : "10.1111/aos.13395", "ISSN" : "1755-3768", "abstract" : "Purpose: To evaluate a pro re nata administration of Ozurdex\u00ae implant versus a single administration for treating diabetic macular oedema (DME). \nMethods: This exploratory study is designed as a comparative, multicentre, randomized study with a follow-up of 6\u00a0months. Patients with DME were assigned to treatment at baseline either with a single Ozurdex\u00ae implant during the entire six-month follow-up (fixed group) or Ozurdex\u00ae implant followed by retreatment on an individualized basis (PRN group). Patients were scheduled for monthly evaluation based on assessment of best-corrected visual acuity (BCVA) and optical coherence tomography.\nResults: Twenty eyes were enrolled to the PRN group, and 22 were included in the fixed group. Following an equally steady, initial gain up to month 1, and maintenance up to month 3, vision started to decline in the fixed regimen group. At 6\u00a0months, a difference of 0.11 logMAR in BCVA was observed in favour of the PRN group. Compared to baseline, a significant reduction in retinal thickness was achieved up to month 2, when the fixed regimen group had begun to revert to pretreatment level. At 4 and 5\u00a0months, the difference in thickness between the two groups was statistically significant (p\u00a0&lt;\u00a00.05). Mean number of treatments was 1.6 in the PRN group. Both fixed and PRN administration of Ozurdex showed a good safety profile.\nConclusion: A personalized treatment with monthly monitoring and retreatment as needed is effective in maintaining functional and anatomical benefits of Ozurdex\u00ae.", "author" : [ { "dropping-particle" : "", "family" : "Sarao", "given" : "Valentina", "non-dropping-particle" : "", "parse-names" : false, "suffix" : "" }, { "dropping-particle" : "", "family" : "Veritti", "given" : "Daniele", "non-dropping-particle" : "", "parse-names" : false, "suffix" : "" }, { "dropping-particle" : "", "family" : "Furino", "given" : "Claudio", "non-dropping-particle" : "", "parse-names" : false, "suffix" : "" }, { "dropping-particle" : "", "family" : "Giancipoli", "given" : "Ermete", "non-dropping-particle" : "", "parse-names" : false, "suffix" : "" }, { "dropping-particle" : "", "family" : "Alessio", "given" : "Giovanni", "non-dropping-particle" : "", "parse-names" : false, "suffix" : "" }, { "dropping-particle" : "", "family" : "Boscia", "given" : "Francesco", "non-dropping-particle" : "", "parse-names" : false, "suffix" : "" }, { "dropping-particle" : "", "family" : "Lanzetta", "given" : "Paolo", "non-dropping-particle" : "", "parse-names" : false, "suffix" : "" } ], "container-title" : "Acta Ophthalmologica", "id" : "ITEM-1", "issue" : "4", "issued" : { "date-parts" : [ [ "2017", "6", "1" ] ] }, "page" : "e255-e260", "title" : "Dexamethasone implant with fixed or individualized regimen in the treatment of diabetic macular oedema: six-month outcomes of the UDBASA study", "type" : "article-journal", "volume" : "95" }, "uris" : [ "http://www.mendeley.com/documents/?uuid=dc3b226d-0a19-48b1-b033-4692d7235cd9", "http://www.mendeley.com/documents/?uuid=828cef88-97b8-429e-963b-2f894a082d23" ] } ], "mendeley" : { "formattedCitation" : "&lt;sup&gt;198&lt;/sup&gt;", "plainTextFormattedCitation" : "198", "previouslyFormattedCitation" : "&lt;sup&gt;197&lt;/sup&gt;" }, "properties" : { "noteIndex" : 0 }, "schema" : "https://github.com/citation-style-language/schema/raw/master/csl-citation.json" }</w:instrText>
      </w:r>
      <w:r w:rsidR="00F442E6" w:rsidRPr="00610A40">
        <w:rPr>
          <w:b/>
          <w:color w:val="auto"/>
          <w:szCs w:val="24"/>
        </w:rPr>
        <w:fldChar w:fldCharType="separate"/>
      </w:r>
      <w:r w:rsidR="00565E2A" w:rsidRPr="00610A40">
        <w:rPr>
          <w:noProof/>
          <w:color w:val="auto"/>
          <w:szCs w:val="24"/>
          <w:vertAlign w:val="superscript"/>
        </w:rPr>
        <w:t>198</w:t>
      </w:r>
      <w:r w:rsidR="00F442E6" w:rsidRPr="00610A40">
        <w:rPr>
          <w:b/>
          <w:color w:val="auto"/>
          <w:szCs w:val="24"/>
        </w:rPr>
        <w:fldChar w:fldCharType="end"/>
      </w:r>
      <w:r w:rsidRPr="00610A40">
        <w:rPr>
          <w:color w:val="auto"/>
          <w:szCs w:val="24"/>
        </w:rPr>
        <w:t>.</w:t>
      </w:r>
    </w:p>
    <w:p w14:paraId="5C097DE5" w14:textId="77777777" w:rsidR="00E6012F" w:rsidRPr="00610A40" w:rsidRDefault="00E6012F" w:rsidP="00EB7D51">
      <w:pPr>
        <w:rPr>
          <w:color w:val="auto"/>
          <w:szCs w:val="24"/>
        </w:rPr>
      </w:pPr>
    </w:p>
    <w:p w14:paraId="732FA290" w14:textId="77777777" w:rsidR="00F442E6" w:rsidRPr="00610A40" w:rsidRDefault="00F442E6" w:rsidP="00EB7D51">
      <w:pPr>
        <w:rPr>
          <w:color w:val="auto"/>
          <w:szCs w:val="24"/>
        </w:rPr>
      </w:pPr>
    </w:p>
    <w:p w14:paraId="68E48584" w14:textId="03A6BD8F" w:rsidR="003C6A24" w:rsidRPr="00610A40" w:rsidRDefault="00007C8A" w:rsidP="00086775">
      <w:pPr>
        <w:pStyle w:val="Heading2"/>
        <w:rPr>
          <w:sz w:val="24"/>
          <w:szCs w:val="24"/>
        </w:rPr>
      </w:pPr>
      <w:r w:rsidRPr="00610A40">
        <w:rPr>
          <w:sz w:val="24"/>
          <w:szCs w:val="24"/>
        </w:rPr>
        <w:lastRenderedPageBreak/>
        <w:t>7</w:t>
      </w:r>
      <w:r w:rsidR="003C6A24" w:rsidRPr="00610A40">
        <w:rPr>
          <w:sz w:val="24"/>
          <w:szCs w:val="24"/>
        </w:rPr>
        <w:t>.</w:t>
      </w:r>
      <w:r w:rsidRPr="00610A40">
        <w:rPr>
          <w:sz w:val="24"/>
          <w:szCs w:val="24"/>
        </w:rPr>
        <w:t>2</w:t>
      </w:r>
      <w:r w:rsidR="003C6A24" w:rsidRPr="00610A40">
        <w:rPr>
          <w:sz w:val="24"/>
          <w:szCs w:val="24"/>
        </w:rPr>
        <w:t xml:space="preserve"> Vascular tissue engineering</w:t>
      </w:r>
    </w:p>
    <w:p w14:paraId="1A5CB5F1" w14:textId="067DF50E" w:rsidR="003C6A24" w:rsidRPr="00610A40" w:rsidRDefault="003C6A24" w:rsidP="003C6A24">
      <w:pPr>
        <w:rPr>
          <w:color w:val="auto"/>
          <w:szCs w:val="24"/>
        </w:rPr>
      </w:pPr>
      <w:r w:rsidRPr="00610A40">
        <w:rPr>
          <w:color w:val="auto"/>
          <w:szCs w:val="24"/>
        </w:rPr>
        <w:t>To date, although there had been a few clinical trials on the repair and regeneration of cardiac tissues</w:t>
      </w:r>
      <w:r w:rsidRPr="00610A40">
        <w:rPr>
          <w:color w:val="auto"/>
          <w:szCs w:val="24"/>
        </w:rPr>
        <w:fldChar w:fldCharType="begin" w:fldLock="1"/>
      </w:r>
      <w:r w:rsidR="00565E2A" w:rsidRPr="00610A40">
        <w:rPr>
          <w:color w:val="auto"/>
          <w:szCs w:val="24"/>
        </w:rPr>
        <w:instrText>ADDIN CSL_CITATION { "citationItems" : [ { "id" : "ITEM-1", "itemData" : { "DOI" : "10.1016/j.athoracsur.2007.10.052", "ISSN" : "00034975", "PMID" : "18291168", "abstract" : "BACKGROUND Cell transplantation for the regeneration of ischemic myocardium is limited by poor graft viability and low cell retention. In ischemic cardiomyopathy, the extracellular matrix is deeply altered; therefore, it could be important to associate a procedure aiming at regenerating myocardial cells and restoring the extracellular matrix function. We evaluated the feasibility and safety of intrainfarct cell therapy associated with a cell-seeded collagen scaffold grafted onto infarcted ventricles. METHODS In 20 consecutive patients presenting with left ventricular postischemic myocardial scars and indication for coronary artery bypass graft surgery, bone marrow cells were implanted during surgery. In the last 10 patients, we added a collagen matrix seeded with bone marrow cells, placed onto the scar. RESULTS There was no mortality and any related adverse events (follow-up 10 +/- 3.5 months). New York Heart Association functional class improved in both groups from 2.3 +/- 0.5 to 1.3 +/- 0.5 (matrix, p = 0.0002) versus 2.4 +/- 0.5 to 1.5 +/- 0.5 (no matrix, p = 0.001). Left ventricular end-diastolic volume evolved from 142.4 +/- 24.5 mL to 112.9 +/- 27.3 mL (matrix, p = 0.02) versus 138.9 +/- 36.1 mL to 148.7 +/- 41 mL (no matrix, p = 0.57), left ventricular filling deceleration time improved significantly in the matrix group from 162 +/- 7 ms to 198 +/- 9 ms (p = 0.01) versus the no-matrix group (from 159 +/- 5 ms to 167 +/- 8 ms, p = 0.07). Scar area thickness progressed from 6 +/- 1.4 to 9 mm +/- 1.1 mm (matrix, p = 0.005) versus 5 +/- 1.5 mm to 6 +/- 0.8 mm (no matrix, p = 0.09). Ejection fraction improved in both groups, from 25.3% +/- 7.3% to 32% +/- 5.4% (matrix, p = 0.03) versus 27.2% +/- 6.9% to 34.6% +/- 7.3% (no matrix, p = 0.031). CONCLUSIONS This tissue-engineered approach is feasible and safe and appears to improve the efficiency of cellular cardiomyoplasty. The cell-seeded collagen matrix increases the thickness of the infarct scar with viable tissue and helps to normalize cardiac wall stress in injured regions, thus limiting ventricular remodeling and improving diastolic function.", "author" : [ { "dropping-particle" : "", "family" : "Chachques", "given" : "Juan C.", "non-dropping-particle" : "", "parse-names" : false, "suffix" : "" }, { "dropping-particle" : "", "family" : "Trainini", "given" : "Jorge C.", "non-dropping-particle" : "", "parse-names" : false, "suffix" : "" }, { "dropping-particle" : "", "family" : "Lago", "given" : "Noemi", "non-dropping-particle" : "", "parse-names" : false, "suffix" : "" }, { "dropping-particle" : "", "family" : "Cortes-Morichetti", "given" : "Miguel", "non-dropping-particle" : "", "parse-names" : false, "suffix" : "" }, { "dropping-particle" : "", "family" : "Schussler", "given" : "Olivier", "non-dropping-particle" : "", "parse-names" : false, "suffix" : "" }, { "dropping-particle" : "", "family" : "Carpentier", "given" : "Alain", "non-dropping-particle" : "", "parse-names" : false, "suffix" : "" } ], "container-title" : "The Annals of Thoracic Surgery", "id" : "ITEM-1", "issue" : "3", "issued" : { "date-parts" : [ [ "2008", "3" ] ] }, "page" : "901-908", "title" : "Myocardial Assistance by Grafting a New Bioartificial Upgraded Myocardium (MAGNUM Trial): Clinical Feasibility Study", "type" : "article-journal", "volume" : "85" }, "uris" : [ "http://www.mendeley.com/documents/?uuid=fc855cd4-393b-39eb-90e3-2f286c6386cd", "http://www.mendeley.com/documents/?uuid=461b0b87-701a-483f-a36f-e3a9533a64c7" ] }, { "id" : "ITEM-2", "itemData" : { "DOI" : "10.1016/S0140-6736(04)16626-9", "ISSN" : "01406736", "PMID" : "15246726", "abstract" : "BACKGROUND Emerging evidence suggests that stem cells and progenitor cells derived from bone marrow can be used to improve cardiac function in patients after acute myocardial infarction. In this randomised trial, we aimed to assess whether intracoronary transfer of autologous bone-marrow cells could improve global left-ventricular ejection fraction (LVEF) at 6 months' follow-up. METHODS After successful percutaneous coronary intervention (PCI) for acute ST-segment elevation myocardial infarction, 60 patients were randomly assigned to either a control group (n=30) that received optimum postinfarction medical treatment, or a bone-marrow-cell group (n=30) that received optimum medical treatment and intracoronary transfer of autologous bone-marrow cells 4.8 days (SD 1.3) after PCI. Primary endpoint was global left-ventricular ejection fraction (LVEF) change from baseline to 6 months' follow-up, as determined by cardiac MRI. Image analyses were done by two investigators blinded for treatment assignment. Analysis was per protocol. FINDINGS Global LVEF at baseline (determined 3.5 days [SD 1.5] after PCI) was 51.3 (9.3%) in controls and 50.0 (10.0%) in the bone-marrow cell group (p=0.59). After 6 months, mean global LVEF had increased by 0.7 percentage points in the control group and 6.7 percentage points in the bone-marrow-cell group (p=0.0026). Transfer of bone-marrow cells enhanced left-ventricular systolic function primarily in myocardial segments adjacent to the infarcted area. Cell transfer did not increase the risk of adverse clinical events, in-stent restenosis, or proarrhythmic effects. INTERPRETATION Intracoronary transfer of autologous bone-marrow-cells promotes improvement of left-ventricular systolic function in patients after acute myocardial infarction.", "author" : [ { "dropping-particle" : "", "family" : "Wollert", "given" : "Kai C", "non-dropping-particle" : "", "parse-names" : false, "suffix" : "" }, { "dropping-particle" : "", "family" : "Meyer", "given" : "Gerd P", "non-dropping-particle" : "", "parse-names" : false, "suffix" : "" }, { "dropping-particle" : "", "family" : "Lotz", "given" : "Joachim", "non-dropping-particle" : "", "parse-names" : false, "suffix" : "" }, { "dropping-particle" : "", "family" : "Ringes Lichtenberg", "given" : "Stefanie", "non-dropping-particle" : "", "parse-names" : false, "suffix" : "" }, { "dropping-particle" : "", "family" : "Lippolt", "given" : "Peter", "non-dropping-particle" : "", "parse-names" : false, "suffix" : "" }, { "dropping-particle" : "", "family" : "Breidenbach", "given" : "Christiane", "non-dropping-particle" : "", "parse-names" : false, "suffix" : "" }, { "dropping-particle" : "", "family" : "Fichtner", "given" : "Stephanie", "non-dropping-particle" : "", "parse-names" : false, "suffix" : "" }, { "dropping-particle" : "", "family" : "Korte", "given" : "Thomas", "non-dropping-particle" : "", "parse-names" : false, "suffix" : "" }, { "dropping-particle" : "", "family" : "Hornig", "given" : "Burkhard", "non-dropping-particle" : "", "parse-names" : false, "suffix" : "" }, { "dropping-particle" : "", "family" : "Messinger", "given" : "Diethelm", "non-dropping-particle" : "", "parse-names" : false, "suffix" : "" }, { "dropping-particle" : "", "family" : "Arseniev", "given" : "Lubomir", "non-dropping-particle" : "", "parse-names" : false, "suffix" : "" }, { "dropping-particle" : "", "family" : "Hertenstein", "given" : "Bernd", "non-dropping-particle" : "", "parse-names" : false, "suffix" : "" }, { "dropping-particle" : "", "family" : "Ganser", "given" : "Arnold", "non-dropping-particle" : "", "parse-names" : false, "suffix" : "" }, { "dropping-particle" : "", "family" : "Drexler", "given" : "Helmut", "non-dropping-particle" : "", "parse-names" : false, "suffix" : "" } ], "container-title" : "The Lancet", "id" : "ITEM-2", "issue" : "9429", "issued" : { "date-parts" : [ [ "2004", "7" ] ] }, "page" : "141-148", "title" : "Intracoronary autologous bone-marrow cell transfer after myocardial infarction: the BOOST randomised controlled clinical trial", "type" : "article-journal", "volume" : "364" }, "uris" : [ "http://www.mendeley.com/documents/?uuid=889bc887-b45a-3846-a3fe-b16b51879222", "http://www.mendeley.com/documents/?uuid=cb663178-c259-4c0c-8a8b-e48c81f49f64" ] }, { "id" : "ITEM-3", "itemData" : { "DOI" : "10.1016/j.jtcvs.2009.04.065", "ISSN" : "00225223", "PMID" : "20106397", "abstract" : "OBJECTIVE This study compared clinical outcomes of patients receiving CryoValve SG decellularized pulmonary valves with those of patients receiving conventionally processed CryoValve pulmonary valves. METHODS All consecutive patients undergoing Ross procedures and right ventricular outflow tract reconstructions with SG valves at 7 institutions (February 2000-November 2005) were assessed retrospectively (193 Ross procedures, 149 right ventricular outflow tract reconstructions). Patient, procedural, and outcome data were compared with those from 1246 conventional implants (665 Ross procedures, 581 right ventricular outflow tract reconstructions). Hemodynamic function was assessed at latest follow-up. RESULTS Follow-up was complete for 99% in SG group and 94% in conventional group, with mean follow-ups of 4.0 years (range, 0-6.7 years) for SG and 3.7 years (range, 0-6.7 years) for conventional. Five-year cumulative survivals and freedoms from adverse events were comparable between SG and conventional valves. Among patients undergoing Ross procedures, peak gradient at last follow-up was lower with SG valves (P &lt; .01); no difference was observed in the right ventricular outflow tract reconstruction population. Pulmonary insufficiency was significantly reduced with SG valves in patients undergoing both Ross procedures (P &lt; .01) and right ventricular outflow tract reconstructions (P &lt; .01). Valve type was not a significant predictor of valve-related failure in propensity-adjusted analysis of either procedure. CONCLUSIONS CryoValve SG decellularized pulmonary valves have acceptable clinical outcomes and favorably compare with conventionally processed valves. Improved hemodynamic function observed with SG valves could signify improved long-term outcomes and may be due to the decreased antigenicity of these valves.", "author" : [ { "dropping-particle" : "", "family" : "Brown", "given" : "John W.", "non-dropping-particle" : "", "parse-names" : false, "suffix" : "" }, { "dropping-particle" : "", "family" : "Elkins", "given" : "Ronald C.", "non-dropping-particle" : "", "parse-names" : false, "suffix" : "" }, { "dropping-particle" : "", "family" : "Clarke", "given" : "David R.", "non-dropping-particle" : "", "parse-names" : false, "suffix" : "" }, { "dropping-particle" : "", "family" : "Tweddell", "given" : "James S.", "non-dropping-particle" : "", "parse-names" : false, "suffix" : "" }, { "dropping-particle" : "", "family" : "Huddleston", "given" : "Charles B.", "non-dropping-particle" : "", "parse-names" : false, "suffix" : "" }, { "dropping-particle" : "", "family" : "Doty", "given" : "John R.", "non-dropping-particle" : "", "parse-names" : false, "suffix" : "" }, { "dropping-particle" : "", "family" : "Fehrenbacher", "given" : "John W.", "non-dropping-particle" : "", "parse-names" : false, "suffix" : "" }, { "dropping-particle" : "", "family" : "Takkenberg", "given" : "Johanna J.M.", "non-dropping-particle" : "", "parse-names" : false, "suffix" : "" } ], "container-title" : "The Journal of Thoracic and Cardiovascular Surgery", "id" : "ITEM-3", "issue" : "2", "issued" : { "date-parts" : [ [ "2010", "2" ] ] }, "page" : "339-348", "title" : "Performance of the CryoValve\u2217 SG human decellularized pulmonary valve in 342 patients relative to the conventional CryoValve at a mean follow-up of four years", "type" : "article-journal", "volume" : "139" }, "uris" : [ "http://www.mendeley.com/documents/?uuid=45cb423f-c511-344f-af92-281fa665c0ee", "http://www.mendeley.com/documents/?uuid=9fd5e638-771e-432c-8bfe-b54e957741f1" ] }, { "id" : "ITEM-4", "itemData" : { "DOI" : "10.1016/j.jtcvs.2013.10.055", "ISSN" : "00225223", "PMID" : "24332188", "abstract" : "OBJECTIVES To determine the clinical utility of an acellular bioscaffold as a structural material for mitral valve repair (MVr). METHODS This was a retrospective study of patients undergoing partial or subtotal leaflet replacement and/or leaflet extension to treat mitral regurgitation or acute endocarditis and/or reconstruction of atrial-ventricular continuity after annular decalcification. The material used for repair was a bioresorbable extracellular matrix (ECM) material indicated for cardiac tissue repair (CorMatrix Cardiovascular, Inc, Roswell, Ga). After the necessary debridement, the ECM bioscaffold was tailored and sewn to the native mitral valve tissue. Intraoperative photographs and serial, follow-up echocardiograms were used for evaluation. RESULTS From September 2008 to February 2013, MVr requiring the addition of patch material was performed in 19 patients. The median echocardiographic follow-up was 10.9 months (range, 4 days to 48 months). One\u00a0early and 2 late deaths were unrelated to MVr. No perioperative or late strokes occurred. Two patients with a history of cancer, chemotherapy, and radiotherapy experienced failure of the initial MVr, necessitating reintervention. The other MVrs continued to show good valvular function and no calcification on echocardiographic follow-up of 4 days to 48 months. CONCLUSIONS The ECM bioscaffold is a satisfactory material for MVr in a variety of surgical situations, including endocarditis. It appears to resist calcification and infection. Additional studies are warranted to determine the long-term durability of repairs made with ECM, and its appropriate use in patients who have previously undergone radiotherapy or chemotherapy.", "author" : [ { "dropping-particle" : "", "family" : "Gerdisch", "given" : "Marc W.", "non-dropping-particle" : "", "parse-names" : false, "suffix" : "" }, { "dropping-particle" : "", "family" : "Shea", "given" : "Richard J.", "non-dropping-particle" : "", "parse-names" : false, "suffix" : "" }, { "dropping-particle" : "", "family" : "Barron", "given" : "Michael D.", "non-dropping-particle" : "", "parse-names" : false, "suffix" : "" } ], "container-title" : "The Journal of Thoracic and Cardiovascular Surgery", "id" : "ITEM-4", "issue" : "4", "issued" : { "date-parts" : [ [ "2014", "10" ] ] }, "page" : "1370-1378", "title" : "Clinical experience with CorMatrix extracellular matrix in the surgical treatment of mitral valve disease", "type" : "article-journal", "volume" : "148" }, "uris" : [ "http://www.mendeley.com/documents/?uuid=db6a1625-f251-3b44-b1ae-28b734799425", "http://www.mendeley.com/documents/?uuid=bd68562d-ac84-4019-9b09-8ed516525e3e" ] }, { "id" : "ITEM-5", "itemData" : { "DOI" : "10.1510/icvts.2011.280016", "ISSN" : "1569-9293", "PMID" : "21979987", "abstract" : "Congenital heart diseases are corrected early in life, so the surgical procedure has to maintain the maximum potential for growth. The quest for the ideal material for cardiac tissue repair is still ongoing. Here, we describe our preliminary experience with an extracellular matrix for cardiac and vascular tissue repair. Between August 2009 and April 2011, 26 patients underwent cardiac surgery using the CorMatrix patch for vascular repair (10 pulmonary artery, four ascending aorta, three aortic arch and one right ventricular outflow tract) or for valve reconstruction (five aortic, two tricuspid, one mitral and one pulmonary valve); in four cases, the repair was associated with pericardial closure using the same patch. There were no deaths, and at a mean follow-up of 13.2 months, there was no evidence of patch-related complications either in the vascular position or when used for valve repair. The ideal material for cardiac tissue repair should be haemostatic and resistant to tearing and calcification, and possibly one that will not induce an inflammatory cascade. In the last 25 months, we used an extracellular matrix for cardiac and vascular tissue repair. The patch is advocated to induce the patient's own tissue regeneration. The early results are encouraging, but a longer follow-up is needed to understand the real potential of this material.", "author" : [ { "dropping-particle" : "", "family" : "Quarti", "given" : "A.", "non-dropping-particle" : "", "parse-names" : false, "suffix" : "" }, { "dropping-particle" : "", "family" : "Nardone", "given" : "S.", "non-dropping-particle" : "", "parse-names" : false, "suffix" : "" }, { "dropping-particle" : "", "family" : "Colaneri", "given" : "M.", "non-dropping-particle" : "", "parse-names" : false, "suffix" : "" }, { "dropping-particle" : "", "family" : "Santoro", "given" : "G.", "non-dropping-particle" : "", "parse-names" : false, "suffix" : "" }, { "dropping-particle" : "", "family" : "Pozzi", "given" : "M.", "non-dropping-particle" : "", "parse-names" : false, "suffix" : "" } ], "container-title" : "Interactive CardioVascular and Thoracic Surgery", "id" : "ITEM-5", "issue" : "6", "issued" : { "date-parts" : [ [ "2011", "12" ] ] }, "page" : "569-572", "title" : "Preliminary experience in the use of an extracellular matrix to repair congenital heart diseases", "type" : "article-journal", "volume" : "13" }, "uris" : [ "http://www.mendeley.com/documents/?uuid=17f5557e-d0a6-327d-8830-8847103e6599", "http://www.mendeley.com/documents/?uuid=471ad971-c1ee-4b2e-917d-152480802089" ] }, { "id" : "ITEM-6", "itemData" : { "DOI" : "10.1093/ejcts/ezt328", "ISSN" : "1873-734X", "PMID" : "23818571", "abstract" : "OBJECTIVES Matrix P\u00ae and Matrix P plus\u00ae tissue-engineered pulmonary valves (TEPV) were offered as an improvement for pulmonary valve replacement (PVR) because of recellularization by host cells. The high frequency of graft failure gave reason to evaluate the underlying morphological substrate using magnetic resonance imaging (MRI) and histology. METHODS Between June 2006 and August 2008, 17 Matrix P\u00ae and 10 Matrix P plus\u00ae TEPVs were implanted in 26 patients with a median age of 12.4 (range: 0.8-38.7, interquartile range: 6.1-18.1) years. The grafts were studied by MRI, and underwent histological examination when explantation was required. RESULTS Surgical (n = 13) or transcatheter (n = 1) TEPV replacement because of graft failure was needed in 14 cases (52%) 19 (0.5-53) months after implantation. MRI detected significant TEPV stenosis with mild insufficiency (V(max) = 3.7 \u00b1 (standard deviation) 0.5 m/s, regurgitant fraction (RGF) = 10 \u00b1 3%) and stenosis with moderate-to-severe insufficiency (V(max) = 3.5 \u00b1 0.8 m/s, RGF = 38 \u00b1 10%) in 6 patients, respectively, and severe insufficiency (RGF = 40%) in 1 patient. In patients with graft failure, MRI showed hyperenhancement and TEPV wall thickening. Histology revealed severe inflammation, increased fibrous tissue and foreign-body reaction against valve leaflets and fascial tissue, while TEPV endothelialization was not detected in any case. CONCLUSIONS The high frequency of Matrix P\u00ae and Matrix P plus\u00ae graft failure can be related to inflammation and fibrosis revealed by MRI and histology. Our results do not support the use of these valves for PVR and suggest careful follow-up examinations, including MRI for early detection of graft inflammation and fibrosis.", "author" : [ { "dropping-particle" : "", "family" : "Voges", "given" : "Inga", "non-dropping-particle" : "", "parse-names" : false, "suffix" : "" }, { "dropping-particle" : "", "family" : "Br?sen", "given" : "Jan H.", "non-dropping-particle" : "", "parse-names" : false, "suffix" : "" }, { "dropping-particle" : "", "family" : "Entenmann", "given" : "Andreas", "non-dropping-particle" : "", "parse-names" : false, "suffix" : "" }, { "dropping-particle" : "", "family" : "Scheid", "given" : "Michael", "non-dropping-particle" : "", "parse-names" : false, "suffix" : "" }, { "dropping-particle" : "", "family" : "Scheewe", "given" : "Jens", "non-dropping-particle" : "", "parse-names" : false, "suffix" : "" }, { "dropping-particle" : "", "family" : "Fischer", "given" : "Gunther", "non-dropping-particle" : "", "parse-names" : false, "suffix" : "" }, { "dropping-particle" : "", "family" : "Hart", "given" : "Christopher", "non-dropping-particle" : "", "parse-names" : false, "suffix" : "" }, { "dropping-particle" : "", "family" : "Andrade", "given" : "Ana", "non-dropping-particle" : "", "parse-names" : false, "suffix" : "" }, { "dropping-particle" : "", "family" : "Pham", "given" : "Hoang Minh", "non-dropping-particle" : "", "parse-names" : false, "suffix" : "" }, { "dropping-particle" : "", "family" : "Kramer", "given" : "Hans-Heiner", "non-dropping-particle" : "", "parse-names" : false, "suffix" : "" }, { "dropping-particle" : "", "family" : "Rickers", "given" : "Carsten", "non-dropping-particle" : "", "parse-names" : false, "suffix" : "" } ], "container-title" : "European Journal of Cardio-Thoracic Surgery", "id" : "ITEM-6", "issue" : "4", "issued" : { "date-parts" : [ [ "2013", "10" ] ] }, "page" : "e272-e279", "title" : "Adverse results of a decellularized tissue-engineered pulmonary valve in humans assessed with magnetic resonance imaging", "type" : "article-journal", "volume" : "44" }, "uris" : [ "http://www.mendeley.com/documents/?uuid=f941d0bc-5898-3947-bf5b-b2211f7c2a1e", "http://www.mendeley.com/documents/?uuid=42bf7327-4dd2-4302-8d02-9c73ab53fe52" ] } ], "mendeley" : { "formattedCitation" : "&lt;sup&gt;207\u2013212&lt;/sup&gt;", "plainTextFormattedCitation" : "207\u2013212", "previouslyFormattedCitation" : "&lt;sup&gt;206\u2013211&lt;/sup&gt;"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207–212</w:t>
      </w:r>
      <w:r w:rsidRPr="00610A40">
        <w:rPr>
          <w:color w:val="auto"/>
          <w:szCs w:val="24"/>
        </w:rPr>
        <w:fldChar w:fldCharType="end"/>
      </w:r>
      <w:r w:rsidRPr="00610A40">
        <w:rPr>
          <w:color w:val="auto"/>
          <w:szCs w:val="24"/>
        </w:rPr>
        <w:t xml:space="preserve">, none of these involved the use of elastic polyesters. However, there is an on-going </w:t>
      </w:r>
      <w:r w:rsidR="00DC64C9" w:rsidRPr="00610A40">
        <w:rPr>
          <w:color w:val="auto"/>
          <w:szCs w:val="24"/>
        </w:rPr>
        <w:t xml:space="preserve">prospective, nonrandomized, Phase I </w:t>
      </w:r>
      <w:r w:rsidRPr="00610A40">
        <w:rPr>
          <w:color w:val="auto"/>
          <w:szCs w:val="24"/>
        </w:rPr>
        <w:t>clinical trial on the tissue engineering of blood vessels using poly(ε-</w:t>
      </w:r>
      <w:proofErr w:type="spellStart"/>
      <w:r w:rsidRPr="00610A40">
        <w:rPr>
          <w:color w:val="auto"/>
          <w:szCs w:val="24"/>
        </w:rPr>
        <w:t>caprolactone</w:t>
      </w:r>
      <w:proofErr w:type="spellEnd"/>
      <w:r w:rsidRPr="00610A40">
        <w:rPr>
          <w:color w:val="auto"/>
          <w:szCs w:val="24"/>
        </w:rPr>
        <w:t>/l-</w:t>
      </w:r>
      <w:proofErr w:type="spellStart"/>
      <w:r w:rsidRPr="00610A40">
        <w:rPr>
          <w:color w:val="auto"/>
          <w:szCs w:val="24"/>
        </w:rPr>
        <w:t>lactide</w:t>
      </w:r>
      <w:proofErr w:type="spellEnd"/>
      <w:r w:rsidRPr="00610A40">
        <w:rPr>
          <w:color w:val="auto"/>
          <w:szCs w:val="24"/>
        </w:rPr>
        <w:t xml:space="preserve">) (PCL/LA), wrapped in </w:t>
      </w:r>
      <w:proofErr w:type="spellStart"/>
      <w:r w:rsidRPr="00610A40">
        <w:rPr>
          <w:color w:val="auto"/>
          <w:szCs w:val="24"/>
        </w:rPr>
        <w:t>polyglycolic</w:t>
      </w:r>
      <w:proofErr w:type="spellEnd"/>
      <w:r w:rsidRPr="00610A40">
        <w:rPr>
          <w:color w:val="auto"/>
          <w:szCs w:val="24"/>
        </w:rPr>
        <w:t xml:space="preserve"> acid (PGA) (ClinicalTrials.go</w:t>
      </w:r>
      <w:r w:rsidR="00200BF4" w:rsidRPr="00610A40">
        <w:rPr>
          <w:color w:val="auto"/>
          <w:szCs w:val="24"/>
        </w:rPr>
        <w:t xml:space="preserve">v Identifier: NCT01034007). </w:t>
      </w:r>
      <w:r w:rsidRPr="00610A40">
        <w:rPr>
          <w:color w:val="auto"/>
          <w:szCs w:val="24"/>
        </w:rPr>
        <w:t xml:space="preserve">The first use of tissue-engineered vascular conduit was piloted by a joint group from the Yale University School of Medicine and the Tokyo Women’s Medical University. They developed a </w:t>
      </w:r>
      <w:proofErr w:type="spellStart"/>
      <w:r w:rsidRPr="00610A40">
        <w:rPr>
          <w:color w:val="auto"/>
          <w:szCs w:val="24"/>
        </w:rPr>
        <w:t>polyglycolic</w:t>
      </w:r>
      <w:proofErr w:type="spellEnd"/>
      <w:r w:rsidRPr="00610A40">
        <w:rPr>
          <w:color w:val="auto"/>
          <w:szCs w:val="24"/>
        </w:rPr>
        <w:t xml:space="preserve"> acid (PGA) and poly(ε-</w:t>
      </w:r>
      <w:proofErr w:type="spellStart"/>
      <w:r w:rsidRPr="00610A40">
        <w:rPr>
          <w:color w:val="auto"/>
          <w:szCs w:val="24"/>
        </w:rPr>
        <w:t>caprolactone</w:t>
      </w:r>
      <w:proofErr w:type="spellEnd"/>
      <w:r w:rsidRPr="00610A40">
        <w:rPr>
          <w:color w:val="auto"/>
          <w:szCs w:val="24"/>
        </w:rPr>
        <w:t>/l-</w:t>
      </w:r>
      <w:proofErr w:type="spellStart"/>
      <w:r w:rsidRPr="00610A40">
        <w:rPr>
          <w:color w:val="auto"/>
          <w:szCs w:val="24"/>
        </w:rPr>
        <w:t>lactide</w:t>
      </w:r>
      <w:proofErr w:type="spellEnd"/>
      <w:r w:rsidRPr="00610A40">
        <w:rPr>
          <w:color w:val="auto"/>
          <w:szCs w:val="24"/>
        </w:rPr>
        <w:t xml:space="preserve">) (PCL/LA) tissue engineered vascular graft which </w:t>
      </w:r>
      <w:r w:rsidR="00F87A08" w:rsidRPr="00610A40">
        <w:rPr>
          <w:color w:val="auto"/>
          <w:szCs w:val="24"/>
        </w:rPr>
        <w:t xml:space="preserve">was </w:t>
      </w:r>
      <w:r w:rsidRPr="00610A40">
        <w:rPr>
          <w:color w:val="auto"/>
          <w:szCs w:val="24"/>
        </w:rPr>
        <w:t>capable of growing an autologous vascular tissue in the human body</w:t>
      </w:r>
      <w:r w:rsidRPr="00610A40">
        <w:rPr>
          <w:color w:val="auto"/>
          <w:szCs w:val="24"/>
          <w:vertAlign w:val="superscript"/>
        </w:rPr>
        <w:fldChar w:fldCharType="begin" w:fldLock="1"/>
      </w:r>
      <w:r w:rsidR="00565E2A" w:rsidRPr="00610A40">
        <w:rPr>
          <w:color w:val="auto"/>
          <w:szCs w:val="24"/>
          <w:vertAlign w:val="superscript"/>
        </w:rPr>
        <w:instrText>ADDIN CSL_CITATION { "citationItems" : [ { "id" : "ITEM-1", "itemData" : { "DOI" : "10.1016/j.jtcvs.2004.12.047", "ISBN" : "0022-5223", "ISSN" : "00225223", "PMID" : "15942574", "abstract" : "Objective: Prosthetic and bioprosthetic materials currently in use lack growth potential and therefore must be repeatedly replaced in pediatric patients as they grow. Tissue engineering is a new discipline that offers the potential for creating replacement structures from autologous cells and biodegradable polymer scaffolds. In May 2000, we initiated clinical application of tissue-engineered vascular grafts seeded with cultured cells. However, cell culturing is time-consuming, and xenoserum must be used. To overcome these disadvantages, we began to use bone marrow cells, readily available on the day of surgery, as a cell source. The aim of the study was to assess the safety and feasibility of this technique for creating vascular tissue under low-pressure systems such as pulmonary artery or venous pressure. Methods: Since September 2001, tissue-engineered grafts seeded with autologous bone marrow cells have been implanted in 42 patients. The patients or their parents were fully informed and had given consent to the procedure. A 5-mL/kg specimen of bone marrow was aspirated with the patient under general anesthesia before the skin incision. The polymer tube serving as a scaffold for the cells was composed of a copolymer of l-lactide and \u03b5-caprolactone (50:50). This copolymer is degraded by hydrolysis. The matrix is more than 80% porous, and the diameter of each pore is 20 to 100 \u03bcm. Polyglycolic acid woven fabric with a thickness of 0.5 mm was used for reinforcement. Twenty-three tissue-engineered conduits (grafts for extracardiac total cavopulmonary connection) and 19 tissue-engineered patches were used for the repair of congenital heart defects. The patients' ages ranged from 1 to 24 years (median 5.5 years). All patients underwent a catheterization study, computed tomographic scan, or both, for evaluation after the operation. The patients received anticoagulation therapy for 3 to 6 months after surgery. Results: Mean follow-up after surgery was 490 \u00b1 276 days (1.3-31.6 months, median 16.7 months). There were no complications such as thrombosis, stenosis, or obstruction of the tissue-engineered autografts. One late death at 3 months after total cavopulmonary connection was noted in patient with hypoplastic left heart syndrome; this was unrelated to the tissue-engineered graft function. There was no evidence of aneurysm formation or calcification on cineangiography or computed tomography. All tube grafts were patent, and the diameter of the tube graft in\u2026", "author" : [ { "dropping-particle" : "", "family" : "Shin'oka", "given" : "Toshiharu", "non-dropping-particle" : "", "parse-names" : false, "suffix" : "" }, { "dropping-particle" : "", "family" : "Matsumura", "given" : "Goki", "non-dropping-particle" : "", "parse-names" : false, "suffix" : "" }, { "dropping-particle" : "", "family" : "Hibino", "given" : "Narutoshi", "non-dropping-particle" : "", "parse-names" : false, "suffix" : "" }, { "dropping-particle" : "", "family" : "Naito", "given" : "Yuji", "non-dropping-particle" : "", "parse-names" : false, "suffix" : "" }, { "dropping-particle" : "", "family" : "Watanabe", "given" : "Manabu", "non-dropping-particle" : "", "parse-names" : false, "suffix" : "" }, { "dropping-particle" : "", "family" : "Konuma", "given" : "Takeshi", "non-dropping-particle" : "", "parse-names" : false, "suffix" : "" }, { "dropping-particle" : "", "family" : "Sakamoto", "given" : "Takahiko", "non-dropping-particle" : "", "parse-names" : false, "suffix" : "" }, { "dropping-particle" : "", "family" : "Nagatsu", "given" : "Masayoshi", "non-dropping-particle" : "", "parse-names" : false, "suffix" : "" }, { "dropping-particle" : "", "family" : "Kurosawa", "given" : "Hiromi", "non-dropping-particle" : "", "parse-names" : false, "suffix" : "" } ], "container-title" : "Journal of Thoracic and Cardiovascular Surgery", "id" : "ITEM-1", "issue" : "6", "issued" : { "date-parts" : [ [ "2005" ] ] }, "title" : "Midterm clinical result of tissue-engineered vascular autografts seeded with autologous bone marrow cells", "type" : "article-journal", "volume" : "129" }, "uris" : [ "http://www.mendeley.com/documents/?uuid=101b6b7a-8c79-4746-bd98-7481e2d3b199", "http://www.mendeley.com/documents/?uuid=87f182a7-6f4e-4279-83d7-0d9e47dbc99b" ] }, { "id" : "ITEM-2", "itemData" : { "DOI" : "10.1016/j.jtcvs.2009.09.057", "ISBN" : "0022-5223", "ISSN" : "00225223", "PMID" : "20106404", "abstract" : "Objective: The development of a tissue-engineered vascular graft with the ability to grow and remodel holds promise for advancing cardiac surgery. In 2001, we began a human trial evaluating these grafts in patients with single ventricle physiology. We report the late clinical and radiologic surveillance of a patient cohort that underwent implantation of tissue-engineered vascular grafts as extracardiac cavopulmonary conduits. Methods: Autologous bone marrow was obtained and the mononuclear cell component was collected. Mononuclear cells were seeded onto a biodegradable scaffold composed of polyglycolic acid and \u03b5{lunate}-caprolactone/l-lactide and implanted as extracardiac cavopulmonary conduits in patients with single ventricle physiology. Patients were followed up by postoperative clinic visits and by telephone. Additionally, ultrasonography, angiography, computed tomography, and magnetic resonance imaging were used for postoperative graft surveillance. Results: Twenty-five grafts were implanted (median patient age, 5.5 years). There was no graft-related mortality (mean follow-up, 5.8 years). There was no evidence of aneurysm formation, graft rupture, graft infection, or ectopic calcification. One patient had a partial mural thrombosis that was successfully treated with warfarin. Four patients had graft stenosis and underwent successful percutaneous angioplasty. Conclusion: Tissue-engineered vascular grafts can be used as conduits in patients with single ventricle physiology. Graft stenosis is the primary mode of graft failure. Further follow-up and investigation for the mechanism of stenosis are warranted.", "author" : [ { "dropping-particle" : "", "family" : "Hibino", "given" : "Narutoshi", "non-dropping-particle" : "", "parse-names" : false, "suffix" : "" }, { "dropping-particle" : "", "family" : "McGillicuddy", "given" : "Edward", "non-dropping-particle" : "", "parse-names" : false, "suffix" : "" }, { "dropping-particle" : "", "family" : "Matsumura", "given" : "Goki", "non-dropping-particle" : "", "parse-names" : false, "suffix" : "" }, { "dropping-particle" : "", "family" : "Ichihara", "given" : "Yuki", "non-dropping-particle" : "", "parse-names" : false, "suffix" : "" }, { "dropping-particle" : "", "family" : "Naito", "given" : "Yuji", "non-dropping-particle" : "", "parse-names" : false, "suffix" : "" }, { "dropping-particle" : "", "family" : "Breuer", "given" : "Christopher", "non-dropping-particle" : "", "parse-names" : false, "suffix" : "" }, { "dropping-particle" : "", "family" : "Shinoka", "given" : "Toshiharu", "non-dropping-particle" : "", "parse-names" : false, "suffix" : "" } ], "container-title" : "Journal of Thoracic and Cardiovascular Surgery", "id" : "ITEM-2", "issue" : "2", "issued" : { "date-parts" : [ [ "2010" ] ] }, "page" : "431-436.e2", "publisher" : "Elsevier Ltd", "title" : "Late-term results of tissue-engineered vascular grafts in humans", "type" : "article-journal", "volume" : "139" }, "uris" : [ "http://www.mendeley.com/documents/?uuid=4967e68f-1c78-4dec-86e1-0e16f57a0371", "http://www.mendeley.com/documents/?uuid=4aa14741-22ec-40fd-8fee-b121b687ef93" ] } ], "mendeley" : { "formattedCitation" : "&lt;sup&gt;213,214&lt;/sup&gt;", "plainTextFormattedCitation" : "213,214", "previouslyFormattedCitation" : "&lt;sup&gt;212,213&lt;/sup&gt;" }, "properties" : { "noteIndex" : 0 }, "schema" : "https://github.com/citation-style-language/schema/raw/master/csl-citation.json" }</w:instrText>
      </w:r>
      <w:r w:rsidRPr="00610A40">
        <w:rPr>
          <w:color w:val="auto"/>
          <w:szCs w:val="24"/>
          <w:vertAlign w:val="superscript"/>
        </w:rPr>
        <w:fldChar w:fldCharType="separate"/>
      </w:r>
      <w:r w:rsidR="00565E2A" w:rsidRPr="00610A40">
        <w:rPr>
          <w:noProof/>
          <w:color w:val="auto"/>
          <w:szCs w:val="24"/>
          <w:vertAlign w:val="superscript"/>
        </w:rPr>
        <w:t>213,214</w:t>
      </w:r>
      <w:r w:rsidRPr="00610A40">
        <w:rPr>
          <w:color w:val="auto"/>
          <w:szCs w:val="24"/>
          <w:vertAlign w:val="superscript"/>
        </w:rPr>
        <w:fldChar w:fldCharType="end"/>
      </w:r>
      <w:r w:rsidRPr="00610A40">
        <w:rPr>
          <w:color w:val="auto"/>
          <w:szCs w:val="24"/>
        </w:rPr>
        <w:t xml:space="preserve">. This removed the need for a life-long antiplatelet, anticoagulant or immunosuppressive therapy, which is usually the case for an artificial synthetic </w:t>
      </w:r>
      <w:r w:rsidR="00F87A08" w:rsidRPr="00610A40">
        <w:rPr>
          <w:color w:val="auto"/>
          <w:szCs w:val="24"/>
        </w:rPr>
        <w:t xml:space="preserve">non-biodegradable </w:t>
      </w:r>
      <w:r w:rsidRPr="00610A40">
        <w:rPr>
          <w:color w:val="auto"/>
          <w:szCs w:val="24"/>
        </w:rPr>
        <w:t xml:space="preserve">graft implant made with materials such as Dacron or </w:t>
      </w:r>
      <w:proofErr w:type="spellStart"/>
      <w:r w:rsidRPr="00610A40">
        <w:rPr>
          <w:color w:val="auto"/>
          <w:szCs w:val="24"/>
        </w:rPr>
        <w:t>polytetrafluoroethylene</w:t>
      </w:r>
      <w:proofErr w:type="spellEnd"/>
      <w:r w:rsidRPr="00610A40">
        <w:rPr>
          <w:color w:val="auto"/>
          <w:szCs w:val="24"/>
        </w:rPr>
        <w:t xml:space="preserve"> (PTFE). Due to the lack of growth potential of </w:t>
      </w:r>
      <w:r w:rsidR="00F87A08" w:rsidRPr="00610A40">
        <w:rPr>
          <w:color w:val="auto"/>
          <w:szCs w:val="24"/>
        </w:rPr>
        <w:t xml:space="preserve">these </w:t>
      </w:r>
      <w:r w:rsidRPr="00610A40">
        <w:rPr>
          <w:color w:val="auto"/>
          <w:szCs w:val="24"/>
        </w:rPr>
        <w:t>current vascular prosthetic materials, surgical re-intervention (such as angioplasty or replacement surgery) is often necessary</w:t>
      </w:r>
      <w:r w:rsidR="00276355" w:rsidRPr="00610A40">
        <w:rPr>
          <w:color w:val="auto"/>
          <w:szCs w:val="24"/>
        </w:rPr>
        <w:t xml:space="preserve">, </w:t>
      </w:r>
      <w:r w:rsidRPr="00610A40">
        <w:rPr>
          <w:color w:val="auto"/>
          <w:szCs w:val="24"/>
        </w:rPr>
        <w:t>especially for pediatric patients</w:t>
      </w:r>
      <w:r w:rsidR="00276355" w:rsidRPr="00610A40">
        <w:rPr>
          <w:color w:val="auto"/>
          <w:szCs w:val="24"/>
        </w:rPr>
        <w:t xml:space="preserve"> as their bodies will grow over time.</w:t>
      </w:r>
      <w:r w:rsidRPr="00610A40">
        <w:rPr>
          <w:color w:val="auto"/>
          <w:szCs w:val="24"/>
        </w:rPr>
        <w:t xml:space="preserve"> </w:t>
      </w:r>
      <w:r w:rsidR="00276355" w:rsidRPr="00610A40">
        <w:rPr>
          <w:color w:val="auto"/>
          <w:szCs w:val="24"/>
        </w:rPr>
        <w:t>Besides,</w:t>
      </w:r>
      <w:r w:rsidRPr="00610A40">
        <w:rPr>
          <w:color w:val="auto"/>
          <w:szCs w:val="24"/>
        </w:rPr>
        <w:t xml:space="preserve"> the risk of thrombosis and infection can </w:t>
      </w:r>
      <w:r w:rsidR="00276355" w:rsidRPr="00610A40">
        <w:rPr>
          <w:color w:val="auto"/>
          <w:szCs w:val="24"/>
        </w:rPr>
        <w:t xml:space="preserve">also </w:t>
      </w:r>
      <w:r w:rsidRPr="00610A40">
        <w:rPr>
          <w:color w:val="auto"/>
          <w:szCs w:val="24"/>
        </w:rPr>
        <w:t>be high</w:t>
      </w:r>
      <w:r w:rsidR="00276355" w:rsidRPr="00610A40">
        <w:rPr>
          <w:color w:val="auto"/>
          <w:szCs w:val="24"/>
        </w:rPr>
        <w:t xml:space="preserve"> with non-biodegradable synthetic materials</w:t>
      </w:r>
      <w:r w:rsidRPr="00610A40">
        <w:rPr>
          <w:color w:val="auto"/>
          <w:szCs w:val="24"/>
        </w:rPr>
        <w:t xml:space="preserve">. The autologous vessel developed </w:t>
      </w:r>
      <w:r w:rsidR="00276355" w:rsidRPr="00610A40">
        <w:rPr>
          <w:color w:val="auto"/>
          <w:szCs w:val="24"/>
        </w:rPr>
        <w:t xml:space="preserve">with PCL/LA </w:t>
      </w:r>
      <w:r w:rsidRPr="00610A40">
        <w:rPr>
          <w:color w:val="auto"/>
          <w:szCs w:val="24"/>
        </w:rPr>
        <w:t xml:space="preserve">would also be capable of growing with the patient, making it a more ideal option particularly for pediatric patients. </w:t>
      </w:r>
    </w:p>
    <w:p w14:paraId="71BCA91A" w14:textId="008C3868" w:rsidR="003C6A24" w:rsidRPr="00610A40" w:rsidRDefault="00007C8A" w:rsidP="00735588">
      <w:pPr>
        <w:pStyle w:val="Heading3"/>
      </w:pPr>
      <w:r w:rsidRPr="00610A40">
        <w:t>7</w:t>
      </w:r>
      <w:r w:rsidR="00735588" w:rsidRPr="00610A40">
        <w:t>.</w:t>
      </w:r>
      <w:r w:rsidRPr="00610A40">
        <w:t>2</w:t>
      </w:r>
      <w:r w:rsidR="00735588" w:rsidRPr="00610A40">
        <w:t xml:space="preserve">.1 </w:t>
      </w:r>
      <w:r w:rsidR="003C6A24" w:rsidRPr="00610A40">
        <w:t>Background</w:t>
      </w:r>
    </w:p>
    <w:p w14:paraId="6DB04061" w14:textId="6016B001" w:rsidR="003C6A24" w:rsidRPr="00610A40" w:rsidRDefault="003C6A24" w:rsidP="003C6A24">
      <w:pPr>
        <w:rPr>
          <w:color w:val="auto"/>
          <w:szCs w:val="24"/>
        </w:rPr>
      </w:pPr>
      <w:r w:rsidRPr="00610A40">
        <w:rPr>
          <w:color w:val="auto"/>
          <w:szCs w:val="24"/>
        </w:rPr>
        <w:t xml:space="preserve">The use of patient’s own cells, instead of accepting an allograft, </w:t>
      </w:r>
      <w:r w:rsidR="00276355" w:rsidRPr="00610A40">
        <w:rPr>
          <w:color w:val="auto"/>
          <w:szCs w:val="24"/>
        </w:rPr>
        <w:t xml:space="preserve">reduces </w:t>
      </w:r>
      <w:r w:rsidRPr="00610A40">
        <w:rPr>
          <w:color w:val="auto"/>
          <w:szCs w:val="24"/>
        </w:rPr>
        <w:t xml:space="preserve">the dependence on the availability of donors and reduces the risk of tissue rejection. There had been previous reports on the </w:t>
      </w:r>
      <w:r w:rsidR="00276355" w:rsidRPr="00610A40">
        <w:rPr>
          <w:color w:val="auto"/>
          <w:szCs w:val="24"/>
        </w:rPr>
        <w:t xml:space="preserve">expansion </w:t>
      </w:r>
      <w:r w:rsidRPr="00610A40">
        <w:rPr>
          <w:color w:val="auto"/>
          <w:szCs w:val="24"/>
        </w:rPr>
        <w:t xml:space="preserve">of </w:t>
      </w:r>
      <w:proofErr w:type="spellStart"/>
      <w:r w:rsidRPr="00610A40">
        <w:rPr>
          <w:color w:val="auto"/>
          <w:szCs w:val="24"/>
        </w:rPr>
        <w:t>autograft</w:t>
      </w:r>
      <w:proofErr w:type="spellEnd"/>
      <w:r w:rsidRPr="00610A40">
        <w:rPr>
          <w:color w:val="auto"/>
          <w:szCs w:val="24"/>
        </w:rPr>
        <w:t xml:space="preserve"> cells onto a similar scaffold before implantation in </w:t>
      </w:r>
      <w:r w:rsidR="006F1C2D" w:rsidRPr="00610A40">
        <w:rPr>
          <w:color w:val="auto"/>
          <w:szCs w:val="24"/>
        </w:rPr>
        <w:t>sheep</w:t>
      </w:r>
      <w:r w:rsidRPr="00610A40">
        <w:rPr>
          <w:color w:val="auto"/>
          <w:szCs w:val="24"/>
        </w:rPr>
        <w:t>, dogs and humans</w:t>
      </w:r>
      <w:r w:rsidRPr="00610A40">
        <w:rPr>
          <w:color w:val="auto"/>
          <w:szCs w:val="24"/>
        </w:rPr>
        <w:fldChar w:fldCharType="begin" w:fldLock="1"/>
      </w:r>
      <w:r w:rsidR="00565E2A" w:rsidRPr="00610A40">
        <w:rPr>
          <w:color w:val="auto"/>
          <w:szCs w:val="24"/>
        </w:rPr>
        <w:instrText>ADDIN CSL_CITATION { "citationItems" : [ { "id" : "ITEM-1", "itemData" : { "DOI" : "10.1016/S0022-5223(98)70315-0", "author" : [ { "dropping-particle" : "", "family" : "Shum-tim", "given" : "Dominique", "non-dropping-particle" : "", "parse-names" : false, "suffix" : "" }, { "dropping-particle" : "", "family" : "Ma", "given" : "Peter", "non-dropping-particle" : "", "parse-names" : false, "suffix" : "" } ], "id" : "ITEM-1", "issue" : "March", "issued" : { "date-parts" : [ [ "1998" ] ] }, "title" : "Creation Of Viable Pulmonary Artery Autografts Through Tissue Engineering", "type" : "article-journal", "volume" : "5223" }, "uris" : [ "http://www.mendeley.com/documents/?uuid=d284865b-2cdd-4f84-a80d-6d9936831a55", "http://www.mendeley.com/documents/?uuid=68b83bc3-419d-4191-9b1a-4c82f821d997" ] } ], "mendeley" : { "formattedCitation" : "&lt;sup&gt;215&lt;/sup&gt;", "plainTextFormattedCitation" : "215", "previouslyFormattedCitation" : "&lt;sup&gt;214&lt;/sup&gt;"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215</w:t>
      </w:r>
      <w:r w:rsidRPr="00610A40">
        <w:rPr>
          <w:color w:val="auto"/>
          <w:szCs w:val="24"/>
        </w:rPr>
        <w:fldChar w:fldCharType="end"/>
      </w:r>
      <w:r w:rsidRPr="00610A40">
        <w:rPr>
          <w:color w:val="auto"/>
          <w:szCs w:val="24"/>
          <w:vertAlign w:val="superscript"/>
        </w:rPr>
        <w:t>,</w:t>
      </w:r>
      <w:r w:rsidRPr="00610A40">
        <w:rPr>
          <w:color w:val="auto"/>
          <w:szCs w:val="24"/>
          <w:vertAlign w:val="superscript"/>
        </w:rPr>
        <w:fldChar w:fldCharType="begin" w:fldLock="1"/>
      </w:r>
      <w:r w:rsidR="00565E2A" w:rsidRPr="00610A40">
        <w:rPr>
          <w:color w:val="auto"/>
          <w:szCs w:val="24"/>
          <w:vertAlign w:val="superscript"/>
        </w:rPr>
        <w:instrText>ADDIN CSL_CITATION { "citationItems" : [ { "id" : "ITEM-1", "itemData" : { "DOI" : "10.1056/NEJM200102153440717", "ISSN" : "0028-4793", "abstract" : "To the Editor: Various vascular grafts are commonly used in the reconstruction of cardiovascular tissues. However, prosthetic or bioprosthetic materials lack growth potential and therefore in children require replacement as the children grow. Tissue engineering offers the potential to create replacement structures from autologous cells and biodegradable polymer scaffolds. Since they contain living cells, these structures have the potential to grow, to repair themselves, and to remodel themselves.1\u20134 A four-year-old girl had been found to have a single right ventricle and pulmonary atresia and had undergone pulmonary-artery angioplasty and the Fontan procedure at the age of three years, three .\u00a0.\u00a0.", "author" : [ { "dropping-particle" : "", "family" : "Shin'oka", "given" : "Toshiharu", "non-dropping-particle" : "", "parse-names" : false, "suffix" : "" }, { "dropping-particle" : "", "family" : "Imai", "given" : "Yasuharu", "non-dropping-particle" : "", "parse-names" : false, "suffix" : "" }, { "dropping-particle" : "", "family" : "Ikada", "given" : "Yoshito", "non-dropping-particle" : "", "parse-names" : false, "suffix" : "" } ], "container-title" : "New England Journal of Medicine", "id" : "ITEM-1", "issue" : "7", "issued" : { "date-parts" : [ [ "2001", "2" ] ] }, "page" : "532-533", "publisher" : " Massachusetts Medical Society ", "title" : "Transplantation of a Tissue-Engineered Pulmonary Artery", "type" : "article-journal", "volume" : "344" }, "uris" : [ "http://www.mendeley.com/documents/?uuid=37b746a6-8cbf-3a66-a784-3e888f2a5d69", "http://www.mendeley.com/documents/?uuid=437493b8-869e-46c7-9be8-20e1e502cc2a" ] }, { "id" : "ITEM-2", "itemData" : { "DOI" : "10.1089/10763270152436481", "author" : [ { "dropping-particle" : "", "family" : "Watanabe", "given" : "Manabu", "non-dropping-particle" : "", "parse-names" : false, "suffix" : "" }, { "dropping-particle" : "", "family" : "Shin", "given" : "Toshiharu", "non-dropping-particle" : "", "parse-names" : false, "suffix" : "" }, { "dropping-particle" : "", "family" : "Tohyama", "given" : "Satoshi", "non-dropping-particle" : "", "parse-names" : false, "suffix" : "" }, { "dropping-particle" : "", "family" : "Hibino", "given" : "Narutoshi", "non-dropping-particle" : "", "parse-names" : false, "suffix" : "" }, { "dropping-particle" : "", "family" : "Konuma", "given" : "Takeshi", "non-dropping-particle" : "", "parse-names" : false, "suffix" : "" }, { "dropping-particle" : "", "family" : "Matsumura", "given" : "Gohki", "non-dropping-particle" : "", "parse-names" : false, "suffix" : "" }, { "dropping-particle" : "", "family" : "Kosaka", "given" : "Yoshimichi", "non-dropping-particle" : "", "parse-names" : false, "suffix" : "" }, { "dropping-particle" : "", "family" : "Ishida", "given" : "Toru", "non-dropping-particle" : "", "parse-names" : false, "suffix" : "" }, { "dropping-particle" : "", "family" : "Imai", "given" : "Yasuharu", "non-dropping-particle" : "", "parse-names" : false, "suffix" : "" }, { "dropping-particle" : "", "family" : "Yamakawa", "given" : "Mitsunori", "non-dropping-particle" : "", "parse-names" : false, "suffix" : "" }, { "dropping-particle" : "", "family" : "Ikada", "given" : "Yoshito", "non-dropping-particle" : "", "parse-names" : false, "suffix" : "" }, { "dropping-particle" : "", "family" : "Morita", "given" : "Shin", "non-dropping-particle" : "", "parse-names" : false, "suffix" : "" } ], "id" : "ITEM-2", "issue" : "September", "issued" : { "date-parts" : [ [ "2001" ] ] }, "title" : "Tissue-Engineered Vascular Autograft : Inferior Vena Cava Replacement in a Dog Model Tissue-Engineered Vascular Autograft : Inferior Vena Cava", "type" : "article-journal" }, "uris" : [ "http://www.mendeley.com/documents/?uuid=da9f0437-565c-478d-afa1-d48b57af06f7", "http://www.mendeley.com/documents/?uuid=0dac5298-d66d-4da4-a8b5-e57b992d5b1b" ] } ], "mendeley" : { "formattedCitation" : "&lt;sup&gt;216,217&lt;/sup&gt;", "plainTextFormattedCitation" : "216,217", "previouslyFormattedCitation" : "&lt;sup&gt;215,216&lt;/sup&gt;" }, "properties" : { "noteIndex" : 0 }, "schema" : "https://github.com/citation-style-language/schema/raw/master/csl-citation.json" }</w:instrText>
      </w:r>
      <w:r w:rsidRPr="00610A40">
        <w:rPr>
          <w:color w:val="auto"/>
          <w:szCs w:val="24"/>
          <w:vertAlign w:val="superscript"/>
        </w:rPr>
        <w:fldChar w:fldCharType="separate"/>
      </w:r>
      <w:r w:rsidR="00565E2A" w:rsidRPr="00610A40">
        <w:rPr>
          <w:noProof/>
          <w:color w:val="auto"/>
          <w:szCs w:val="24"/>
          <w:vertAlign w:val="superscript"/>
        </w:rPr>
        <w:t>216,217</w:t>
      </w:r>
      <w:r w:rsidRPr="00610A40">
        <w:rPr>
          <w:color w:val="auto"/>
          <w:szCs w:val="24"/>
          <w:vertAlign w:val="superscript"/>
        </w:rPr>
        <w:fldChar w:fldCharType="end"/>
      </w:r>
      <w:r w:rsidRPr="00610A40">
        <w:rPr>
          <w:color w:val="auto"/>
          <w:szCs w:val="24"/>
        </w:rPr>
        <w:t xml:space="preserve">. Minced and purified blood vessel cells from patients were cultured </w:t>
      </w:r>
      <w:r w:rsidRPr="00610A40">
        <w:rPr>
          <w:i/>
          <w:color w:val="auto"/>
          <w:szCs w:val="24"/>
        </w:rPr>
        <w:t>in vitro</w:t>
      </w:r>
      <w:r w:rsidRPr="00610A40">
        <w:rPr>
          <w:color w:val="auto"/>
          <w:szCs w:val="24"/>
        </w:rPr>
        <w:t xml:space="preserve"> over </w:t>
      </w:r>
      <w:r w:rsidRPr="00610A40">
        <w:rPr>
          <w:color w:val="auto"/>
          <w:szCs w:val="24"/>
        </w:rPr>
        <w:lastRenderedPageBreak/>
        <w:t xml:space="preserve">8 weeks before being seeded onto the PCL/LA scaffold for 10 days prior to implantation. While the outcome was positive, the patient had to be subjected to a separate tissue harvesting surgery prior to implantation which required hospitalization. The cell expansion step was also very time-consuming and there may still be insufficient cells for implantation at the end of the long culture for some patients. Its long period of cell culture in </w:t>
      </w:r>
      <w:proofErr w:type="spellStart"/>
      <w:r w:rsidRPr="00610A40">
        <w:rPr>
          <w:color w:val="auto"/>
          <w:szCs w:val="24"/>
        </w:rPr>
        <w:t>xenoserum</w:t>
      </w:r>
      <w:proofErr w:type="spellEnd"/>
      <w:r w:rsidRPr="00610A40">
        <w:rPr>
          <w:color w:val="auto"/>
          <w:szCs w:val="24"/>
        </w:rPr>
        <w:t xml:space="preserve"> may also increases the risk of infection. In contrast, the use of patient’s own bone marrow cells would be a simpler procedure that could be performed on the same day. </w:t>
      </w:r>
      <w:r w:rsidR="00276355" w:rsidRPr="00610A40">
        <w:rPr>
          <w:color w:val="auto"/>
          <w:szCs w:val="24"/>
        </w:rPr>
        <w:t>The bone marrow cell harvesting procedure is non-surgical and it</w:t>
      </w:r>
      <w:r w:rsidRPr="00610A40">
        <w:rPr>
          <w:color w:val="auto"/>
          <w:szCs w:val="24"/>
        </w:rPr>
        <w:t xml:space="preserve"> </w:t>
      </w:r>
      <w:r w:rsidR="00276355" w:rsidRPr="00610A40">
        <w:rPr>
          <w:color w:val="auto"/>
          <w:szCs w:val="24"/>
        </w:rPr>
        <w:t xml:space="preserve">will </w:t>
      </w:r>
      <w:r w:rsidRPr="00610A40">
        <w:rPr>
          <w:color w:val="auto"/>
          <w:szCs w:val="24"/>
        </w:rPr>
        <w:t xml:space="preserve">only </w:t>
      </w:r>
      <w:r w:rsidR="006F1C2D" w:rsidRPr="00610A40">
        <w:rPr>
          <w:color w:val="auto"/>
          <w:szCs w:val="24"/>
        </w:rPr>
        <w:t>take</w:t>
      </w:r>
      <w:r w:rsidRPr="00610A40">
        <w:rPr>
          <w:color w:val="auto"/>
          <w:szCs w:val="24"/>
        </w:rPr>
        <w:t xml:space="preserve"> 2 to 4 hours of culturing</w:t>
      </w:r>
      <w:r w:rsidR="00276355" w:rsidRPr="00610A40">
        <w:rPr>
          <w:color w:val="auto"/>
          <w:szCs w:val="24"/>
        </w:rPr>
        <w:t>,</w:t>
      </w:r>
      <w:r w:rsidRPr="00610A40">
        <w:rPr>
          <w:color w:val="auto"/>
          <w:szCs w:val="24"/>
        </w:rPr>
        <w:t xml:space="preserve"> in patient’s own serum</w:t>
      </w:r>
      <w:r w:rsidR="00276355" w:rsidRPr="00610A40">
        <w:rPr>
          <w:color w:val="auto"/>
          <w:szCs w:val="24"/>
        </w:rPr>
        <w:t>,</w:t>
      </w:r>
      <w:r w:rsidRPr="00610A40">
        <w:rPr>
          <w:color w:val="auto"/>
          <w:szCs w:val="24"/>
        </w:rPr>
        <w:t xml:space="preserve"> before it </w:t>
      </w:r>
      <w:r w:rsidR="00276355" w:rsidRPr="00610A40">
        <w:rPr>
          <w:color w:val="auto"/>
          <w:szCs w:val="24"/>
        </w:rPr>
        <w:t xml:space="preserve">will </w:t>
      </w:r>
      <w:r w:rsidRPr="00610A40">
        <w:rPr>
          <w:color w:val="auto"/>
          <w:szCs w:val="24"/>
        </w:rPr>
        <w:t xml:space="preserve">be ready for implantation. </w:t>
      </w:r>
    </w:p>
    <w:p w14:paraId="1DA2C5D9" w14:textId="626C0FF8" w:rsidR="003C6A24" w:rsidRPr="00610A40" w:rsidRDefault="00007C8A" w:rsidP="00086775">
      <w:pPr>
        <w:pStyle w:val="Heading3"/>
        <w:rPr>
          <w:szCs w:val="24"/>
        </w:rPr>
      </w:pPr>
      <w:r w:rsidRPr="00610A40">
        <w:rPr>
          <w:szCs w:val="24"/>
        </w:rPr>
        <w:t>7</w:t>
      </w:r>
      <w:r w:rsidR="00735588" w:rsidRPr="00610A40">
        <w:rPr>
          <w:szCs w:val="24"/>
        </w:rPr>
        <w:t>.</w:t>
      </w:r>
      <w:r w:rsidRPr="00610A40">
        <w:rPr>
          <w:szCs w:val="24"/>
        </w:rPr>
        <w:t>2</w:t>
      </w:r>
      <w:r w:rsidR="00735588" w:rsidRPr="00610A40">
        <w:rPr>
          <w:szCs w:val="24"/>
        </w:rPr>
        <w:t xml:space="preserve">.2 </w:t>
      </w:r>
      <w:r w:rsidR="003C6A24" w:rsidRPr="00610A40">
        <w:rPr>
          <w:szCs w:val="24"/>
        </w:rPr>
        <w:t>Material</w:t>
      </w:r>
    </w:p>
    <w:p w14:paraId="088CCC02" w14:textId="776722BA" w:rsidR="003C6A24" w:rsidRPr="00610A40" w:rsidRDefault="003C6A24" w:rsidP="003C6A24">
      <w:pPr>
        <w:rPr>
          <w:color w:val="auto"/>
          <w:szCs w:val="24"/>
        </w:rPr>
      </w:pPr>
      <w:r w:rsidRPr="00610A40">
        <w:rPr>
          <w:color w:val="auto"/>
          <w:szCs w:val="24"/>
        </w:rPr>
        <w:t>This vascular graft scaffold</w:t>
      </w:r>
      <w:r w:rsidR="00276355" w:rsidRPr="00610A40">
        <w:rPr>
          <w:color w:val="auto"/>
          <w:szCs w:val="24"/>
        </w:rPr>
        <w:t xml:space="preserve"> investigated in clinical trial</w:t>
      </w:r>
      <w:r w:rsidRPr="00610A40">
        <w:rPr>
          <w:color w:val="auto"/>
          <w:szCs w:val="24"/>
        </w:rPr>
        <w:t xml:space="preserve"> is made of copolymer of poly-L-</w:t>
      </w:r>
      <w:proofErr w:type="spellStart"/>
      <w:r w:rsidRPr="00610A40">
        <w:rPr>
          <w:color w:val="auto"/>
          <w:szCs w:val="24"/>
        </w:rPr>
        <w:t>lactide</w:t>
      </w:r>
      <w:proofErr w:type="spellEnd"/>
      <w:r w:rsidRPr="00610A40">
        <w:rPr>
          <w:color w:val="auto"/>
          <w:szCs w:val="24"/>
        </w:rPr>
        <w:t xml:space="preserve"> and ε-</w:t>
      </w:r>
      <w:proofErr w:type="spellStart"/>
      <w:r w:rsidRPr="00610A40">
        <w:rPr>
          <w:color w:val="auto"/>
          <w:szCs w:val="24"/>
        </w:rPr>
        <w:t>caprolactone</w:t>
      </w:r>
      <w:proofErr w:type="spellEnd"/>
      <w:r w:rsidRPr="00610A40">
        <w:rPr>
          <w:color w:val="auto"/>
          <w:szCs w:val="24"/>
        </w:rPr>
        <w:t xml:space="preserve"> (50:50) via ring-opening polymerization and can be degraded </w:t>
      </w:r>
      <w:r w:rsidRPr="00610A40">
        <w:rPr>
          <w:i/>
          <w:color w:val="auto"/>
          <w:szCs w:val="24"/>
        </w:rPr>
        <w:t>in vivo</w:t>
      </w:r>
      <w:r w:rsidRPr="00610A40">
        <w:rPr>
          <w:color w:val="auto"/>
          <w:szCs w:val="24"/>
        </w:rPr>
        <w:t xml:space="preserve"> via hydrolysis in a few months</w:t>
      </w:r>
      <w:r w:rsidRPr="00610A40">
        <w:rPr>
          <w:color w:val="auto"/>
          <w:szCs w:val="24"/>
        </w:rPr>
        <w:fldChar w:fldCharType="begin" w:fldLock="1"/>
      </w:r>
      <w:r w:rsidR="00565E2A" w:rsidRPr="00610A40">
        <w:rPr>
          <w:color w:val="auto"/>
          <w:szCs w:val="24"/>
        </w:rPr>
        <w:instrText>ADDIN CSL_CITATION { "citationItems" : [ { "id" : "ITEM-1", "itemData" : { "DOI" : "10.1016/j.jtcvs.2004.12.047", "ISBN" : "0022-5223", "ISSN" : "00225223", "PMID" : "15942574", "abstract" : "Objective: Prosthetic and bioprosthetic materials currently in use lack growth potential and therefore must be repeatedly replaced in pediatric patients as they grow. Tissue engineering is a new discipline that offers the potential for creating replacement structures from autologous cells and biodegradable polymer scaffolds. In May 2000, we initiated clinical application of tissue-engineered vascular grafts seeded with cultured cells. However, cell culturing is time-consuming, and xenoserum must be used. To overcome these disadvantages, we began to use bone marrow cells, readily available on the day of surgery, as a cell source. The aim of the study was to assess the safety and feasibility of this technique for creating vascular tissue under low-pressure systems such as pulmonary artery or venous pressure. Methods: Since September 2001, tissue-engineered grafts seeded with autologous bone marrow cells have been implanted in 42 patients. The patients or their parents were fully informed and had given consent to the procedure. A 5-mL/kg specimen of bone marrow was aspirated with the patient under general anesthesia before the skin incision. The polymer tube serving as a scaffold for the cells was composed of a copolymer of l-lactide and \u03b5-caprolactone (50:50). This copolymer is degraded by hydrolysis. The matrix is more than 80% porous, and the diameter of each pore is 20 to 100 \u03bcm. Polyglycolic acid woven fabric with a thickness of 0.5 mm was used for reinforcement. Twenty-three tissue-engineered conduits (grafts for extracardiac total cavopulmonary connection) and 19 tissue-engineered patches were used for the repair of congenital heart defects. The patients' ages ranged from 1 to 24 years (median 5.5 years). All patients underwent a catheterization study, computed tomographic scan, or both, for evaluation after the operation. The patients received anticoagulation therapy for 3 to 6 months after surgery. Results: Mean follow-up after surgery was 490 \u00b1 276 days (1.3-31.6 months, median 16.7 months). There were no complications such as thrombosis, stenosis, or obstruction of the tissue-engineered autografts. One late death at 3 months after total cavopulmonary connection was noted in patient with hypoplastic left heart syndrome; this was unrelated to the tissue-engineered graft function. There was no evidence of aneurysm formation or calcification on cineangiography or computed tomography. All tube grafts were patent, and the diameter of the tube graft in\u2026", "author" : [ { "dropping-particle" : "", "family" : "Shin'oka", "given" : "Toshiharu", "non-dropping-particle" : "", "parse-names" : false, "suffix" : "" }, { "dropping-particle" : "", "family" : "Matsumura", "given" : "Goki", "non-dropping-particle" : "", "parse-names" : false, "suffix" : "" }, { "dropping-particle" : "", "family" : "Hibino", "given" : "Narutoshi", "non-dropping-particle" : "", "parse-names" : false, "suffix" : "" }, { "dropping-particle" : "", "family" : "Naito", "given" : "Yuji", "non-dropping-particle" : "", "parse-names" : false, "suffix" : "" }, { "dropping-particle" : "", "family" : "Watanabe", "given" : "Manabu", "non-dropping-particle" : "", "parse-names" : false, "suffix" : "" }, { "dropping-particle" : "", "family" : "Konuma", "given" : "Takeshi", "non-dropping-particle" : "", "parse-names" : false, "suffix" : "" }, { "dropping-particle" : "", "family" : "Sakamoto", "given" : "Takahiko", "non-dropping-particle" : "", "parse-names" : false, "suffix" : "" }, { "dropping-particle" : "", "family" : "Nagatsu", "given" : "Masayoshi", "non-dropping-particle" : "", "parse-names" : false, "suffix" : "" }, { "dropping-particle" : "", "family" : "Kurosawa", "given" : "Hiromi", "non-dropping-particle" : "", "parse-names" : false, "suffix" : "" } ], "container-title" : "Journal of Thoracic and Cardiovascular Surgery", "id" : "ITEM-1", "issue" : "6", "issued" : { "date-parts" : [ [ "2005" ] ] }, "title" : "Midterm clinical result of tissue-engineered vascular autografts seeded with autologous bone marrow cells", "type" : "article-journal", "volume" : "129" }, "uris" : [ "http://www.mendeley.com/documents/?uuid=87f182a7-6f4e-4279-83d7-0d9e47dbc99b", "http://www.mendeley.com/documents/?uuid=101b6b7a-8c79-4746-bd98-7481e2d3b199" ] } ], "mendeley" : { "formattedCitation" : "&lt;sup&gt;213&lt;/sup&gt;", "plainTextFormattedCitation" : "213", "previouslyFormattedCitation" : "&lt;sup&gt;212&lt;/sup&gt;"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213</w:t>
      </w:r>
      <w:r w:rsidRPr="00610A40">
        <w:rPr>
          <w:color w:val="auto"/>
          <w:szCs w:val="24"/>
        </w:rPr>
        <w:fldChar w:fldCharType="end"/>
      </w:r>
      <w:r w:rsidRPr="00610A40">
        <w:rPr>
          <w:color w:val="auto"/>
          <w:szCs w:val="24"/>
        </w:rPr>
        <w:t xml:space="preserve">. </w:t>
      </w:r>
      <w:proofErr w:type="spellStart"/>
      <w:r w:rsidRPr="00610A40">
        <w:rPr>
          <w:color w:val="auto"/>
          <w:szCs w:val="24"/>
        </w:rPr>
        <w:t>Polyglycolic</w:t>
      </w:r>
      <w:proofErr w:type="spellEnd"/>
      <w:r w:rsidRPr="00610A40">
        <w:rPr>
          <w:color w:val="auto"/>
          <w:szCs w:val="24"/>
        </w:rPr>
        <w:t xml:space="preserve"> acid (PGA, n = 20) or poly-L-lactic acid (PLLA, n = 22) woven fabric of a thickness of 0.5 mm was used as reinforcement</w:t>
      </w:r>
      <w:r w:rsidR="0018499C" w:rsidRPr="00610A40">
        <w:rPr>
          <w:color w:val="auto"/>
          <w:szCs w:val="24"/>
        </w:rPr>
        <w:t xml:space="preserve"> outside the graft</w:t>
      </w:r>
      <w:r w:rsidRPr="00610A40">
        <w:rPr>
          <w:color w:val="auto"/>
          <w:szCs w:val="24"/>
        </w:rPr>
        <w:t xml:space="preserve">. The copolymer solution was poured onto PGA or PLLA woven fabric sheets and freeze-dried under vacuum. The tubular scaffold </w:t>
      </w:r>
      <w:r w:rsidR="0018499C" w:rsidRPr="00610A40">
        <w:rPr>
          <w:color w:val="auto"/>
          <w:szCs w:val="24"/>
        </w:rPr>
        <w:t xml:space="preserve">was </w:t>
      </w:r>
      <w:r w:rsidRPr="00610A40">
        <w:rPr>
          <w:color w:val="auto"/>
          <w:szCs w:val="24"/>
        </w:rPr>
        <w:t>more than 80% porous and the size of the pores range from 20 µm to 100 µm</w:t>
      </w:r>
      <w:r w:rsidR="0018499C" w:rsidRPr="00610A40">
        <w:rPr>
          <w:color w:val="auto"/>
          <w:szCs w:val="24"/>
        </w:rPr>
        <w:t xml:space="preserve"> (</w:t>
      </w:r>
      <w:r w:rsidR="00944C77" w:rsidRPr="00610A40">
        <w:rPr>
          <w:color w:val="auto"/>
          <w:szCs w:val="24"/>
        </w:rPr>
        <w:fldChar w:fldCharType="begin"/>
      </w:r>
      <w:r w:rsidR="00944C77" w:rsidRPr="00610A40">
        <w:rPr>
          <w:color w:val="auto"/>
          <w:szCs w:val="24"/>
        </w:rPr>
        <w:instrText xml:space="preserve"> REF _Ref489036834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17</w:t>
      </w:r>
      <w:r w:rsidR="00944C77" w:rsidRPr="00610A40">
        <w:rPr>
          <w:color w:val="auto"/>
          <w:szCs w:val="24"/>
        </w:rPr>
        <w:fldChar w:fldCharType="end"/>
      </w:r>
      <w:r w:rsidR="0018499C" w:rsidRPr="00610A40">
        <w:rPr>
          <w:color w:val="auto"/>
          <w:szCs w:val="24"/>
        </w:rPr>
        <w:t>)</w:t>
      </w:r>
      <w:r w:rsidRPr="00610A40">
        <w:rPr>
          <w:color w:val="auto"/>
          <w:szCs w:val="24"/>
        </w:rPr>
        <w:t xml:space="preserve">. The PGA fibers degraded in approximately 2 months and the PLLA fibers 2 years in warm saline. The tensile strengths of the PGA fiber were 81.3% at 1 week, 48.8% at 2 weeks, 7.6% at 3 weeks, and 4.6% at 4 weeks; those of the PLLA fiber were 98.2% at 13 weeks, 88.1% at 26 weeks, 61.3% at 52 weeks, and 23.1% at 78 weeks. </w:t>
      </w:r>
      <w:r w:rsidRPr="00610A40">
        <w:rPr>
          <w:i/>
          <w:color w:val="auto"/>
          <w:szCs w:val="24"/>
        </w:rPr>
        <w:t>In vivo</w:t>
      </w:r>
      <w:r w:rsidRPr="00610A40">
        <w:rPr>
          <w:color w:val="auto"/>
          <w:szCs w:val="24"/>
        </w:rPr>
        <w:t xml:space="preserve"> degradation study of the copolymer of PCL/PLA performed in dogs demonstrated a loss of strength in approximately 16 weeks and full degradation by about 24 weeks</w:t>
      </w:r>
      <w:r w:rsidRPr="00610A40">
        <w:rPr>
          <w:color w:val="auto"/>
          <w:szCs w:val="24"/>
        </w:rPr>
        <w:fldChar w:fldCharType="begin" w:fldLock="1"/>
      </w:r>
      <w:r w:rsidR="00565E2A" w:rsidRPr="00610A40">
        <w:rPr>
          <w:color w:val="auto"/>
          <w:szCs w:val="24"/>
        </w:rPr>
        <w:instrText>ADDIN CSL_CITATION { "citationItems" : [ { "id" : "ITEM-1", "itemData" : { "DOI" : "10.1161/01.CIR.0000092165.32213.61", "ISBN" : "1524-4539 (Electronic)\\n0009-7322 (Linking)", "ISSN" : "00097322", "PMID" : "12963635", "abstract" : "Background\u2014 Materials commonly used to repair complex cardiac defects lack growth potential and have other unwanted side effects. We designed and tested a bone marrow cell (BMC)\u2013seeded biodegradable scaffold that avoids these problems.\\nMethods and Results\u2014 To demonstrate the contribution of the BMCs to histogenesis, we labeled them with green fluorescence, seeded them onto scaffolds, and implanted them in the inferior vena cava of dogs. The implanted grafts were analyzed immunohistochemically at 3 hours and subsequently at 2, 4, and 8 weeks after implantation using antibodies against endothelial cell lineage markers, endothelium, and smooth muscle cells. There was no stenosis or obstruction caused by the tissue-engineered vascular autografts (TEVAs) implanted into the dogs. Immunohistochemically, the seeded BMCs expressing endothelial cell lineage markers, such as CD34, CD31, Flk-1, and Tie-2, adhered to the scaffold. This was followed by proliferation and differentiation, resulting in expression of endothelial cells markers, such as CD146, factor VIII, and CD31, and smooth muscle cell markers, such as \u03b1-smooth muscle cell actin, SMemb, SM1, and SM2. Vascular endothelial growth factor and angiopoietin-1 were also produced by cells in TEVAs.\\nConclusions\u2014 These results provide direct evidence that the use of BMCs enables the establishment of TEVAs. These TEVAs are useful for cardiovascular surgery in humans and especially in children, who require biocompatible materials with growth potential, which might reduce the instance of complications caused by incompatible materials and lead to a reduced likelihood of further surgery.", "author" : [ { "dropping-particle" : "", "family" : "Matsumura", "given" : "Goki", "non-dropping-particle" : "", "parse-names" : false, "suffix" : "" }, { "dropping-particle" : "", "family" : "Miyagawa-Tomita", "given" : "Sachiko", "non-dropping-particle" : "", "parse-names" : false, "suffix" : "" }, { "dropping-particle" : "", "family" : "Shin'Oka", "given" : "Toshiharu", "non-dropping-particle" : "", "parse-names" : false, "suffix" : "" }, { "dropping-particle" : "", "family" : "Ikada", "given" : "Yoshito", "non-dropping-particle" : "", "parse-names" : false, "suffix" : "" }, { "dropping-particle" : "", "family" : "Kurosawa", "given" : "Hiromi", "non-dropping-particle" : "", "parse-names" : false, "suffix" : "" } ], "container-title" : "Circulation", "id" : "ITEM-1", "issue" : "14", "issued" : { "date-parts" : [ [ "2003" ] ] }, "page" : "1729-1734", "title" : "First evidence that bone marrow cells contribute to the construction of tissue-engineered vascular autografts in vivo", "type" : "article-journal", "volume" : "108" }, "uris" : [ "http://www.mendeley.com/documents/?uuid=5d9168a6-9ead-44c4-8761-a7fb96ffc30b", "http://www.mendeley.com/documents/?uuid=da5b84f9-f6f8-48e0-af6f-d702c7c63b88" ] } ], "mendeley" : { "formattedCitation" : "&lt;sup&gt;218&lt;/sup&gt;", "plainTextFormattedCitation" : "218", "previouslyFormattedCitation" : "&lt;sup&gt;217&lt;/sup&gt;"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218</w:t>
      </w:r>
      <w:r w:rsidRPr="00610A40">
        <w:rPr>
          <w:color w:val="auto"/>
          <w:szCs w:val="24"/>
        </w:rPr>
        <w:fldChar w:fldCharType="end"/>
      </w:r>
      <w:r w:rsidRPr="00610A40">
        <w:rPr>
          <w:color w:val="auto"/>
          <w:szCs w:val="24"/>
        </w:rPr>
        <w:t xml:space="preserve">. </w:t>
      </w:r>
    </w:p>
    <w:p w14:paraId="64D49C89" w14:textId="77777777" w:rsidR="0018499C" w:rsidRPr="00610A40" w:rsidRDefault="0018499C" w:rsidP="00086775">
      <w:pPr>
        <w:keepNext/>
        <w:rPr>
          <w:color w:val="auto"/>
          <w:szCs w:val="24"/>
        </w:rPr>
      </w:pPr>
      <w:r w:rsidRPr="00610A40">
        <w:rPr>
          <w:noProof/>
          <w:color w:val="auto"/>
          <w:szCs w:val="24"/>
        </w:rPr>
        <w:lastRenderedPageBreak/>
        <w:drawing>
          <wp:inline distT="0" distB="0" distL="0" distR="0" wp14:anchorId="32F52614" wp14:editId="584E9E1E">
            <wp:extent cx="5048250" cy="1708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r="625" b="65601"/>
                    <a:stretch/>
                  </pic:blipFill>
                  <pic:spPr bwMode="auto">
                    <a:xfrm>
                      <a:off x="0" y="0"/>
                      <a:ext cx="5048250" cy="1708150"/>
                    </a:xfrm>
                    <a:prstGeom prst="rect">
                      <a:avLst/>
                    </a:prstGeom>
                    <a:noFill/>
                    <a:ln>
                      <a:noFill/>
                    </a:ln>
                    <a:extLst>
                      <a:ext uri="{53640926-AAD7-44D8-BBD7-CCE9431645EC}">
                        <a14:shadowObscured xmlns:a14="http://schemas.microsoft.com/office/drawing/2010/main"/>
                      </a:ext>
                    </a:extLst>
                  </pic:spPr>
                </pic:pic>
              </a:graphicData>
            </a:graphic>
          </wp:inline>
        </w:drawing>
      </w:r>
    </w:p>
    <w:p w14:paraId="5AA622EC" w14:textId="3619F1F3" w:rsidR="0018499C" w:rsidRPr="00610A40" w:rsidRDefault="0018499C" w:rsidP="00086775">
      <w:pPr>
        <w:pStyle w:val="Caption"/>
        <w:rPr>
          <w:sz w:val="24"/>
          <w:szCs w:val="24"/>
        </w:rPr>
      </w:pPr>
      <w:bookmarkStart w:id="21" w:name="_Ref489036834"/>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17</w:t>
      </w:r>
      <w:r w:rsidR="00004924" w:rsidRPr="00610A40">
        <w:rPr>
          <w:noProof/>
          <w:sz w:val="24"/>
          <w:szCs w:val="24"/>
        </w:rPr>
        <w:fldChar w:fldCharType="end"/>
      </w:r>
      <w:bookmarkEnd w:id="21"/>
      <w:r w:rsidRPr="00610A40">
        <w:rPr>
          <w:sz w:val="24"/>
          <w:szCs w:val="24"/>
        </w:rPr>
        <w:t xml:space="preserve"> Left: Macroscopic image of the vascular graft (diameter of 18 mm) made with PCL/LA reinforced with PGA mesh. Right: SEM image showing the porous microstructure in the scaffold.</w:t>
      </w:r>
      <w:r w:rsidR="009A5BC6">
        <w:rPr>
          <w:sz w:val="24"/>
          <w:szCs w:val="24"/>
        </w:rPr>
        <w:t xml:space="preserve"> </w:t>
      </w:r>
      <w:r w:rsidR="009A5BC6" w:rsidRPr="00610A40">
        <w:rPr>
          <w:sz w:val="24"/>
          <w:szCs w:val="24"/>
        </w:rPr>
        <w:t xml:space="preserve">Reproduced from ref. </w:t>
      </w:r>
      <w:r w:rsidR="009A5BC6">
        <w:rPr>
          <w:sz w:val="24"/>
          <w:szCs w:val="24"/>
        </w:rPr>
        <w:t>213</w:t>
      </w:r>
      <w:r w:rsidR="009A5BC6" w:rsidRPr="00610A40">
        <w:rPr>
          <w:sz w:val="24"/>
          <w:szCs w:val="24"/>
        </w:rPr>
        <w:t xml:space="preserve"> with permission from </w:t>
      </w:r>
      <w:r w:rsidR="009A5BC6">
        <w:rPr>
          <w:sz w:val="24"/>
          <w:szCs w:val="24"/>
        </w:rPr>
        <w:t>Elsevier</w:t>
      </w:r>
      <w:r w:rsidR="009A5BC6" w:rsidRPr="00610A40">
        <w:rPr>
          <w:sz w:val="24"/>
          <w:szCs w:val="24"/>
        </w:rPr>
        <w:t xml:space="preserve">, copyright </w:t>
      </w:r>
      <w:r w:rsidR="009A5BC6">
        <w:rPr>
          <w:sz w:val="24"/>
          <w:szCs w:val="24"/>
        </w:rPr>
        <w:t>20</w:t>
      </w:r>
      <w:r w:rsidR="009A5BC6">
        <w:rPr>
          <w:sz w:val="24"/>
          <w:szCs w:val="24"/>
        </w:rPr>
        <w:t>0</w:t>
      </w:r>
      <w:r w:rsidR="009A5BC6">
        <w:rPr>
          <w:sz w:val="24"/>
          <w:szCs w:val="24"/>
        </w:rPr>
        <w:t>5</w:t>
      </w:r>
    </w:p>
    <w:p w14:paraId="6C0FFCD5" w14:textId="77777777" w:rsidR="0018499C" w:rsidRPr="00610A40" w:rsidRDefault="0018499C">
      <w:pPr>
        <w:rPr>
          <w:color w:val="auto"/>
          <w:szCs w:val="24"/>
        </w:rPr>
      </w:pPr>
    </w:p>
    <w:p w14:paraId="1C7B28B8" w14:textId="254A5902" w:rsidR="003C6A24" w:rsidRPr="00610A40" w:rsidRDefault="00007C8A" w:rsidP="00086775">
      <w:pPr>
        <w:pStyle w:val="Heading3"/>
        <w:rPr>
          <w:szCs w:val="24"/>
        </w:rPr>
      </w:pPr>
      <w:r w:rsidRPr="00610A40">
        <w:rPr>
          <w:szCs w:val="24"/>
        </w:rPr>
        <w:t>7</w:t>
      </w:r>
      <w:r w:rsidR="00735588" w:rsidRPr="00610A40">
        <w:rPr>
          <w:szCs w:val="24"/>
        </w:rPr>
        <w:t>.</w:t>
      </w:r>
      <w:r w:rsidRPr="00610A40">
        <w:rPr>
          <w:szCs w:val="24"/>
        </w:rPr>
        <w:t>2</w:t>
      </w:r>
      <w:r w:rsidR="00735588" w:rsidRPr="00610A40">
        <w:rPr>
          <w:szCs w:val="24"/>
        </w:rPr>
        <w:t xml:space="preserve">.3 </w:t>
      </w:r>
      <w:r w:rsidR="003C6A24" w:rsidRPr="00610A40">
        <w:rPr>
          <w:szCs w:val="24"/>
        </w:rPr>
        <w:t>Performance</w:t>
      </w:r>
    </w:p>
    <w:p w14:paraId="3BD5D2F7" w14:textId="0A4EF39B" w:rsidR="003C6A24" w:rsidRPr="00610A40" w:rsidRDefault="003C6A24" w:rsidP="003C6A24">
      <w:pPr>
        <w:rPr>
          <w:color w:val="auto"/>
          <w:szCs w:val="24"/>
        </w:rPr>
      </w:pPr>
      <w:r w:rsidRPr="00610A40">
        <w:rPr>
          <w:color w:val="auto"/>
          <w:szCs w:val="24"/>
        </w:rPr>
        <w:t xml:space="preserve">The earlier animal experiments </w:t>
      </w:r>
      <w:r w:rsidR="0018499C" w:rsidRPr="00610A40">
        <w:rPr>
          <w:color w:val="auto"/>
          <w:szCs w:val="24"/>
        </w:rPr>
        <w:t xml:space="preserve">conducted with the same material </w:t>
      </w:r>
      <w:r w:rsidRPr="00610A40">
        <w:rPr>
          <w:color w:val="auto"/>
          <w:szCs w:val="24"/>
        </w:rPr>
        <w:t xml:space="preserve">justified the presence of endothelial cell formation on the scaffold 2 weeks after bone marrow cell seeding, due to the positive expressions of endothelial cell markers such as CD146, factor VIII and CD31. There was also presence of smooth muscle cell markers, vascular endothelial growth factor and angiopoietin-1, a protein involved in vascular development and angiogenesis. These evidences suggested the formation of the various components of a blood vessel growing on the vascular graft. Long-term results in dogs demonstrated a vessel-like macroscopic appearance </w:t>
      </w:r>
      <w:r w:rsidR="00EB6896" w:rsidRPr="00610A40">
        <w:rPr>
          <w:color w:val="auto"/>
          <w:szCs w:val="24"/>
        </w:rPr>
        <w:t xml:space="preserve">two </w:t>
      </w:r>
      <w:r w:rsidRPr="00610A40">
        <w:rPr>
          <w:color w:val="auto"/>
          <w:szCs w:val="24"/>
        </w:rPr>
        <w:t>year post-implantation (</w:t>
      </w:r>
      <w:r w:rsidR="00944C77" w:rsidRPr="00610A40">
        <w:rPr>
          <w:color w:val="auto"/>
          <w:szCs w:val="24"/>
        </w:rPr>
        <w:fldChar w:fldCharType="begin"/>
      </w:r>
      <w:r w:rsidR="00944C77" w:rsidRPr="00610A40">
        <w:rPr>
          <w:color w:val="auto"/>
          <w:szCs w:val="24"/>
        </w:rPr>
        <w:instrText xml:space="preserve"> REF _Ref489036850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18</w:t>
      </w:r>
      <w:r w:rsidR="00944C77" w:rsidRPr="00610A40">
        <w:rPr>
          <w:color w:val="auto"/>
          <w:szCs w:val="24"/>
        </w:rPr>
        <w:fldChar w:fldCharType="end"/>
      </w:r>
      <w:r w:rsidR="00944C77" w:rsidRPr="00610A40">
        <w:rPr>
          <w:color w:val="auto"/>
          <w:szCs w:val="24"/>
        </w:rPr>
        <w:t xml:space="preserve"> </w:t>
      </w:r>
      <w:r w:rsidRPr="00610A40">
        <w:rPr>
          <w:color w:val="auto"/>
          <w:szCs w:val="24"/>
        </w:rPr>
        <w:t xml:space="preserve">A) without any vessel occlusion or obstruction as shown in </w:t>
      </w:r>
      <w:proofErr w:type="spellStart"/>
      <w:r w:rsidRPr="00610A40">
        <w:rPr>
          <w:color w:val="auto"/>
          <w:szCs w:val="24"/>
        </w:rPr>
        <w:t>cineangiography</w:t>
      </w:r>
      <w:proofErr w:type="spellEnd"/>
      <w:r w:rsidRPr="00610A40">
        <w:rPr>
          <w:color w:val="auto"/>
          <w:szCs w:val="24"/>
        </w:rPr>
        <w:t xml:space="preserve"> (</w:t>
      </w:r>
      <w:r w:rsidR="00944C77" w:rsidRPr="00610A40">
        <w:rPr>
          <w:color w:val="auto"/>
          <w:szCs w:val="24"/>
        </w:rPr>
        <w:fldChar w:fldCharType="begin"/>
      </w:r>
      <w:r w:rsidR="00944C77" w:rsidRPr="00610A40">
        <w:rPr>
          <w:color w:val="auto"/>
          <w:szCs w:val="24"/>
        </w:rPr>
        <w:instrText xml:space="preserve"> REF _Ref489036850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18</w:t>
      </w:r>
      <w:r w:rsidR="00944C77" w:rsidRPr="00610A40">
        <w:rPr>
          <w:color w:val="auto"/>
          <w:szCs w:val="24"/>
        </w:rPr>
        <w:fldChar w:fldCharType="end"/>
      </w:r>
      <w:r w:rsidR="00944C77" w:rsidRPr="00610A40">
        <w:rPr>
          <w:color w:val="auto"/>
          <w:szCs w:val="24"/>
        </w:rPr>
        <w:t xml:space="preserve"> </w:t>
      </w:r>
      <w:r w:rsidRPr="00610A40">
        <w:rPr>
          <w:color w:val="auto"/>
          <w:szCs w:val="24"/>
        </w:rPr>
        <w:t xml:space="preserve">B). Histology of the explanted segment also displayed a flattened endothelial cell lining on the luminal surface of the vessel, as well as the formation of smooth muscle cells, collagen fibers and elastin fibers in the walls of the tissue engineered vascular graft. </w:t>
      </w:r>
    </w:p>
    <w:p w14:paraId="2C74F401" w14:textId="77777777" w:rsidR="00EB6896" w:rsidRPr="00610A40" w:rsidRDefault="00EB6896" w:rsidP="00086775">
      <w:pPr>
        <w:keepNext/>
        <w:rPr>
          <w:color w:val="auto"/>
          <w:szCs w:val="24"/>
        </w:rPr>
      </w:pPr>
      <w:r w:rsidRPr="00610A40">
        <w:rPr>
          <w:noProof/>
          <w:color w:val="auto"/>
          <w:szCs w:val="24"/>
        </w:rPr>
        <w:lastRenderedPageBreak/>
        <w:drawing>
          <wp:inline distT="0" distB="0" distL="0" distR="0" wp14:anchorId="065AF532" wp14:editId="2FBB302E">
            <wp:extent cx="3040890" cy="1309254"/>
            <wp:effectExtent l="0" t="0" r="762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b="53790"/>
                    <a:stretch/>
                  </pic:blipFill>
                  <pic:spPr bwMode="auto">
                    <a:xfrm>
                      <a:off x="0" y="0"/>
                      <a:ext cx="3041015" cy="1309308"/>
                    </a:xfrm>
                    <a:prstGeom prst="rect">
                      <a:avLst/>
                    </a:prstGeom>
                    <a:noFill/>
                    <a:ln>
                      <a:noFill/>
                    </a:ln>
                    <a:extLst>
                      <a:ext uri="{53640926-AAD7-44D8-BBD7-CCE9431645EC}">
                        <a14:shadowObscured xmlns:a14="http://schemas.microsoft.com/office/drawing/2010/main"/>
                      </a:ext>
                    </a:extLst>
                  </pic:spPr>
                </pic:pic>
              </a:graphicData>
            </a:graphic>
          </wp:inline>
        </w:drawing>
      </w:r>
    </w:p>
    <w:p w14:paraId="150B2972" w14:textId="726B0D86" w:rsidR="003C6A24" w:rsidRPr="00610A40" w:rsidRDefault="00EB6896" w:rsidP="00086775">
      <w:pPr>
        <w:pStyle w:val="Caption"/>
        <w:rPr>
          <w:sz w:val="24"/>
          <w:szCs w:val="24"/>
        </w:rPr>
      </w:pPr>
      <w:bookmarkStart w:id="22" w:name="_Ref489036850"/>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18</w:t>
      </w:r>
      <w:r w:rsidR="00004924" w:rsidRPr="00610A40">
        <w:rPr>
          <w:noProof/>
          <w:sz w:val="24"/>
          <w:szCs w:val="24"/>
        </w:rPr>
        <w:fldChar w:fldCharType="end"/>
      </w:r>
      <w:bookmarkEnd w:id="22"/>
      <w:r w:rsidRPr="00610A40">
        <w:rPr>
          <w:sz w:val="24"/>
          <w:szCs w:val="24"/>
        </w:rPr>
        <w:t xml:space="preserve"> A. Macroscopic image of the tissue engineered vascular </w:t>
      </w:r>
      <w:proofErr w:type="spellStart"/>
      <w:r w:rsidRPr="00610A40">
        <w:rPr>
          <w:sz w:val="24"/>
          <w:szCs w:val="24"/>
        </w:rPr>
        <w:t>autograft</w:t>
      </w:r>
      <w:proofErr w:type="spellEnd"/>
      <w:r w:rsidRPr="00610A40">
        <w:rPr>
          <w:sz w:val="24"/>
          <w:szCs w:val="24"/>
        </w:rPr>
        <w:t xml:space="preserve"> (TEVA) at 2 years post-implantation. The TEVA presented a normal vessel-like appearance. B. </w:t>
      </w:r>
      <w:proofErr w:type="spellStart"/>
      <w:r w:rsidRPr="00610A40">
        <w:rPr>
          <w:sz w:val="24"/>
          <w:szCs w:val="24"/>
        </w:rPr>
        <w:t>Cineangiography</w:t>
      </w:r>
      <w:proofErr w:type="spellEnd"/>
      <w:r w:rsidRPr="00610A40">
        <w:rPr>
          <w:sz w:val="24"/>
          <w:szCs w:val="24"/>
        </w:rPr>
        <w:t xml:space="preserve"> of the TEVA at its site of implantation at 2 years post-implantation. </w:t>
      </w:r>
      <w:r w:rsidR="0045720F" w:rsidRPr="00610A40">
        <w:rPr>
          <w:sz w:val="24"/>
          <w:szCs w:val="24"/>
        </w:rPr>
        <w:t xml:space="preserve">The black arrows pointed to the implanted TEVA. </w:t>
      </w:r>
      <w:r w:rsidRPr="00610A40">
        <w:rPr>
          <w:sz w:val="24"/>
          <w:szCs w:val="24"/>
        </w:rPr>
        <w:t xml:space="preserve">No </w:t>
      </w:r>
      <w:proofErr w:type="gramStart"/>
      <w:r w:rsidRPr="00610A40">
        <w:rPr>
          <w:sz w:val="24"/>
          <w:szCs w:val="24"/>
        </w:rPr>
        <w:t>signs of obstruction or occlusion was</w:t>
      </w:r>
      <w:proofErr w:type="gramEnd"/>
      <w:r w:rsidRPr="00610A40">
        <w:rPr>
          <w:sz w:val="24"/>
          <w:szCs w:val="24"/>
        </w:rPr>
        <w:t xml:space="preserve"> seen. </w:t>
      </w:r>
      <w:r w:rsidR="009A5BC6">
        <w:rPr>
          <w:sz w:val="24"/>
          <w:szCs w:val="24"/>
        </w:rPr>
        <w:t xml:space="preserve"> </w:t>
      </w:r>
      <w:r w:rsidR="009A5BC6" w:rsidRPr="00610A40">
        <w:rPr>
          <w:sz w:val="24"/>
          <w:szCs w:val="24"/>
        </w:rPr>
        <w:t xml:space="preserve">Reproduced from ref. </w:t>
      </w:r>
      <w:r w:rsidR="009A5BC6">
        <w:rPr>
          <w:sz w:val="24"/>
          <w:szCs w:val="24"/>
        </w:rPr>
        <w:t>213</w:t>
      </w:r>
      <w:r w:rsidR="009A5BC6" w:rsidRPr="00610A40">
        <w:rPr>
          <w:sz w:val="24"/>
          <w:szCs w:val="24"/>
        </w:rPr>
        <w:t xml:space="preserve"> with permission from the </w:t>
      </w:r>
      <w:r w:rsidR="009A5BC6">
        <w:rPr>
          <w:sz w:val="24"/>
          <w:szCs w:val="24"/>
        </w:rPr>
        <w:t>Elsevier</w:t>
      </w:r>
      <w:r w:rsidR="009A5BC6" w:rsidRPr="00610A40">
        <w:rPr>
          <w:sz w:val="24"/>
          <w:szCs w:val="24"/>
        </w:rPr>
        <w:t xml:space="preserve">, copyright </w:t>
      </w:r>
      <w:r w:rsidR="009A5BC6">
        <w:rPr>
          <w:sz w:val="24"/>
          <w:szCs w:val="24"/>
        </w:rPr>
        <w:t>20</w:t>
      </w:r>
      <w:r w:rsidR="009A5BC6">
        <w:rPr>
          <w:sz w:val="24"/>
          <w:szCs w:val="24"/>
        </w:rPr>
        <w:t>0</w:t>
      </w:r>
      <w:r w:rsidR="009A5BC6">
        <w:rPr>
          <w:sz w:val="24"/>
          <w:szCs w:val="24"/>
        </w:rPr>
        <w:t>5</w:t>
      </w:r>
    </w:p>
    <w:p w14:paraId="774C4ED9" w14:textId="2F563302" w:rsidR="003C6A24" w:rsidRPr="00610A40" w:rsidRDefault="003C6A24" w:rsidP="003C6A24">
      <w:pPr>
        <w:rPr>
          <w:color w:val="auto"/>
          <w:szCs w:val="24"/>
        </w:rPr>
      </w:pPr>
      <w:r w:rsidRPr="00610A40">
        <w:rPr>
          <w:color w:val="auto"/>
          <w:szCs w:val="24"/>
        </w:rPr>
        <w:t xml:space="preserve">With these promising results from large animal experiments, the group proceeded with a clinical trial with pediatric patients with single ventricle </w:t>
      </w:r>
      <w:r w:rsidR="00DC64C9" w:rsidRPr="00610A40">
        <w:rPr>
          <w:color w:val="auto"/>
          <w:szCs w:val="24"/>
        </w:rPr>
        <w:t>anomalies</w:t>
      </w:r>
      <w:r w:rsidRPr="00610A40">
        <w:rPr>
          <w:color w:val="auto"/>
          <w:szCs w:val="24"/>
        </w:rPr>
        <w:t xml:space="preserve">. 25 patients with a median age of 5.5 years were selected (ClinicalTrials.gov Identifier: NCT01034007). </w:t>
      </w:r>
      <w:proofErr w:type="spellStart"/>
      <w:r w:rsidRPr="00610A40">
        <w:rPr>
          <w:color w:val="auto"/>
          <w:szCs w:val="24"/>
        </w:rPr>
        <w:t>Extracardiac</w:t>
      </w:r>
      <w:proofErr w:type="spellEnd"/>
      <w:r w:rsidRPr="00610A40">
        <w:rPr>
          <w:color w:val="auto"/>
          <w:szCs w:val="24"/>
        </w:rPr>
        <w:t xml:space="preserve"> total </w:t>
      </w:r>
      <w:proofErr w:type="spellStart"/>
      <w:r w:rsidRPr="00610A40">
        <w:rPr>
          <w:color w:val="auto"/>
          <w:szCs w:val="24"/>
        </w:rPr>
        <w:t>cavopulmonary</w:t>
      </w:r>
      <w:proofErr w:type="spellEnd"/>
      <w:r w:rsidRPr="00610A40">
        <w:rPr>
          <w:color w:val="auto"/>
          <w:szCs w:val="24"/>
        </w:rPr>
        <w:t xml:space="preserve"> connections were established with </w:t>
      </w:r>
      <w:r w:rsidR="006F1C2D" w:rsidRPr="00610A40">
        <w:rPr>
          <w:color w:val="auto"/>
          <w:szCs w:val="24"/>
        </w:rPr>
        <w:t>these tissues</w:t>
      </w:r>
      <w:r w:rsidRPr="00610A40">
        <w:rPr>
          <w:color w:val="auto"/>
          <w:szCs w:val="24"/>
        </w:rPr>
        <w:t xml:space="preserve"> engineered vascular grafts to link the superior vena cava to the right pulmonary artery. The PGA or PLLA and PCL/LA vascular scaffold was fabricated into tubes of 12 – 24 mm in diameter, 0.6 to 0.7 mm in thickness and 13cm in length, which could be trimmed by surgeons during operation to suit the anatomy of each patient. Mononuclear cell component of the bone marrow of each patient (2.26 </w:t>
      </w:r>
      <w:r w:rsidRPr="00610A40">
        <w:rPr>
          <w:rFonts w:cs="Times New Roman"/>
          <w:color w:val="auto"/>
          <w:szCs w:val="24"/>
        </w:rPr>
        <w:t>±</w:t>
      </w:r>
      <w:r w:rsidRPr="00610A40">
        <w:rPr>
          <w:color w:val="auto"/>
          <w:szCs w:val="24"/>
        </w:rPr>
        <w:t xml:space="preserve"> 1.02 x 10</w:t>
      </w:r>
      <w:r w:rsidRPr="00610A40">
        <w:rPr>
          <w:color w:val="auto"/>
          <w:szCs w:val="24"/>
          <w:vertAlign w:val="superscript"/>
        </w:rPr>
        <w:t>8</w:t>
      </w:r>
      <w:r w:rsidRPr="00610A40">
        <w:rPr>
          <w:color w:val="auto"/>
          <w:szCs w:val="24"/>
        </w:rPr>
        <w:t xml:space="preserve"> cells, mean of 320,000 </w:t>
      </w:r>
      <w:r w:rsidRPr="00610A40">
        <w:rPr>
          <w:rFonts w:cs="Times New Roman"/>
          <w:color w:val="auto"/>
          <w:szCs w:val="24"/>
        </w:rPr>
        <w:t>±</w:t>
      </w:r>
      <w:r w:rsidRPr="00610A40">
        <w:rPr>
          <w:color w:val="auto"/>
          <w:szCs w:val="24"/>
        </w:rPr>
        <w:t xml:space="preserve"> 29,900 cells/cm</w:t>
      </w:r>
      <w:r w:rsidRPr="00610A40">
        <w:rPr>
          <w:color w:val="auto"/>
          <w:szCs w:val="24"/>
          <w:vertAlign w:val="superscript"/>
        </w:rPr>
        <w:t>2</w:t>
      </w:r>
      <w:r w:rsidRPr="00610A40">
        <w:rPr>
          <w:color w:val="auto"/>
          <w:szCs w:val="24"/>
        </w:rPr>
        <w:t xml:space="preserve">) was extracted, filtered and seeded onto the scaffold by pipetting. The seeded scaffold was incubated patient’s own serum for 2 to 4 hours </w:t>
      </w:r>
      <w:r w:rsidRPr="00610A40">
        <w:rPr>
          <w:i/>
          <w:color w:val="auto"/>
          <w:szCs w:val="24"/>
        </w:rPr>
        <w:t>in vitro</w:t>
      </w:r>
      <w:r w:rsidRPr="00610A40">
        <w:rPr>
          <w:color w:val="auto"/>
          <w:szCs w:val="24"/>
        </w:rPr>
        <w:t xml:space="preserve"> (37</w:t>
      </w:r>
      <w:r w:rsidRPr="00610A40">
        <w:rPr>
          <w:rFonts w:cs="Times New Roman"/>
          <w:color w:val="auto"/>
          <w:szCs w:val="24"/>
        </w:rPr>
        <w:t>°</w:t>
      </w:r>
      <w:r w:rsidRPr="00610A40">
        <w:rPr>
          <w:color w:val="auto"/>
          <w:szCs w:val="24"/>
        </w:rPr>
        <w:t xml:space="preserve">C, 100% humidity and 5% carbon dioxide chamber) prior to implantation. This scaffold would degrade </w:t>
      </w:r>
      <w:r w:rsidRPr="00610A40">
        <w:rPr>
          <w:i/>
          <w:color w:val="auto"/>
          <w:szCs w:val="24"/>
        </w:rPr>
        <w:t>in vivo</w:t>
      </w:r>
      <w:r w:rsidRPr="00610A40">
        <w:rPr>
          <w:color w:val="auto"/>
          <w:szCs w:val="24"/>
        </w:rPr>
        <w:t xml:space="preserve"> as the new vascular tissues </w:t>
      </w:r>
      <w:r w:rsidR="00EB6896" w:rsidRPr="00610A40">
        <w:rPr>
          <w:color w:val="auto"/>
          <w:szCs w:val="24"/>
        </w:rPr>
        <w:t xml:space="preserve">were </w:t>
      </w:r>
      <w:r w:rsidRPr="00610A40">
        <w:rPr>
          <w:color w:val="auto"/>
          <w:szCs w:val="24"/>
        </w:rPr>
        <w:t>form</w:t>
      </w:r>
      <w:r w:rsidR="00EB6896" w:rsidRPr="00610A40">
        <w:rPr>
          <w:color w:val="auto"/>
          <w:szCs w:val="24"/>
        </w:rPr>
        <w:t>ed</w:t>
      </w:r>
      <w:r w:rsidR="0022525C" w:rsidRPr="00610A40">
        <w:rPr>
          <w:color w:val="auto"/>
          <w:szCs w:val="24"/>
        </w:rPr>
        <w:t xml:space="preserve">. </w:t>
      </w:r>
      <w:r w:rsidRPr="00610A40">
        <w:rPr>
          <w:color w:val="auto"/>
          <w:szCs w:val="24"/>
        </w:rPr>
        <w:t xml:space="preserve">Follow-ups were performed at various post-implantation time points. Within 30 days of patient discharge after </w:t>
      </w:r>
      <w:r w:rsidR="0045720F" w:rsidRPr="00610A40">
        <w:rPr>
          <w:color w:val="auto"/>
          <w:szCs w:val="24"/>
        </w:rPr>
        <w:t>the tissue engineered vascular graft (</w:t>
      </w:r>
      <w:r w:rsidRPr="00610A40">
        <w:rPr>
          <w:color w:val="auto"/>
          <w:szCs w:val="24"/>
        </w:rPr>
        <w:t>TEVG</w:t>
      </w:r>
      <w:r w:rsidR="0045720F" w:rsidRPr="00610A40">
        <w:rPr>
          <w:color w:val="auto"/>
          <w:szCs w:val="24"/>
        </w:rPr>
        <w:t>)</w:t>
      </w:r>
      <w:r w:rsidRPr="00610A40">
        <w:rPr>
          <w:color w:val="auto"/>
          <w:szCs w:val="24"/>
        </w:rPr>
        <w:t xml:space="preserve"> implantation, there was no evidence of stenosis, thrombosis or aneurysmal dilation of these</w:t>
      </w:r>
      <w:r w:rsidR="0022525C" w:rsidRPr="00610A40">
        <w:rPr>
          <w:color w:val="auto"/>
          <w:szCs w:val="24"/>
        </w:rPr>
        <w:t xml:space="preserve"> TEVGs in any of the patients. </w:t>
      </w:r>
      <w:r w:rsidRPr="00610A40">
        <w:rPr>
          <w:color w:val="auto"/>
          <w:szCs w:val="24"/>
        </w:rPr>
        <w:t>The first follow-up was 100% complete with a mean follow-up period of 16.3 months, median of 16.7 months. At this follow-</w:t>
      </w:r>
      <w:r w:rsidRPr="00610A40">
        <w:rPr>
          <w:color w:val="auto"/>
          <w:szCs w:val="24"/>
        </w:rPr>
        <w:lastRenderedPageBreak/>
        <w:t>up, patients underwent transthoracic echocardiography, mu</w:t>
      </w:r>
      <w:r w:rsidR="006F1C2D" w:rsidRPr="00610A40">
        <w:rPr>
          <w:color w:val="auto"/>
          <w:szCs w:val="24"/>
        </w:rPr>
        <w:t>l</w:t>
      </w:r>
      <w:r w:rsidRPr="00610A40">
        <w:rPr>
          <w:color w:val="auto"/>
          <w:szCs w:val="24"/>
        </w:rPr>
        <w:t>ti</w:t>
      </w:r>
      <w:r w:rsidR="00EB6896" w:rsidRPr="00610A40">
        <w:rPr>
          <w:color w:val="auto"/>
          <w:szCs w:val="24"/>
        </w:rPr>
        <w:t>-</w:t>
      </w:r>
      <w:r w:rsidRPr="00610A40">
        <w:rPr>
          <w:color w:val="auto"/>
          <w:szCs w:val="24"/>
        </w:rPr>
        <w:t xml:space="preserve">slice computed tomography, </w:t>
      </w:r>
      <w:proofErr w:type="spellStart"/>
      <w:r w:rsidRPr="00610A40">
        <w:rPr>
          <w:color w:val="auto"/>
          <w:szCs w:val="24"/>
        </w:rPr>
        <w:t>cineangiography</w:t>
      </w:r>
      <w:proofErr w:type="spellEnd"/>
      <w:r w:rsidRPr="00610A40">
        <w:rPr>
          <w:color w:val="auto"/>
          <w:szCs w:val="24"/>
        </w:rPr>
        <w:t>, or magnetic resonance imaging angiogram to investigate the condition of the grafted vessel. Computed tomography and magnetic resonance imaging were also performed to examine the transactional area of the vascular graft. There was no graft-specific deadly complication. The patients’ inflammatory reaction early after the operation was not statistically significantly different from the control group of 20 patients</w:t>
      </w:r>
      <w:r w:rsidR="00EB6896" w:rsidRPr="00610A40">
        <w:rPr>
          <w:color w:val="auto"/>
          <w:szCs w:val="24"/>
        </w:rPr>
        <w:t>,</w:t>
      </w:r>
      <w:r w:rsidRPr="00610A40">
        <w:rPr>
          <w:color w:val="auto"/>
          <w:szCs w:val="24"/>
        </w:rPr>
        <w:t xml:space="preserve"> who received a foreign body implant with a similar mean age during a similar period of time. There was no sign of calcification in</w:t>
      </w:r>
      <w:r w:rsidR="00EB6896" w:rsidRPr="00610A40">
        <w:rPr>
          <w:color w:val="auto"/>
          <w:szCs w:val="24"/>
        </w:rPr>
        <w:t xml:space="preserve"> the grafts for</w:t>
      </w:r>
      <w:r w:rsidRPr="00610A40">
        <w:rPr>
          <w:color w:val="auto"/>
          <w:szCs w:val="24"/>
        </w:rPr>
        <w:t xml:space="preserve"> all patients. There </w:t>
      </w:r>
      <w:r w:rsidR="00EB6896" w:rsidRPr="00610A40">
        <w:rPr>
          <w:color w:val="auto"/>
          <w:szCs w:val="24"/>
        </w:rPr>
        <w:t xml:space="preserve">was </w:t>
      </w:r>
      <w:r w:rsidRPr="00610A40">
        <w:rPr>
          <w:color w:val="auto"/>
          <w:szCs w:val="24"/>
        </w:rPr>
        <w:t>no report of fever of unknown origin</w:t>
      </w:r>
      <w:r w:rsidR="0045720F" w:rsidRPr="00610A40">
        <w:rPr>
          <w:color w:val="auto"/>
          <w:szCs w:val="24"/>
        </w:rPr>
        <w:t>,</w:t>
      </w:r>
      <w:r w:rsidRPr="00610A40">
        <w:rPr>
          <w:color w:val="auto"/>
          <w:szCs w:val="24"/>
        </w:rPr>
        <w:t xml:space="preserve"> which implies no case of infection. One patient experienced partial thrombosis which was treated with anticoagulant (warfarin) successfully. There was no trend in the change of the transactional area of the vascular graft which suggested some form of environmental adaptation. Histology from an explanted sample of the same material, but used in a sheet form for the repair of congenital heart defects at 2 month post-implantation, showed partial </w:t>
      </w:r>
      <w:proofErr w:type="spellStart"/>
      <w:r w:rsidRPr="00610A40">
        <w:rPr>
          <w:color w:val="auto"/>
          <w:szCs w:val="24"/>
        </w:rPr>
        <w:t>endothelialization</w:t>
      </w:r>
      <w:proofErr w:type="spellEnd"/>
      <w:r w:rsidRPr="00610A40">
        <w:rPr>
          <w:color w:val="auto"/>
          <w:szCs w:val="24"/>
        </w:rPr>
        <w:t xml:space="preserve"> and collagen fiber formation in the medial layers.</w:t>
      </w:r>
      <w:r w:rsidR="0022525C" w:rsidRPr="00610A40">
        <w:rPr>
          <w:color w:val="auto"/>
          <w:szCs w:val="24"/>
        </w:rPr>
        <w:t xml:space="preserve"> </w:t>
      </w:r>
      <w:r w:rsidRPr="00610A40">
        <w:rPr>
          <w:color w:val="auto"/>
          <w:szCs w:val="24"/>
        </w:rPr>
        <w:t>At the latest follow-up with a mean of 5.8 years, there was no graft-related mortality</w:t>
      </w:r>
      <w:r w:rsidRPr="00610A40">
        <w:rPr>
          <w:color w:val="auto"/>
          <w:szCs w:val="24"/>
        </w:rPr>
        <w:fldChar w:fldCharType="begin" w:fldLock="1"/>
      </w:r>
      <w:r w:rsidR="00565E2A" w:rsidRPr="00610A40">
        <w:rPr>
          <w:color w:val="auto"/>
          <w:szCs w:val="24"/>
        </w:rPr>
        <w:instrText>ADDIN CSL_CITATION { "citationItems" : [ { "id" : "ITEM-1", "itemData" : { "DOI" : "10.1016/j.jtcvs.2009.09.057", "ISBN" : "0022-5223", "ISSN" : "00225223", "PMID" : "20106404", "abstract" : "Objective: The development of a tissue-engineered vascular graft with the ability to grow and remodel holds promise for advancing cardiac surgery. In 2001, we began a human trial evaluating these grafts in patients with single ventricle physiology. We report the late clinical and radiologic surveillance of a patient cohort that underwent implantation of tissue-engineered vascular grafts as extracardiac cavopulmonary conduits. Methods: Autologous bone marrow was obtained and the mononuclear cell component was collected. Mononuclear cells were seeded onto a biodegradable scaffold composed of polyglycolic acid and \u03b5{lunate}-caprolactone/l-lactide and implanted as extracardiac cavopulmonary conduits in patients with single ventricle physiology. Patients were followed up by postoperative clinic visits and by telephone. Additionally, ultrasonography, angiography, computed tomography, and magnetic resonance imaging were used for postoperative graft surveillance. Results: Twenty-five grafts were implanted (median patient age, 5.5 years). There was no graft-related mortality (mean follow-up, 5.8 years). There was no evidence of aneurysm formation, graft rupture, graft infection, or ectopic calcification. One patient had a partial mural thrombosis that was successfully treated with warfarin. Four patients had graft stenosis and underwent successful percutaneous angioplasty. Conclusion: Tissue-engineered vascular grafts can be used as conduits in patients with single ventricle physiology. Graft stenosis is the primary mode of graft failure. Further follow-up and investigation for the mechanism of stenosis are warranted.", "author" : [ { "dropping-particle" : "", "family" : "Hibino", "given" : "Narutoshi", "non-dropping-particle" : "", "parse-names" : false, "suffix" : "" }, { "dropping-particle" : "", "family" : "McGillicuddy", "given" : "Edward", "non-dropping-particle" : "", "parse-names" : false, "suffix" : "" }, { "dropping-particle" : "", "family" : "Matsumura", "given" : "Goki", "non-dropping-particle" : "", "parse-names" : false, "suffix" : "" }, { "dropping-particle" : "", "family" : "Ichihara", "given" : "Yuki", "non-dropping-particle" : "", "parse-names" : false, "suffix" : "" }, { "dropping-particle" : "", "family" : "Naito", "given" : "Yuji", "non-dropping-particle" : "", "parse-names" : false, "suffix" : "" }, { "dropping-particle" : "", "family" : "Breuer", "given" : "Christopher", "non-dropping-particle" : "", "parse-names" : false, "suffix" : "" }, { "dropping-particle" : "", "family" : "Shinoka", "given" : "Toshiharu", "non-dropping-particle" : "", "parse-names" : false, "suffix" : "" } ], "container-title" : "Journal of Thoracic and Cardiovascular Surgery", "id" : "ITEM-1", "issue" : "2", "issued" : { "date-parts" : [ [ "2010" ] ] }, "page" : "431-436.e2", "publisher" : "Elsevier Ltd", "title" : "Late-term results of tissue-engineered vascular grafts in humans", "type" : "article-journal", "volume" : "139" }, "uris" : [ "http://www.mendeley.com/documents/?uuid=4aa14741-22ec-40fd-8fee-b121b687ef93", "http://www.mendeley.com/documents/?uuid=4967e68f-1c78-4dec-86e1-0e16f57a0371" ] } ], "mendeley" : { "formattedCitation" : "&lt;sup&gt;214&lt;/sup&gt;", "plainTextFormattedCitation" : "214", "previouslyFormattedCitation" : "&lt;sup&gt;213&lt;/sup&gt;"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214</w:t>
      </w:r>
      <w:r w:rsidRPr="00610A40">
        <w:rPr>
          <w:color w:val="auto"/>
          <w:szCs w:val="24"/>
        </w:rPr>
        <w:fldChar w:fldCharType="end"/>
      </w:r>
      <w:r w:rsidRPr="00610A40">
        <w:rPr>
          <w:color w:val="auto"/>
          <w:szCs w:val="24"/>
        </w:rPr>
        <w:t xml:space="preserve">. There was also no sign of aneurysm formation, graft rupture, or ectopic calcification in any of the implanted grafts under multiple different imaging techniques (CT scan, MRI, </w:t>
      </w:r>
      <w:proofErr w:type="gramStart"/>
      <w:r w:rsidRPr="00610A40">
        <w:rPr>
          <w:color w:val="auto"/>
          <w:szCs w:val="24"/>
        </w:rPr>
        <w:t>angiogram</w:t>
      </w:r>
      <w:proofErr w:type="gramEnd"/>
      <w:r w:rsidRPr="00610A40">
        <w:rPr>
          <w:color w:val="auto"/>
          <w:szCs w:val="24"/>
        </w:rPr>
        <w:t xml:space="preserve">). A typical CT scan of TEVG one year post-implantation is shown in </w:t>
      </w:r>
      <w:r w:rsidR="00944C77" w:rsidRPr="00610A40">
        <w:rPr>
          <w:color w:val="auto"/>
          <w:szCs w:val="24"/>
        </w:rPr>
        <w:fldChar w:fldCharType="begin"/>
      </w:r>
      <w:r w:rsidR="00944C77" w:rsidRPr="00610A40">
        <w:rPr>
          <w:color w:val="auto"/>
          <w:szCs w:val="24"/>
        </w:rPr>
        <w:instrText xml:space="preserve"> REF _Ref489036880 \h </w:instrText>
      </w:r>
      <w:r w:rsidR="00004924" w:rsidRPr="00610A40">
        <w:rPr>
          <w:color w:val="auto"/>
          <w:szCs w:val="24"/>
        </w:rPr>
        <w:instrText xml:space="preserve"> \* MERGEFORMAT </w:instrText>
      </w:r>
      <w:r w:rsidR="00944C77" w:rsidRPr="00610A40">
        <w:rPr>
          <w:color w:val="auto"/>
          <w:szCs w:val="24"/>
        </w:rPr>
      </w:r>
      <w:r w:rsidR="00944C77" w:rsidRPr="00610A40">
        <w:rPr>
          <w:color w:val="auto"/>
          <w:szCs w:val="24"/>
        </w:rPr>
        <w:fldChar w:fldCharType="separate"/>
      </w:r>
      <w:r w:rsidR="002B2E41" w:rsidRPr="00610A40">
        <w:rPr>
          <w:color w:val="auto"/>
          <w:szCs w:val="24"/>
        </w:rPr>
        <w:t xml:space="preserve">Figure </w:t>
      </w:r>
      <w:r w:rsidR="002B2E41" w:rsidRPr="00610A40">
        <w:rPr>
          <w:noProof/>
          <w:color w:val="auto"/>
          <w:szCs w:val="24"/>
        </w:rPr>
        <w:t>19</w:t>
      </w:r>
      <w:r w:rsidR="00944C77" w:rsidRPr="00610A40">
        <w:rPr>
          <w:color w:val="auto"/>
          <w:szCs w:val="24"/>
        </w:rPr>
        <w:fldChar w:fldCharType="end"/>
      </w:r>
      <w:r w:rsidRPr="00610A40">
        <w:rPr>
          <w:color w:val="auto"/>
          <w:szCs w:val="24"/>
        </w:rPr>
        <w:t xml:space="preserve">. </w:t>
      </w:r>
      <w:r w:rsidR="0045720F" w:rsidRPr="00610A40">
        <w:rPr>
          <w:color w:val="auto"/>
          <w:szCs w:val="24"/>
        </w:rPr>
        <w:t xml:space="preserve">A total of </w:t>
      </w:r>
      <w:r w:rsidRPr="00610A40">
        <w:rPr>
          <w:color w:val="auto"/>
          <w:szCs w:val="24"/>
        </w:rPr>
        <w:t>4 patients died during the follow-up period – 1 patient at 3 months after graft implantation</w:t>
      </w:r>
      <w:r w:rsidRPr="00610A40">
        <w:rPr>
          <w:color w:val="auto"/>
          <w:szCs w:val="24"/>
        </w:rPr>
        <w:fldChar w:fldCharType="begin" w:fldLock="1"/>
      </w:r>
      <w:r w:rsidR="00565E2A" w:rsidRPr="00610A40">
        <w:rPr>
          <w:color w:val="auto"/>
          <w:szCs w:val="24"/>
        </w:rPr>
        <w:instrText>ADDIN CSL_CITATION { "citationItems" : [ { "id" : "ITEM-1", "itemData" : { "DOI" : "10.1016/j.jtcvs.2004.12.047", "ISBN" : "0022-5223", "ISSN" : "00225223", "PMID" : "15942574", "abstract" : "Objective: Prosthetic and bioprosthetic materials currently in use lack growth potential and therefore must be repeatedly replaced in pediatric patients as they grow. Tissue engineering is a new discipline that offers the potential for creating replacement structures from autologous cells and biodegradable polymer scaffolds. In May 2000, we initiated clinical application of tissue-engineered vascular grafts seeded with cultured cells. However, cell culturing is time-consuming, and xenoserum must be used. To overcome these disadvantages, we began to use bone marrow cells, readily available on the day of surgery, as a cell source. The aim of the study was to assess the safety and feasibility of this technique for creating vascular tissue under low-pressure systems such as pulmonary artery or venous pressure. Methods: Since September 2001, tissue-engineered grafts seeded with autologous bone marrow cells have been implanted in 42 patients. The patients or their parents were fully informed and had given consent to the procedure. A 5-mL/kg specimen of bone marrow was aspirated with the patient under general anesthesia before the skin incision. The polymer tube serving as a scaffold for the cells was composed of a copolymer of l-lactide and \u03b5-caprolactone (50:50). This copolymer is degraded by hydrolysis. The matrix is more than 80% porous, and the diameter of each pore is 20 to 100 \u03bcm. Polyglycolic acid woven fabric with a thickness of 0.5 mm was used for reinforcement. Twenty-three tissue-engineered conduits (grafts for extracardiac total cavopulmonary connection) and 19 tissue-engineered patches were used for the repair of congenital heart defects. The patients' ages ranged from 1 to 24 years (median 5.5 years). All patients underwent a catheterization study, computed tomographic scan, or both, for evaluation after the operation. The patients received anticoagulation therapy for 3 to 6 months after surgery. Results: Mean follow-up after surgery was 490 \u00b1 276 days (1.3-31.6 months, median 16.7 months). There were no complications such as thrombosis, stenosis, or obstruction of the tissue-engineered autografts. One late death at 3 months after total cavopulmonary connection was noted in patient with hypoplastic left heart syndrome; this was unrelated to the tissue-engineered graft function. There was no evidence of aneurysm formation or calcification on cineangiography or computed tomography. All tube grafts were patent, and the diameter of the tube graft in\u2026", "author" : [ { "dropping-particle" : "", "family" : "Shin'oka", "given" : "Toshiharu", "non-dropping-particle" : "", "parse-names" : false, "suffix" : "" }, { "dropping-particle" : "", "family" : "Matsumura", "given" : "Goki", "non-dropping-particle" : "", "parse-names" : false, "suffix" : "" }, { "dropping-particle" : "", "family" : "Hibino", "given" : "Narutoshi", "non-dropping-particle" : "", "parse-names" : false, "suffix" : "" }, { "dropping-particle" : "", "family" : "Naito", "given" : "Yuji", "non-dropping-particle" : "", "parse-names" : false, "suffix" : "" }, { "dropping-particle" : "", "family" : "Watanabe", "given" : "Manabu", "non-dropping-particle" : "", "parse-names" : false, "suffix" : "" }, { "dropping-particle" : "", "family" : "Konuma", "given" : "Takeshi", "non-dropping-particle" : "", "parse-names" : false, "suffix" : "" }, { "dropping-particle" : "", "family" : "Sakamoto", "given" : "Takahiko", "non-dropping-particle" : "", "parse-names" : false, "suffix" : "" }, { "dropping-particle" : "", "family" : "Nagatsu", "given" : "Masayoshi", "non-dropping-particle" : "", "parse-names" : false, "suffix" : "" }, { "dropping-particle" : "", "family" : "Kurosawa", "given" : "Hiromi", "non-dropping-particle" : "", "parse-names" : false, "suffix" : "" } ], "container-title" : "Journal of Thoracic and Cardiovascular Surgery", "id" : "ITEM-1", "issue" : "6", "issued" : { "date-parts" : [ [ "2005" ] ] }, "title" : "Midterm clinical result of tissue-engineered vascular autografts seeded with autologous bone marrow cells", "type" : "article-journal", "volume" : "129" }, "uris" : [ "http://www.mendeley.com/documents/?uuid=87f182a7-6f4e-4279-83d7-0d9e47dbc99b", "http://www.mendeley.com/documents/?uuid=101b6b7a-8c79-4746-bd98-7481e2d3b199" ] } ], "mendeley" : { "formattedCitation" : "&lt;sup&gt;213&lt;/sup&gt;", "plainTextFormattedCitation" : "213", "previouslyFormattedCitation" : "&lt;sup&gt;212&lt;/sup&gt;"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213</w:t>
      </w:r>
      <w:r w:rsidRPr="00610A40">
        <w:rPr>
          <w:color w:val="auto"/>
          <w:szCs w:val="24"/>
        </w:rPr>
        <w:fldChar w:fldCharType="end"/>
      </w:r>
      <w:r w:rsidRPr="00610A40">
        <w:rPr>
          <w:color w:val="auto"/>
          <w:szCs w:val="24"/>
        </w:rPr>
        <w:t>, 1 patient at 2 years, and 2 patients at 4 years</w:t>
      </w:r>
      <w:r w:rsidRPr="00610A40">
        <w:rPr>
          <w:color w:val="auto"/>
          <w:szCs w:val="24"/>
        </w:rPr>
        <w:fldChar w:fldCharType="begin" w:fldLock="1"/>
      </w:r>
      <w:r w:rsidR="00565E2A" w:rsidRPr="00610A40">
        <w:rPr>
          <w:color w:val="auto"/>
          <w:szCs w:val="24"/>
        </w:rPr>
        <w:instrText>ADDIN CSL_CITATION { "citationItems" : [ { "id" : "ITEM-1", "itemData" : { "DOI" : "10.1016/j.jtcvs.2009.09.057", "ISBN" : "0022-5223", "ISSN" : "00225223", "PMID" : "20106404", "abstract" : "Objective: The development of a tissue-engineered vascular graft with the ability to grow and remodel holds promise for advancing cardiac surgery. In 2001, we began a human trial evaluating these grafts in patients with single ventricle physiology. We report the late clinical and radiologic surveillance of a patient cohort that underwent implantation of tissue-engineered vascular grafts as extracardiac cavopulmonary conduits. Methods: Autologous bone marrow was obtained and the mononuclear cell component was collected. Mononuclear cells were seeded onto a biodegradable scaffold composed of polyglycolic acid and \u03b5{lunate}-caprolactone/l-lactide and implanted as extracardiac cavopulmonary conduits in patients with single ventricle physiology. Patients were followed up by postoperative clinic visits and by telephone. Additionally, ultrasonography, angiography, computed tomography, and magnetic resonance imaging were used for postoperative graft surveillance. Results: Twenty-five grafts were implanted (median patient age, 5.5 years). There was no graft-related mortality (mean follow-up, 5.8 years). There was no evidence of aneurysm formation, graft rupture, graft infection, or ectopic calcification. One patient had a partial mural thrombosis that was successfully treated with warfarin. Four patients had graft stenosis and underwent successful percutaneous angioplasty. Conclusion: Tissue-engineered vascular grafts can be used as conduits in patients with single ventricle physiology. Graft stenosis is the primary mode of graft failure. Further follow-up and investigation for the mechanism of stenosis are warranted.", "author" : [ { "dropping-particle" : "", "family" : "Hibino", "given" : "Narutoshi", "non-dropping-particle" : "", "parse-names" : false, "suffix" : "" }, { "dropping-particle" : "", "family" : "McGillicuddy", "given" : "Edward", "non-dropping-particle" : "", "parse-names" : false, "suffix" : "" }, { "dropping-particle" : "", "family" : "Matsumura", "given" : "Goki", "non-dropping-particle" : "", "parse-names" : false, "suffix" : "" }, { "dropping-particle" : "", "family" : "Ichihara", "given" : "Yuki", "non-dropping-particle" : "", "parse-names" : false, "suffix" : "" }, { "dropping-particle" : "", "family" : "Naito", "given" : "Yuji", "non-dropping-particle" : "", "parse-names" : false, "suffix" : "" }, { "dropping-particle" : "", "family" : "Breuer", "given" : "Christopher", "non-dropping-particle" : "", "parse-names" : false, "suffix" : "" }, { "dropping-particle" : "", "family" : "Shinoka", "given" : "Toshiharu", "non-dropping-particle" : "", "parse-names" : false, "suffix" : "" } ], "container-title" : "Journal of Thoracic and Cardiovascular Surgery", "id" : "ITEM-1", "issue" : "2", "issued" : { "date-parts" : [ [ "2010" ] ] }, "page" : "431-436.e2", "publisher" : "Elsevier Ltd", "title" : "Late-term results of tissue-engineered vascular grafts in humans", "type" : "article-journal", "volume" : "139" }, "uris" : [ "http://www.mendeley.com/documents/?uuid=4aa14741-22ec-40fd-8fee-b121b687ef93", "http://www.mendeley.com/documents/?uuid=4967e68f-1c78-4dec-86e1-0e16f57a0371" ] } ], "mendeley" : { "formattedCitation" : "&lt;sup&gt;214&lt;/sup&gt;", "plainTextFormattedCitation" : "214", "previouslyFormattedCitation" : "&lt;sup&gt;213&lt;/sup&gt;"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214</w:t>
      </w:r>
      <w:r w:rsidRPr="00610A40">
        <w:rPr>
          <w:color w:val="auto"/>
          <w:szCs w:val="24"/>
        </w:rPr>
        <w:fldChar w:fldCharType="end"/>
      </w:r>
      <w:r w:rsidRPr="00610A40">
        <w:rPr>
          <w:color w:val="auto"/>
          <w:szCs w:val="24"/>
        </w:rPr>
        <w:t>. All deceased patients had patent grafts and deaths were unrelated to the graft. The surviving patients were in good health conditions. 17 out of 25 patients (81%) were classified as functional class I according to the New York Heart Association Functional Classification</w:t>
      </w:r>
      <w:r w:rsidRPr="00610A40">
        <w:rPr>
          <w:color w:val="auto"/>
          <w:szCs w:val="24"/>
        </w:rPr>
        <w:fldChar w:fldCharType="begin" w:fldLock="1"/>
      </w:r>
      <w:r w:rsidR="00565E2A" w:rsidRPr="00610A40">
        <w:rPr>
          <w:color w:val="auto"/>
          <w:szCs w:val="24"/>
        </w:rPr>
        <w:instrText>ADDIN CSL_CITATION { "citationItems" : [ { "id" : "ITEM-1", "itemData" : { "container-title" : "American Heart Association", "id" : "ITEM-1", "issued" : { "date-parts" : [ [ "2017" ] ] }, "title" : "Classes of Heart Failure", "type" : "webpage" }, "uris" : [ "http://www.mendeley.com/documents/?uuid=2d608a1a-c687-3e7c-bee1-48971c6e83b0", "http://www.mendeley.com/documents/?uuid=5b062260-aa38-4015-ac9e-9ff7294a1050" ] } ], "mendeley" : { "formattedCitation" : "&lt;sup&gt;219&lt;/sup&gt;", "plainTextFormattedCitation" : "219", "previouslyFormattedCitation" : "&lt;sup&gt;218&lt;/sup&gt;"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219</w:t>
      </w:r>
      <w:r w:rsidRPr="00610A40">
        <w:rPr>
          <w:color w:val="auto"/>
          <w:szCs w:val="24"/>
        </w:rPr>
        <w:fldChar w:fldCharType="end"/>
      </w:r>
      <w:r w:rsidRPr="00610A40">
        <w:rPr>
          <w:color w:val="auto"/>
          <w:szCs w:val="24"/>
        </w:rPr>
        <w:t xml:space="preserve">. Class I describes patients with ‘no limitation of physical activity. Ordinary physical activity does not cause undue fatigue, </w:t>
      </w:r>
      <w:r w:rsidRPr="00610A40">
        <w:rPr>
          <w:color w:val="auto"/>
          <w:szCs w:val="24"/>
        </w:rPr>
        <w:lastRenderedPageBreak/>
        <w:t>palpitation, dyspnea (shortness of breath)</w:t>
      </w:r>
      <w:r w:rsidRPr="00610A40">
        <w:rPr>
          <w:color w:val="auto"/>
          <w:szCs w:val="24"/>
        </w:rPr>
        <w:fldChar w:fldCharType="begin" w:fldLock="1"/>
      </w:r>
      <w:r w:rsidR="00565E2A" w:rsidRPr="00610A40">
        <w:rPr>
          <w:color w:val="auto"/>
          <w:szCs w:val="24"/>
        </w:rPr>
        <w:instrText>ADDIN CSL_CITATION { "citationItems" : [ { "id" : "ITEM-1", "itemData" : { "container-title" : "American Heart Association", "id" : "ITEM-1", "issued" : { "date-parts" : [ [ "2017" ] ] }, "title" : "Classes of Heart Failure", "type" : "webpage" }, "uris" : [ "http://www.mendeley.com/documents/?uuid=5b062260-aa38-4015-ac9e-9ff7294a1050", "http://www.mendeley.com/documents/?uuid=2d608a1a-c687-3e7c-bee1-48971c6e83b0" ] } ], "mendeley" : { "formattedCitation" : "&lt;sup&gt;219&lt;/sup&gt;", "plainTextFormattedCitation" : "219", "previouslyFormattedCitation" : "&lt;sup&gt;218&lt;/sup&gt;"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219</w:t>
      </w:r>
      <w:r w:rsidRPr="00610A40">
        <w:rPr>
          <w:color w:val="auto"/>
          <w:szCs w:val="24"/>
        </w:rPr>
        <w:fldChar w:fldCharType="end"/>
      </w:r>
      <w:r w:rsidRPr="00610A40">
        <w:rPr>
          <w:color w:val="auto"/>
          <w:szCs w:val="24"/>
        </w:rPr>
        <w:t xml:space="preserve">’. 3 patients were in </w:t>
      </w:r>
      <w:r w:rsidR="0045720F" w:rsidRPr="00610A40">
        <w:rPr>
          <w:color w:val="auto"/>
          <w:szCs w:val="24"/>
        </w:rPr>
        <w:t>C</w:t>
      </w:r>
      <w:r w:rsidRPr="00610A40">
        <w:rPr>
          <w:color w:val="auto"/>
          <w:szCs w:val="24"/>
        </w:rPr>
        <w:t>lass II (Slight limitation of physical activity, comfortable at rest, ordinary physical activity results in fatigue, palpitation, dyspnea</w:t>
      </w:r>
      <w:r w:rsidRPr="00610A40">
        <w:rPr>
          <w:color w:val="auto"/>
          <w:szCs w:val="24"/>
        </w:rPr>
        <w:fldChar w:fldCharType="begin" w:fldLock="1"/>
      </w:r>
      <w:r w:rsidR="00565E2A" w:rsidRPr="00610A40">
        <w:rPr>
          <w:color w:val="auto"/>
          <w:szCs w:val="24"/>
        </w:rPr>
        <w:instrText>ADDIN CSL_CITATION { "citationItems" : [ { "id" : "ITEM-1", "itemData" : { "container-title" : "American Heart Association", "id" : "ITEM-1", "issued" : { "date-parts" : [ [ "2017" ] ] }, "title" : "Classes of Heart Failure", "type" : "webpage" }, "uris" : [ "http://www.mendeley.com/documents/?uuid=5b062260-aa38-4015-ac9e-9ff7294a1050", "http://www.mendeley.com/documents/?uuid=2d608a1a-c687-3e7c-bee1-48971c6e83b0" ] } ], "mendeley" : { "formattedCitation" : "&lt;sup&gt;219&lt;/sup&gt;", "plainTextFormattedCitation" : "219", "previouslyFormattedCitation" : "&lt;sup&gt;218&lt;/sup&gt;" }, "properties" : { "noteIndex" : 0 }, "schema" : "https://github.com/citation-style-language/schema/raw/master/csl-citation.json" }</w:instrText>
      </w:r>
      <w:r w:rsidRPr="00610A40">
        <w:rPr>
          <w:color w:val="auto"/>
          <w:szCs w:val="24"/>
        </w:rPr>
        <w:fldChar w:fldCharType="separate"/>
      </w:r>
      <w:r w:rsidR="00565E2A" w:rsidRPr="00610A40">
        <w:rPr>
          <w:noProof/>
          <w:color w:val="auto"/>
          <w:szCs w:val="24"/>
          <w:vertAlign w:val="superscript"/>
        </w:rPr>
        <w:t>219</w:t>
      </w:r>
      <w:r w:rsidRPr="00610A40">
        <w:rPr>
          <w:color w:val="auto"/>
          <w:szCs w:val="24"/>
        </w:rPr>
        <w:fldChar w:fldCharType="end"/>
      </w:r>
      <w:r w:rsidRPr="00610A40">
        <w:rPr>
          <w:color w:val="auto"/>
          <w:szCs w:val="24"/>
        </w:rPr>
        <w:t xml:space="preserve">). </w:t>
      </w:r>
    </w:p>
    <w:p w14:paraId="19061631" w14:textId="77777777" w:rsidR="0045720F" w:rsidRPr="00610A40" w:rsidRDefault="0045720F" w:rsidP="00086775">
      <w:pPr>
        <w:keepNext/>
        <w:rPr>
          <w:color w:val="auto"/>
          <w:szCs w:val="24"/>
        </w:rPr>
      </w:pPr>
      <w:r w:rsidRPr="00610A40">
        <w:rPr>
          <w:noProof/>
          <w:color w:val="auto"/>
          <w:szCs w:val="24"/>
        </w:rPr>
        <w:drawing>
          <wp:inline distT="0" distB="0" distL="0" distR="0" wp14:anchorId="4E149DED" wp14:editId="303DEEF9">
            <wp:extent cx="2777836" cy="325900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77946" cy="3259134"/>
                    </a:xfrm>
                    <a:prstGeom prst="rect">
                      <a:avLst/>
                    </a:prstGeom>
                    <a:noFill/>
                    <a:ln>
                      <a:noFill/>
                    </a:ln>
                  </pic:spPr>
                </pic:pic>
              </a:graphicData>
            </a:graphic>
          </wp:inline>
        </w:drawing>
      </w:r>
    </w:p>
    <w:p w14:paraId="4579CCDF" w14:textId="3D5204D4" w:rsidR="003C6A24" w:rsidRPr="00610A40" w:rsidRDefault="0045720F" w:rsidP="00086775">
      <w:pPr>
        <w:pStyle w:val="Caption"/>
        <w:rPr>
          <w:sz w:val="24"/>
          <w:szCs w:val="24"/>
        </w:rPr>
      </w:pPr>
      <w:bookmarkStart w:id="23" w:name="_Ref489036880"/>
      <w:r w:rsidRPr="00610A40">
        <w:rPr>
          <w:sz w:val="24"/>
          <w:szCs w:val="24"/>
        </w:rPr>
        <w:t xml:space="preserve">Figure </w:t>
      </w:r>
      <w:r w:rsidR="00004924" w:rsidRPr="00610A40">
        <w:rPr>
          <w:sz w:val="24"/>
          <w:szCs w:val="24"/>
        </w:rPr>
        <w:fldChar w:fldCharType="begin"/>
      </w:r>
      <w:r w:rsidR="00004924" w:rsidRPr="00610A40">
        <w:rPr>
          <w:sz w:val="24"/>
          <w:szCs w:val="24"/>
        </w:rPr>
        <w:instrText xml:space="preserve"> SEQ Figure \* ARABIC </w:instrText>
      </w:r>
      <w:r w:rsidR="00004924" w:rsidRPr="00610A40">
        <w:rPr>
          <w:sz w:val="24"/>
          <w:szCs w:val="24"/>
        </w:rPr>
        <w:fldChar w:fldCharType="separate"/>
      </w:r>
      <w:r w:rsidR="002B2E41" w:rsidRPr="00610A40">
        <w:rPr>
          <w:noProof/>
          <w:sz w:val="24"/>
          <w:szCs w:val="24"/>
        </w:rPr>
        <w:t>19</w:t>
      </w:r>
      <w:r w:rsidR="00004924" w:rsidRPr="00610A40">
        <w:rPr>
          <w:noProof/>
          <w:sz w:val="24"/>
          <w:szCs w:val="24"/>
        </w:rPr>
        <w:fldChar w:fldCharType="end"/>
      </w:r>
      <w:bookmarkEnd w:id="23"/>
      <w:r w:rsidRPr="00610A40">
        <w:rPr>
          <w:sz w:val="24"/>
          <w:szCs w:val="24"/>
        </w:rPr>
        <w:t xml:space="preserve"> 3-Dimensional CT performed at 1 year post-implantation. The red arrows pointed towards the TEVG. The graft was patent, with no aneurysmal dilation. </w:t>
      </w:r>
      <w:r w:rsidR="009A5BC6" w:rsidRPr="00610A40">
        <w:rPr>
          <w:sz w:val="24"/>
          <w:szCs w:val="24"/>
        </w:rPr>
        <w:t xml:space="preserve">Reproduced from ref. </w:t>
      </w:r>
      <w:r w:rsidR="009A5BC6">
        <w:rPr>
          <w:sz w:val="24"/>
          <w:szCs w:val="24"/>
        </w:rPr>
        <w:t>21</w:t>
      </w:r>
      <w:r w:rsidR="009A5BC6">
        <w:rPr>
          <w:sz w:val="24"/>
          <w:szCs w:val="24"/>
        </w:rPr>
        <w:t>4</w:t>
      </w:r>
      <w:r w:rsidR="009A5BC6" w:rsidRPr="00610A40">
        <w:rPr>
          <w:sz w:val="24"/>
          <w:szCs w:val="24"/>
        </w:rPr>
        <w:t xml:space="preserve"> with permission from the </w:t>
      </w:r>
      <w:r w:rsidR="009A5BC6">
        <w:rPr>
          <w:sz w:val="24"/>
          <w:szCs w:val="24"/>
        </w:rPr>
        <w:t>Elsevier</w:t>
      </w:r>
      <w:r w:rsidR="009A5BC6" w:rsidRPr="00610A40">
        <w:rPr>
          <w:sz w:val="24"/>
          <w:szCs w:val="24"/>
        </w:rPr>
        <w:t xml:space="preserve">, copyright </w:t>
      </w:r>
      <w:r w:rsidR="009A5BC6">
        <w:rPr>
          <w:sz w:val="24"/>
          <w:szCs w:val="24"/>
        </w:rPr>
        <w:t>20</w:t>
      </w:r>
      <w:r w:rsidR="009A5BC6">
        <w:rPr>
          <w:sz w:val="24"/>
          <w:szCs w:val="24"/>
        </w:rPr>
        <w:t>10</w:t>
      </w:r>
    </w:p>
    <w:p w14:paraId="0D4D7755" w14:textId="77777777" w:rsidR="0045720F" w:rsidRPr="00610A40" w:rsidRDefault="0045720F">
      <w:pPr>
        <w:rPr>
          <w:color w:val="auto"/>
          <w:szCs w:val="24"/>
        </w:rPr>
      </w:pPr>
    </w:p>
    <w:p w14:paraId="464E2862" w14:textId="7B2EE185" w:rsidR="003C6A24" w:rsidRPr="00610A40" w:rsidRDefault="0045720F" w:rsidP="003C6A24">
      <w:pPr>
        <w:rPr>
          <w:color w:val="auto"/>
          <w:szCs w:val="24"/>
        </w:rPr>
      </w:pPr>
      <w:r w:rsidRPr="00610A40">
        <w:rPr>
          <w:color w:val="auto"/>
          <w:szCs w:val="24"/>
        </w:rPr>
        <w:t>Beside functional benefits of the TEVG, t</w:t>
      </w:r>
      <w:r w:rsidR="003C6A24" w:rsidRPr="00610A40">
        <w:rPr>
          <w:color w:val="auto"/>
          <w:szCs w:val="24"/>
        </w:rPr>
        <w:t xml:space="preserve">here was also better quality of life </w:t>
      </w:r>
      <w:r w:rsidRPr="00610A40">
        <w:rPr>
          <w:color w:val="auto"/>
          <w:szCs w:val="24"/>
        </w:rPr>
        <w:t xml:space="preserve">for </w:t>
      </w:r>
      <w:r w:rsidR="003C6A24" w:rsidRPr="00610A40">
        <w:rPr>
          <w:color w:val="auto"/>
          <w:szCs w:val="24"/>
        </w:rPr>
        <w:t xml:space="preserve">these study patients compared to patients who were implanted with an allograft or synthetic graft. The antiplatelet and anticoagulation treatments </w:t>
      </w:r>
      <w:r w:rsidRPr="00610A40">
        <w:rPr>
          <w:color w:val="auto"/>
          <w:szCs w:val="24"/>
        </w:rPr>
        <w:t xml:space="preserve">for TEVG implanted patients </w:t>
      </w:r>
      <w:r w:rsidR="003C6A24" w:rsidRPr="00610A40">
        <w:rPr>
          <w:color w:val="auto"/>
          <w:szCs w:val="24"/>
        </w:rPr>
        <w:t xml:space="preserve">were discontinued by 6 months post-operatively in patients with no sign of graft thrombosis (96%). 8 patients (40%) were not receiving any daily medication. This allowed them to have </w:t>
      </w:r>
      <w:r w:rsidRPr="00610A40">
        <w:rPr>
          <w:color w:val="auto"/>
          <w:szCs w:val="24"/>
        </w:rPr>
        <w:t xml:space="preserve">a </w:t>
      </w:r>
      <w:r w:rsidR="003C6A24" w:rsidRPr="00610A40">
        <w:rPr>
          <w:color w:val="auto"/>
          <w:szCs w:val="24"/>
        </w:rPr>
        <w:t xml:space="preserve">better quality of life and reduced risk of medication-related complications and comorbidities. The initial anticoagulation treatment was administered post-operatively to allow time for the </w:t>
      </w:r>
      <w:proofErr w:type="spellStart"/>
      <w:r w:rsidR="003C6A24" w:rsidRPr="00610A40">
        <w:rPr>
          <w:color w:val="auto"/>
          <w:szCs w:val="24"/>
        </w:rPr>
        <w:t>endothelialization</w:t>
      </w:r>
      <w:proofErr w:type="spellEnd"/>
      <w:r w:rsidR="003C6A24" w:rsidRPr="00610A40">
        <w:rPr>
          <w:color w:val="auto"/>
          <w:szCs w:val="24"/>
        </w:rPr>
        <w:t xml:space="preserve"> the inner surface of the graft. As animal experiments had suggested that </w:t>
      </w:r>
      <w:proofErr w:type="spellStart"/>
      <w:r w:rsidR="003C6A24" w:rsidRPr="00610A40">
        <w:rPr>
          <w:color w:val="auto"/>
          <w:szCs w:val="24"/>
        </w:rPr>
        <w:t>endothelialization</w:t>
      </w:r>
      <w:proofErr w:type="spellEnd"/>
      <w:r w:rsidR="003C6A24" w:rsidRPr="00610A40">
        <w:rPr>
          <w:color w:val="auto"/>
          <w:szCs w:val="24"/>
        </w:rPr>
        <w:t xml:space="preserve"> </w:t>
      </w:r>
      <w:r w:rsidRPr="00610A40">
        <w:rPr>
          <w:color w:val="auto"/>
          <w:szCs w:val="24"/>
        </w:rPr>
        <w:t xml:space="preserve">was </w:t>
      </w:r>
      <w:r w:rsidR="003C6A24" w:rsidRPr="00610A40">
        <w:rPr>
          <w:color w:val="auto"/>
          <w:szCs w:val="24"/>
        </w:rPr>
        <w:t xml:space="preserve">completed </w:t>
      </w:r>
      <w:r w:rsidR="003C6A24" w:rsidRPr="00610A40">
        <w:rPr>
          <w:color w:val="auto"/>
          <w:szCs w:val="24"/>
        </w:rPr>
        <w:lastRenderedPageBreak/>
        <w:t>within 2 weeks post-implantation, the authors believed that the anticoagulation treatment period may be further shortened to further improve patients’ quality of life. It was especially important for young female patients who may want to become pregnant to be free from anticoagulation therapy. This is in contrast with the conventional grafts which would require patients to maintain on a long-term anticoagulation (typically oral warfarin) or antiplatele</w:t>
      </w:r>
      <w:r w:rsidR="0022525C" w:rsidRPr="00610A40">
        <w:rPr>
          <w:color w:val="auto"/>
          <w:szCs w:val="24"/>
        </w:rPr>
        <w:t xml:space="preserve">t (typically aspirin) therapy. </w:t>
      </w:r>
      <w:r w:rsidR="003C6A24" w:rsidRPr="00610A40">
        <w:rPr>
          <w:color w:val="auto"/>
          <w:szCs w:val="24"/>
        </w:rPr>
        <w:t xml:space="preserve">The main concern, however, is the relatively high incidence of stenosis in these trial patients compared to the other artificial graft materials. It was reported that 6 out of the 25 patients (24%) had asymptomatic graft narrowing detected on routine surveillance imaging. 4 out of the 6 patients underwent successful balloon angioplasty and 1 patient underwent multiple balloon angioplasty and stent placement in the TEVG. </w:t>
      </w:r>
      <w:r w:rsidR="00DC64C9" w:rsidRPr="00610A40">
        <w:rPr>
          <w:color w:val="auto"/>
          <w:szCs w:val="24"/>
        </w:rPr>
        <w:t xml:space="preserve">This study is estimated to complete in December 2018. </w:t>
      </w:r>
    </w:p>
    <w:p w14:paraId="3F701F74" w14:textId="4F6E8128" w:rsidR="003C6A24" w:rsidRPr="00610A40" w:rsidRDefault="00007C8A" w:rsidP="00086775">
      <w:pPr>
        <w:pStyle w:val="Heading3"/>
        <w:rPr>
          <w:szCs w:val="24"/>
        </w:rPr>
      </w:pPr>
      <w:r w:rsidRPr="00610A40">
        <w:rPr>
          <w:szCs w:val="24"/>
        </w:rPr>
        <w:t>7</w:t>
      </w:r>
      <w:r w:rsidR="00735588" w:rsidRPr="00610A40">
        <w:rPr>
          <w:szCs w:val="24"/>
        </w:rPr>
        <w:t>.</w:t>
      </w:r>
      <w:r w:rsidRPr="00610A40">
        <w:rPr>
          <w:szCs w:val="24"/>
        </w:rPr>
        <w:t>2</w:t>
      </w:r>
      <w:r w:rsidR="00735588" w:rsidRPr="00610A40">
        <w:rPr>
          <w:szCs w:val="24"/>
        </w:rPr>
        <w:t xml:space="preserve">.4 </w:t>
      </w:r>
      <w:r w:rsidR="003C6A24" w:rsidRPr="00610A40">
        <w:rPr>
          <w:szCs w:val="24"/>
        </w:rPr>
        <w:t>Limitations</w:t>
      </w:r>
    </w:p>
    <w:p w14:paraId="4B73758A" w14:textId="63C15404" w:rsidR="003C6A24" w:rsidRPr="00610A40" w:rsidRDefault="003C6A24" w:rsidP="003C6A24">
      <w:pPr>
        <w:rPr>
          <w:color w:val="auto"/>
          <w:szCs w:val="24"/>
        </w:rPr>
      </w:pPr>
      <w:r w:rsidRPr="00610A40">
        <w:rPr>
          <w:color w:val="auto"/>
          <w:szCs w:val="24"/>
        </w:rPr>
        <w:t>The authors acknowledged the limitations of this</w:t>
      </w:r>
      <w:r w:rsidR="0045720F" w:rsidRPr="00610A40">
        <w:rPr>
          <w:color w:val="auto"/>
          <w:szCs w:val="24"/>
        </w:rPr>
        <w:t xml:space="preserve"> clinical</w:t>
      </w:r>
      <w:r w:rsidRPr="00610A40">
        <w:rPr>
          <w:color w:val="auto"/>
          <w:szCs w:val="24"/>
        </w:rPr>
        <w:t xml:space="preserve"> study as a small study that involved only a single institution. It was also not a controlled trial. Furthermore, due to the unavailability of autopsies for the demised patients, the group was unable to obtain histological samples of the TEVG in human subjects. The authors also recognized that there are many questions yet to be answered regarding the development of the vascular tissue on the scaffold </w:t>
      </w:r>
      <w:r w:rsidRPr="00610A40">
        <w:rPr>
          <w:i/>
          <w:color w:val="auto"/>
          <w:szCs w:val="24"/>
        </w:rPr>
        <w:t>in vivo</w:t>
      </w:r>
      <w:r w:rsidRPr="00610A40">
        <w:rPr>
          <w:color w:val="auto"/>
          <w:szCs w:val="24"/>
        </w:rPr>
        <w:t xml:space="preserve">. However, given the highly promising results, the authors found it technically feasible to use this new tissue engineered vascular grafts (TEVGs) in low-pressure systems, on patients who have severe cardiovascular compromise with a concomitantly shortened life expectancy. This study demonstrated a promising start for the long path </w:t>
      </w:r>
      <w:r w:rsidR="0045720F" w:rsidRPr="00610A40">
        <w:rPr>
          <w:color w:val="auto"/>
          <w:szCs w:val="24"/>
        </w:rPr>
        <w:t xml:space="preserve">towards </w:t>
      </w:r>
      <w:r w:rsidRPr="00610A40">
        <w:rPr>
          <w:color w:val="auto"/>
          <w:szCs w:val="24"/>
        </w:rPr>
        <w:t xml:space="preserve">successful tissue engineering in the cardiovascular system. </w:t>
      </w:r>
    </w:p>
    <w:p w14:paraId="2435E1DC" w14:textId="77777777" w:rsidR="00C1118B" w:rsidRPr="00610A40" w:rsidRDefault="00C1118B" w:rsidP="003C6A24">
      <w:pPr>
        <w:rPr>
          <w:color w:val="auto"/>
          <w:szCs w:val="24"/>
        </w:rPr>
        <w:sectPr w:rsidR="00C1118B" w:rsidRPr="00610A40" w:rsidSect="002A065D">
          <w:pgSz w:w="12240" w:h="15840"/>
          <w:pgMar w:top="1440" w:right="1440" w:bottom="1440" w:left="1440" w:header="720" w:footer="720" w:gutter="0"/>
          <w:cols w:space="720"/>
          <w:docGrid w:linePitch="360"/>
        </w:sectPr>
      </w:pPr>
    </w:p>
    <w:p w14:paraId="300EFCB9" w14:textId="5D5DBD50" w:rsidR="00156696" w:rsidRPr="00610A40" w:rsidRDefault="00156696">
      <w:pPr>
        <w:spacing w:after="200" w:line="276" w:lineRule="auto"/>
        <w:jc w:val="left"/>
        <w:rPr>
          <w:color w:val="auto"/>
          <w:sz w:val="31"/>
          <w:szCs w:val="24"/>
        </w:rPr>
      </w:pPr>
    </w:p>
    <w:p w14:paraId="4D3E61F6" w14:textId="71E1DAC7" w:rsidR="00990D76" w:rsidRPr="00610A40" w:rsidRDefault="00990D76" w:rsidP="00BF3DC6">
      <w:pPr>
        <w:pStyle w:val="Caption"/>
        <w:keepNext/>
      </w:pPr>
      <w:r w:rsidRPr="00610A40">
        <w:t xml:space="preserve">Table </w:t>
      </w:r>
      <w:r w:rsidR="00C327A2" w:rsidRPr="00610A40">
        <w:fldChar w:fldCharType="begin"/>
      </w:r>
      <w:r w:rsidR="00C327A2" w:rsidRPr="00610A40">
        <w:instrText xml:space="preserve"> SEQ Table \* ARABIC </w:instrText>
      </w:r>
      <w:r w:rsidR="00C327A2" w:rsidRPr="00610A40">
        <w:fldChar w:fldCharType="separate"/>
      </w:r>
      <w:r w:rsidRPr="00610A40">
        <w:rPr>
          <w:noProof/>
        </w:rPr>
        <w:t>2</w:t>
      </w:r>
      <w:r w:rsidR="00C327A2" w:rsidRPr="00610A40">
        <w:rPr>
          <w:noProof/>
        </w:rPr>
        <w:fldChar w:fldCharType="end"/>
      </w:r>
      <w:r w:rsidRPr="00610A40">
        <w:t xml:space="preserve"> A </w:t>
      </w:r>
      <w:proofErr w:type="gramStart"/>
      <w:r w:rsidRPr="00610A40">
        <w:t>table</w:t>
      </w:r>
      <w:proofErr w:type="gramEnd"/>
      <w:r w:rsidRPr="00610A40">
        <w:t xml:space="preserve"> to summarize the products in stages beyond bench research. </w:t>
      </w:r>
    </w:p>
    <w:tbl>
      <w:tblPr>
        <w:tblStyle w:val="TableGrid"/>
        <w:tblW w:w="0" w:type="auto"/>
        <w:tblLook w:val="04A0" w:firstRow="1" w:lastRow="0" w:firstColumn="1" w:lastColumn="0" w:noHBand="0" w:noVBand="1"/>
      </w:tblPr>
      <w:tblGrid>
        <w:gridCol w:w="1345"/>
        <w:gridCol w:w="1550"/>
        <w:gridCol w:w="1799"/>
        <w:gridCol w:w="1749"/>
        <w:gridCol w:w="2572"/>
        <w:gridCol w:w="3935"/>
      </w:tblGrid>
      <w:tr w:rsidR="005B4895" w:rsidRPr="00610A40" w14:paraId="283F76EE" w14:textId="77777777" w:rsidTr="00BF3DC6">
        <w:tc>
          <w:tcPr>
            <w:tcW w:w="1345" w:type="dxa"/>
          </w:tcPr>
          <w:p w14:paraId="62FC328B" w14:textId="4EBFBB78" w:rsidR="00D34FD0" w:rsidRPr="00610A40" w:rsidRDefault="00D34FD0" w:rsidP="00BF3DC6">
            <w:pPr>
              <w:spacing w:line="240" w:lineRule="auto"/>
              <w:contextualSpacing/>
              <w:rPr>
                <w:color w:val="auto"/>
                <w:szCs w:val="24"/>
              </w:rPr>
            </w:pPr>
            <w:r w:rsidRPr="00610A40">
              <w:rPr>
                <w:color w:val="auto"/>
                <w:szCs w:val="24"/>
              </w:rPr>
              <w:t xml:space="preserve">Product Name </w:t>
            </w:r>
          </w:p>
        </w:tc>
        <w:tc>
          <w:tcPr>
            <w:tcW w:w="1550" w:type="dxa"/>
          </w:tcPr>
          <w:p w14:paraId="002BDF75" w14:textId="6F99BCB1" w:rsidR="00D34FD0" w:rsidRPr="00610A40" w:rsidRDefault="00D34FD0" w:rsidP="00BF3DC6">
            <w:pPr>
              <w:spacing w:line="240" w:lineRule="auto"/>
              <w:contextualSpacing/>
              <w:rPr>
                <w:color w:val="auto"/>
                <w:szCs w:val="24"/>
              </w:rPr>
            </w:pPr>
            <w:r w:rsidRPr="00610A40">
              <w:rPr>
                <w:color w:val="auto"/>
                <w:szCs w:val="24"/>
              </w:rPr>
              <w:t>Company</w:t>
            </w:r>
          </w:p>
        </w:tc>
        <w:tc>
          <w:tcPr>
            <w:tcW w:w="1799" w:type="dxa"/>
          </w:tcPr>
          <w:p w14:paraId="2E2840A1" w14:textId="77E8C9E2" w:rsidR="00D34FD0" w:rsidRPr="00610A40" w:rsidRDefault="00D34FD0" w:rsidP="00BF3DC6">
            <w:pPr>
              <w:spacing w:line="240" w:lineRule="auto"/>
              <w:contextualSpacing/>
              <w:rPr>
                <w:color w:val="auto"/>
                <w:szCs w:val="24"/>
              </w:rPr>
            </w:pPr>
            <w:r w:rsidRPr="00610A40">
              <w:rPr>
                <w:color w:val="auto"/>
                <w:szCs w:val="24"/>
              </w:rPr>
              <w:t>Material</w:t>
            </w:r>
          </w:p>
        </w:tc>
        <w:tc>
          <w:tcPr>
            <w:tcW w:w="1749" w:type="dxa"/>
          </w:tcPr>
          <w:p w14:paraId="009BE0F5" w14:textId="524BC0D9" w:rsidR="00D34FD0" w:rsidRPr="00610A40" w:rsidRDefault="00D34FD0" w:rsidP="00BF3DC6">
            <w:pPr>
              <w:spacing w:line="240" w:lineRule="auto"/>
              <w:contextualSpacing/>
              <w:rPr>
                <w:color w:val="auto"/>
                <w:szCs w:val="24"/>
              </w:rPr>
            </w:pPr>
            <w:r w:rsidRPr="00610A40">
              <w:rPr>
                <w:color w:val="auto"/>
                <w:szCs w:val="24"/>
              </w:rPr>
              <w:t>Drug</w:t>
            </w:r>
          </w:p>
        </w:tc>
        <w:tc>
          <w:tcPr>
            <w:tcW w:w="2572" w:type="dxa"/>
          </w:tcPr>
          <w:p w14:paraId="14040778" w14:textId="19FB8B4B" w:rsidR="00D34FD0" w:rsidRPr="00610A40" w:rsidRDefault="005B4895" w:rsidP="00BF3DC6">
            <w:pPr>
              <w:spacing w:line="240" w:lineRule="auto"/>
              <w:contextualSpacing/>
              <w:rPr>
                <w:color w:val="auto"/>
                <w:szCs w:val="24"/>
              </w:rPr>
            </w:pPr>
            <w:r w:rsidRPr="00610A40">
              <w:rPr>
                <w:color w:val="auto"/>
                <w:szCs w:val="24"/>
              </w:rPr>
              <w:t>Delivery Duration</w:t>
            </w:r>
          </w:p>
        </w:tc>
        <w:tc>
          <w:tcPr>
            <w:tcW w:w="3935" w:type="dxa"/>
          </w:tcPr>
          <w:p w14:paraId="59443203" w14:textId="47FB6FFD" w:rsidR="00D34FD0" w:rsidRPr="00610A40" w:rsidRDefault="00D34FD0" w:rsidP="00BF3DC6">
            <w:pPr>
              <w:spacing w:line="240" w:lineRule="auto"/>
              <w:contextualSpacing/>
              <w:rPr>
                <w:color w:val="auto"/>
                <w:szCs w:val="24"/>
              </w:rPr>
            </w:pPr>
            <w:r w:rsidRPr="00610A40">
              <w:rPr>
                <w:color w:val="auto"/>
                <w:szCs w:val="24"/>
              </w:rPr>
              <w:t>Current Status</w:t>
            </w:r>
          </w:p>
        </w:tc>
      </w:tr>
      <w:tr w:rsidR="005B4895" w:rsidRPr="00610A40" w14:paraId="7F37D756" w14:textId="77777777" w:rsidTr="00BF3DC6">
        <w:tc>
          <w:tcPr>
            <w:tcW w:w="1345" w:type="dxa"/>
          </w:tcPr>
          <w:p w14:paraId="25C25A22" w14:textId="23345229" w:rsidR="00D34FD0" w:rsidRPr="00610A40" w:rsidRDefault="00D34FD0" w:rsidP="00BF3DC6">
            <w:pPr>
              <w:spacing w:line="240" w:lineRule="auto"/>
              <w:contextualSpacing/>
              <w:rPr>
                <w:color w:val="auto"/>
                <w:szCs w:val="24"/>
              </w:rPr>
            </w:pPr>
            <w:proofErr w:type="spellStart"/>
            <w:r w:rsidRPr="00610A40">
              <w:rPr>
                <w:color w:val="auto"/>
                <w:szCs w:val="24"/>
              </w:rPr>
              <w:t>Surodex</w:t>
            </w:r>
            <w:r w:rsidRPr="00610A40">
              <w:rPr>
                <w:color w:val="auto"/>
                <w:szCs w:val="24"/>
                <w:vertAlign w:val="superscript"/>
              </w:rPr>
              <w:t>TM</w:t>
            </w:r>
            <w:proofErr w:type="spellEnd"/>
          </w:p>
        </w:tc>
        <w:tc>
          <w:tcPr>
            <w:tcW w:w="1550" w:type="dxa"/>
          </w:tcPr>
          <w:p w14:paraId="2C08A3BE" w14:textId="105AED9F" w:rsidR="00D34FD0" w:rsidRPr="00610A40" w:rsidRDefault="00D34FD0" w:rsidP="00BF3DC6">
            <w:pPr>
              <w:spacing w:line="240" w:lineRule="auto"/>
              <w:contextualSpacing/>
              <w:rPr>
                <w:color w:val="auto"/>
                <w:szCs w:val="24"/>
              </w:rPr>
            </w:pPr>
            <w:r w:rsidRPr="00610A40">
              <w:rPr>
                <w:color w:val="auto"/>
                <w:szCs w:val="24"/>
              </w:rPr>
              <w:t>Allergan, Inc.</w:t>
            </w:r>
          </w:p>
        </w:tc>
        <w:tc>
          <w:tcPr>
            <w:tcW w:w="1799" w:type="dxa"/>
          </w:tcPr>
          <w:p w14:paraId="556ADC51" w14:textId="44982A05" w:rsidR="00D34FD0" w:rsidRPr="00610A40" w:rsidRDefault="00D34FD0" w:rsidP="00BF3DC6">
            <w:pPr>
              <w:spacing w:line="240" w:lineRule="auto"/>
              <w:contextualSpacing/>
              <w:rPr>
                <w:color w:val="auto"/>
                <w:szCs w:val="24"/>
              </w:rPr>
            </w:pPr>
            <w:r w:rsidRPr="00610A40">
              <w:rPr>
                <w:color w:val="auto"/>
                <w:szCs w:val="24"/>
              </w:rPr>
              <w:t>PLGA,</w:t>
            </w:r>
          </w:p>
          <w:p w14:paraId="627E7E3F" w14:textId="7F92FA45" w:rsidR="00D34FD0" w:rsidRPr="00610A40" w:rsidRDefault="00D34FD0" w:rsidP="00BF3DC6">
            <w:pPr>
              <w:spacing w:line="240" w:lineRule="auto"/>
              <w:contextualSpacing/>
              <w:rPr>
                <w:color w:val="auto"/>
                <w:szCs w:val="24"/>
              </w:rPr>
            </w:pPr>
            <w:proofErr w:type="spellStart"/>
            <w:r w:rsidRPr="00610A40">
              <w:rPr>
                <w:color w:val="auto"/>
                <w:szCs w:val="24"/>
              </w:rPr>
              <w:t>Hydroxypropyl</w:t>
            </w:r>
            <w:proofErr w:type="spellEnd"/>
            <w:r w:rsidRPr="00610A40">
              <w:rPr>
                <w:color w:val="auto"/>
                <w:szCs w:val="24"/>
              </w:rPr>
              <w:t xml:space="preserve"> methylcellulose</w:t>
            </w:r>
          </w:p>
        </w:tc>
        <w:tc>
          <w:tcPr>
            <w:tcW w:w="1749" w:type="dxa"/>
          </w:tcPr>
          <w:p w14:paraId="7ECB76C9" w14:textId="3F321AC6" w:rsidR="00D34FD0" w:rsidRPr="00610A40" w:rsidRDefault="00D34FD0" w:rsidP="00BF3DC6">
            <w:pPr>
              <w:spacing w:line="240" w:lineRule="auto"/>
              <w:contextualSpacing/>
              <w:rPr>
                <w:color w:val="auto"/>
                <w:szCs w:val="24"/>
              </w:rPr>
            </w:pPr>
            <w:r w:rsidRPr="00610A40">
              <w:rPr>
                <w:color w:val="auto"/>
                <w:szCs w:val="24"/>
              </w:rPr>
              <w:t>Dexamethasone</w:t>
            </w:r>
          </w:p>
        </w:tc>
        <w:tc>
          <w:tcPr>
            <w:tcW w:w="2572" w:type="dxa"/>
          </w:tcPr>
          <w:p w14:paraId="6AF9C7ED" w14:textId="39B974D0" w:rsidR="00D34FD0" w:rsidRPr="00610A40" w:rsidRDefault="005B4895" w:rsidP="00BF3DC6">
            <w:pPr>
              <w:spacing w:line="240" w:lineRule="auto"/>
              <w:contextualSpacing/>
              <w:rPr>
                <w:color w:val="auto"/>
                <w:szCs w:val="24"/>
              </w:rPr>
            </w:pPr>
            <w:r w:rsidRPr="00610A40">
              <w:rPr>
                <w:color w:val="auto"/>
                <w:szCs w:val="24"/>
              </w:rPr>
              <w:t>60</w:t>
            </w:r>
            <w:r w:rsidRPr="00610A40">
              <w:rPr>
                <w:rFonts w:cs="Times New Roman"/>
                <w:color w:val="auto"/>
                <w:szCs w:val="24"/>
              </w:rPr>
              <w:t>µ</w:t>
            </w:r>
            <w:r w:rsidRPr="00610A40">
              <w:rPr>
                <w:color w:val="auto"/>
                <w:szCs w:val="24"/>
              </w:rPr>
              <w:t>g over 7-10 days</w:t>
            </w:r>
          </w:p>
        </w:tc>
        <w:tc>
          <w:tcPr>
            <w:tcW w:w="3935" w:type="dxa"/>
          </w:tcPr>
          <w:p w14:paraId="29BE2901" w14:textId="50AFB24F" w:rsidR="00D34FD0" w:rsidRPr="00610A40" w:rsidRDefault="00D34FD0" w:rsidP="00BF3DC6">
            <w:pPr>
              <w:spacing w:line="240" w:lineRule="auto"/>
              <w:contextualSpacing/>
              <w:rPr>
                <w:color w:val="auto"/>
                <w:szCs w:val="24"/>
              </w:rPr>
            </w:pPr>
            <w:r w:rsidRPr="00610A40">
              <w:rPr>
                <w:color w:val="auto"/>
                <w:szCs w:val="24"/>
              </w:rPr>
              <w:t xml:space="preserve">Reduce inflammation </w:t>
            </w:r>
            <w:r w:rsidR="005B4895" w:rsidRPr="00610A40">
              <w:rPr>
                <w:color w:val="auto"/>
                <w:szCs w:val="24"/>
              </w:rPr>
              <w:t>after</w:t>
            </w:r>
            <w:r w:rsidRPr="00610A40">
              <w:rPr>
                <w:color w:val="auto"/>
                <w:szCs w:val="24"/>
              </w:rPr>
              <w:t xml:space="preserve"> cataract surgery. Approved for use in China, Singapore, Mexico etc.</w:t>
            </w:r>
          </w:p>
        </w:tc>
      </w:tr>
      <w:tr w:rsidR="005B4895" w:rsidRPr="00610A40" w14:paraId="5F2B4CBB" w14:textId="77777777" w:rsidTr="00BF3DC6">
        <w:tc>
          <w:tcPr>
            <w:tcW w:w="1345" w:type="dxa"/>
          </w:tcPr>
          <w:p w14:paraId="1C4D057E" w14:textId="652AE6B6" w:rsidR="00D34FD0" w:rsidRPr="00610A40" w:rsidRDefault="00D34FD0" w:rsidP="00BF3DC6">
            <w:pPr>
              <w:spacing w:line="240" w:lineRule="auto"/>
              <w:contextualSpacing/>
              <w:rPr>
                <w:color w:val="auto"/>
                <w:szCs w:val="24"/>
              </w:rPr>
            </w:pPr>
            <w:proofErr w:type="spellStart"/>
            <w:r w:rsidRPr="00610A40">
              <w:rPr>
                <w:color w:val="auto"/>
                <w:szCs w:val="24"/>
              </w:rPr>
              <w:t>Ozurdex</w:t>
            </w:r>
            <w:proofErr w:type="spellEnd"/>
            <w:r w:rsidRPr="00610A40">
              <w:rPr>
                <w:color w:val="auto"/>
                <w:szCs w:val="24"/>
              </w:rPr>
              <w:t>®</w:t>
            </w:r>
          </w:p>
        </w:tc>
        <w:tc>
          <w:tcPr>
            <w:tcW w:w="1550" w:type="dxa"/>
          </w:tcPr>
          <w:p w14:paraId="51D86101" w14:textId="56A0B87D" w:rsidR="00D34FD0" w:rsidRPr="00610A40" w:rsidRDefault="00D34FD0" w:rsidP="00BF3DC6">
            <w:pPr>
              <w:spacing w:line="240" w:lineRule="auto"/>
              <w:contextualSpacing/>
              <w:rPr>
                <w:color w:val="auto"/>
                <w:szCs w:val="24"/>
              </w:rPr>
            </w:pPr>
            <w:r w:rsidRPr="00610A40">
              <w:rPr>
                <w:color w:val="auto"/>
                <w:szCs w:val="24"/>
              </w:rPr>
              <w:t>Allergan, Inc.</w:t>
            </w:r>
          </w:p>
        </w:tc>
        <w:tc>
          <w:tcPr>
            <w:tcW w:w="1799" w:type="dxa"/>
          </w:tcPr>
          <w:p w14:paraId="750E3FF9" w14:textId="6ED277F6" w:rsidR="00D34FD0" w:rsidRPr="00610A40" w:rsidRDefault="00D34FD0" w:rsidP="00BF3DC6">
            <w:pPr>
              <w:spacing w:line="240" w:lineRule="auto"/>
              <w:contextualSpacing/>
              <w:rPr>
                <w:color w:val="auto"/>
                <w:szCs w:val="24"/>
              </w:rPr>
            </w:pPr>
            <w:r w:rsidRPr="00610A40">
              <w:rPr>
                <w:color w:val="auto"/>
                <w:szCs w:val="24"/>
              </w:rPr>
              <w:t>PLGA</w:t>
            </w:r>
          </w:p>
        </w:tc>
        <w:tc>
          <w:tcPr>
            <w:tcW w:w="1749" w:type="dxa"/>
          </w:tcPr>
          <w:p w14:paraId="2FB87420" w14:textId="4CDA1B9B" w:rsidR="00D34FD0" w:rsidRPr="00610A40" w:rsidRDefault="00D34FD0" w:rsidP="00BF3DC6">
            <w:pPr>
              <w:spacing w:line="240" w:lineRule="auto"/>
              <w:contextualSpacing/>
              <w:rPr>
                <w:color w:val="auto"/>
                <w:szCs w:val="24"/>
              </w:rPr>
            </w:pPr>
            <w:r w:rsidRPr="00610A40">
              <w:rPr>
                <w:color w:val="auto"/>
                <w:szCs w:val="24"/>
              </w:rPr>
              <w:t>Dexamethasone</w:t>
            </w:r>
          </w:p>
        </w:tc>
        <w:tc>
          <w:tcPr>
            <w:tcW w:w="2572" w:type="dxa"/>
          </w:tcPr>
          <w:p w14:paraId="0CA9621F" w14:textId="6902E01F" w:rsidR="00D34FD0" w:rsidRPr="00610A40" w:rsidRDefault="005B4895" w:rsidP="00BF3DC6">
            <w:pPr>
              <w:spacing w:line="240" w:lineRule="auto"/>
              <w:contextualSpacing/>
              <w:rPr>
                <w:color w:val="auto"/>
                <w:szCs w:val="24"/>
              </w:rPr>
            </w:pPr>
            <w:r w:rsidRPr="00610A40">
              <w:rPr>
                <w:color w:val="auto"/>
                <w:szCs w:val="24"/>
              </w:rPr>
              <w:t>700</w:t>
            </w:r>
            <w:r w:rsidRPr="00610A40">
              <w:rPr>
                <w:rFonts w:cs="Times New Roman"/>
                <w:color w:val="auto"/>
                <w:szCs w:val="24"/>
              </w:rPr>
              <w:t>µ</w:t>
            </w:r>
            <w:r w:rsidRPr="00610A40">
              <w:rPr>
                <w:color w:val="auto"/>
                <w:szCs w:val="24"/>
              </w:rPr>
              <w:t>g, Biphasic, High dosage for 2 months then low dosage for 4 months</w:t>
            </w:r>
          </w:p>
        </w:tc>
        <w:tc>
          <w:tcPr>
            <w:tcW w:w="3935" w:type="dxa"/>
          </w:tcPr>
          <w:p w14:paraId="3EB920C7" w14:textId="0B77C410" w:rsidR="00D34FD0" w:rsidRPr="00610A40" w:rsidRDefault="00D34FD0" w:rsidP="00BF3DC6">
            <w:pPr>
              <w:spacing w:line="240" w:lineRule="auto"/>
              <w:contextualSpacing/>
              <w:rPr>
                <w:color w:val="auto"/>
                <w:szCs w:val="24"/>
              </w:rPr>
            </w:pPr>
            <w:r w:rsidRPr="00610A40">
              <w:rPr>
                <w:color w:val="auto"/>
                <w:szCs w:val="24"/>
              </w:rPr>
              <w:t>FDA-approved for macular edema, uveitis</w:t>
            </w:r>
          </w:p>
        </w:tc>
      </w:tr>
      <w:tr w:rsidR="00B55B37" w:rsidRPr="00610A40" w14:paraId="4E3A88E5" w14:textId="77777777" w:rsidTr="00BF3DC6">
        <w:tc>
          <w:tcPr>
            <w:tcW w:w="1345" w:type="dxa"/>
          </w:tcPr>
          <w:p w14:paraId="05A2A662" w14:textId="7E25ACFE" w:rsidR="00B55B37" w:rsidRPr="00610A40" w:rsidRDefault="00DC64C9" w:rsidP="00C1118B">
            <w:pPr>
              <w:spacing w:line="240" w:lineRule="auto"/>
              <w:contextualSpacing/>
              <w:rPr>
                <w:color w:val="auto"/>
                <w:szCs w:val="24"/>
              </w:rPr>
            </w:pPr>
            <w:r w:rsidRPr="00610A40">
              <w:rPr>
                <w:color w:val="auto"/>
                <w:szCs w:val="24"/>
              </w:rPr>
              <w:t>Tissue-Engineered Vascular Graft (TEVG)</w:t>
            </w:r>
          </w:p>
        </w:tc>
        <w:tc>
          <w:tcPr>
            <w:tcW w:w="1550" w:type="dxa"/>
          </w:tcPr>
          <w:p w14:paraId="4BD5B0C7" w14:textId="3313D709" w:rsidR="00B55B37" w:rsidRPr="00610A40" w:rsidRDefault="00990D76" w:rsidP="00C1118B">
            <w:pPr>
              <w:spacing w:line="240" w:lineRule="auto"/>
              <w:contextualSpacing/>
              <w:rPr>
                <w:color w:val="auto"/>
                <w:szCs w:val="24"/>
              </w:rPr>
            </w:pPr>
            <w:r w:rsidRPr="00610A40">
              <w:rPr>
                <w:color w:val="auto"/>
                <w:szCs w:val="24"/>
              </w:rPr>
              <w:t>Trial sponsor: Nationwide Children’s Hospital, USA</w:t>
            </w:r>
          </w:p>
        </w:tc>
        <w:tc>
          <w:tcPr>
            <w:tcW w:w="1799" w:type="dxa"/>
          </w:tcPr>
          <w:p w14:paraId="5FEB9E74" w14:textId="7D8D021D" w:rsidR="00B55B37" w:rsidRPr="00610A40" w:rsidRDefault="00B55B37" w:rsidP="00C1118B">
            <w:pPr>
              <w:spacing w:line="240" w:lineRule="auto"/>
              <w:contextualSpacing/>
              <w:rPr>
                <w:color w:val="auto"/>
                <w:szCs w:val="24"/>
              </w:rPr>
            </w:pPr>
            <w:r w:rsidRPr="00610A40">
              <w:rPr>
                <w:color w:val="auto"/>
                <w:szCs w:val="24"/>
              </w:rPr>
              <w:t>Copolymer of poly-L-</w:t>
            </w:r>
            <w:proofErr w:type="spellStart"/>
            <w:r w:rsidRPr="00610A40">
              <w:rPr>
                <w:color w:val="auto"/>
                <w:szCs w:val="24"/>
              </w:rPr>
              <w:t>lactide</w:t>
            </w:r>
            <w:proofErr w:type="spellEnd"/>
            <w:r w:rsidRPr="00610A40">
              <w:rPr>
                <w:color w:val="auto"/>
                <w:szCs w:val="24"/>
              </w:rPr>
              <w:t xml:space="preserve"> and ε-</w:t>
            </w:r>
            <w:proofErr w:type="spellStart"/>
            <w:r w:rsidRPr="00610A40">
              <w:rPr>
                <w:color w:val="auto"/>
                <w:szCs w:val="24"/>
              </w:rPr>
              <w:t>caprolactone</w:t>
            </w:r>
            <w:proofErr w:type="spellEnd"/>
            <w:r w:rsidRPr="00610A40">
              <w:rPr>
                <w:color w:val="auto"/>
                <w:szCs w:val="24"/>
              </w:rPr>
              <w:t xml:space="preserve"> (50:50)</w:t>
            </w:r>
          </w:p>
        </w:tc>
        <w:tc>
          <w:tcPr>
            <w:tcW w:w="1749" w:type="dxa"/>
          </w:tcPr>
          <w:p w14:paraId="6D2AB203" w14:textId="543237D3" w:rsidR="00B55B37" w:rsidRPr="00610A40" w:rsidRDefault="00B55B37" w:rsidP="00C1118B">
            <w:pPr>
              <w:spacing w:line="240" w:lineRule="auto"/>
              <w:contextualSpacing/>
              <w:rPr>
                <w:color w:val="auto"/>
                <w:szCs w:val="24"/>
              </w:rPr>
            </w:pPr>
            <w:r w:rsidRPr="00610A40">
              <w:rPr>
                <w:color w:val="auto"/>
                <w:szCs w:val="24"/>
              </w:rPr>
              <w:t>No drug loaded</w:t>
            </w:r>
            <w:r w:rsidR="00DC64C9" w:rsidRPr="00610A40">
              <w:rPr>
                <w:color w:val="auto"/>
                <w:szCs w:val="24"/>
              </w:rPr>
              <w:t xml:space="preserve"> in the graft.</w:t>
            </w:r>
          </w:p>
        </w:tc>
        <w:tc>
          <w:tcPr>
            <w:tcW w:w="2572" w:type="dxa"/>
          </w:tcPr>
          <w:p w14:paraId="19FC102F" w14:textId="19F679BE" w:rsidR="00B55B37" w:rsidRPr="00610A40" w:rsidRDefault="00B55B37" w:rsidP="00C1118B">
            <w:pPr>
              <w:spacing w:line="240" w:lineRule="auto"/>
              <w:contextualSpacing/>
              <w:rPr>
                <w:color w:val="auto"/>
                <w:szCs w:val="24"/>
              </w:rPr>
            </w:pPr>
            <w:r w:rsidRPr="00610A40">
              <w:rPr>
                <w:color w:val="auto"/>
                <w:szCs w:val="24"/>
              </w:rPr>
              <w:t>N.A.</w:t>
            </w:r>
          </w:p>
        </w:tc>
        <w:tc>
          <w:tcPr>
            <w:tcW w:w="3935" w:type="dxa"/>
          </w:tcPr>
          <w:p w14:paraId="76058E8C" w14:textId="2F5D1C8B" w:rsidR="00B55B37" w:rsidRPr="00610A40" w:rsidRDefault="00B55B37" w:rsidP="00C1118B">
            <w:pPr>
              <w:spacing w:line="240" w:lineRule="auto"/>
              <w:contextualSpacing/>
              <w:rPr>
                <w:color w:val="auto"/>
                <w:szCs w:val="24"/>
              </w:rPr>
            </w:pPr>
            <w:r w:rsidRPr="00610A40">
              <w:rPr>
                <w:color w:val="auto"/>
                <w:szCs w:val="24"/>
              </w:rPr>
              <w:t xml:space="preserve">Clinical trial </w:t>
            </w:r>
            <w:r w:rsidR="005A62D1" w:rsidRPr="00610A40">
              <w:rPr>
                <w:color w:val="auto"/>
                <w:szCs w:val="24"/>
              </w:rPr>
              <w:t>in 25 patients with a median age of 5.5 years.</w:t>
            </w:r>
            <w:r w:rsidR="00DC64C9" w:rsidRPr="00610A40">
              <w:rPr>
                <w:color w:val="auto"/>
                <w:szCs w:val="24"/>
              </w:rPr>
              <w:t xml:space="preserve"> </w:t>
            </w:r>
            <w:proofErr w:type="gramStart"/>
            <w:r w:rsidR="00DC64C9" w:rsidRPr="00610A40">
              <w:rPr>
                <w:color w:val="auto"/>
                <w:szCs w:val="24"/>
              </w:rPr>
              <w:t>Phase</w:t>
            </w:r>
            <w:proofErr w:type="gramEnd"/>
            <w:r w:rsidR="00DC64C9" w:rsidRPr="00610A40">
              <w:rPr>
                <w:color w:val="auto"/>
                <w:szCs w:val="24"/>
              </w:rPr>
              <w:t xml:space="preserve"> I non-randomized clinical trial to be completed in December 2018. </w:t>
            </w:r>
          </w:p>
        </w:tc>
      </w:tr>
    </w:tbl>
    <w:p w14:paraId="4A65EF75" w14:textId="77777777" w:rsidR="00156696" w:rsidRPr="00610A40" w:rsidRDefault="00156696" w:rsidP="003C6A24">
      <w:pPr>
        <w:rPr>
          <w:color w:val="auto"/>
          <w:szCs w:val="24"/>
        </w:rPr>
      </w:pPr>
    </w:p>
    <w:p w14:paraId="27710527" w14:textId="77777777" w:rsidR="001D2870" w:rsidRPr="00610A40" w:rsidRDefault="001D2870" w:rsidP="00EB7D51">
      <w:pPr>
        <w:rPr>
          <w:color w:val="auto"/>
          <w:szCs w:val="24"/>
        </w:rPr>
      </w:pPr>
    </w:p>
    <w:p w14:paraId="10D4CD9E" w14:textId="77777777" w:rsidR="00C1118B" w:rsidRPr="00610A40" w:rsidRDefault="00705905">
      <w:pPr>
        <w:spacing w:after="200" w:line="276" w:lineRule="auto"/>
        <w:jc w:val="left"/>
        <w:rPr>
          <w:color w:val="auto"/>
          <w:szCs w:val="24"/>
        </w:rPr>
        <w:sectPr w:rsidR="00C1118B" w:rsidRPr="00610A40" w:rsidSect="00BF3DC6">
          <w:pgSz w:w="15840" w:h="12240" w:orient="landscape"/>
          <w:pgMar w:top="1440" w:right="1440" w:bottom="1440" w:left="1440" w:header="720" w:footer="720" w:gutter="0"/>
          <w:cols w:space="720"/>
          <w:docGrid w:linePitch="360"/>
        </w:sectPr>
      </w:pPr>
      <w:r w:rsidRPr="00610A40">
        <w:rPr>
          <w:color w:val="auto"/>
          <w:szCs w:val="24"/>
        </w:rPr>
        <w:br w:type="page"/>
      </w:r>
    </w:p>
    <w:p w14:paraId="300BC905" w14:textId="4A2F3A1A" w:rsidR="00705905" w:rsidRPr="00610A40" w:rsidRDefault="00705905">
      <w:pPr>
        <w:spacing w:after="200" w:line="276" w:lineRule="auto"/>
        <w:jc w:val="left"/>
        <w:rPr>
          <w:color w:val="auto"/>
          <w:szCs w:val="24"/>
        </w:rPr>
      </w:pPr>
    </w:p>
    <w:p w14:paraId="4F2B8986" w14:textId="70348179" w:rsidR="00705905" w:rsidRPr="00610A40" w:rsidRDefault="00007C8A">
      <w:pPr>
        <w:pStyle w:val="Heading1"/>
      </w:pPr>
      <w:r w:rsidRPr="00610A40">
        <w:t>8</w:t>
      </w:r>
      <w:r w:rsidR="00705905" w:rsidRPr="00610A40">
        <w:t xml:space="preserve">. Perspectives </w:t>
      </w:r>
      <w:r w:rsidR="00F22E50" w:rsidRPr="00610A40">
        <w:t>and Conclusion</w:t>
      </w:r>
    </w:p>
    <w:p w14:paraId="1DC1FEEE" w14:textId="2D9A3406" w:rsidR="00705905" w:rsidRPr="00610A40" w:rsidRDefault="00705905" w:rsidP="00E26873">
      <w:pPr>
        <w:rPr>
          <w:color w:val="auto"/>
          <w:szCs w:val="24"/>
        </w:rPr>
      </w:pPr>
      <w:r w:rsidRPr="00610A40">
        <w:rPr>
          <w:color w:val="auto"/>
          <w:szCs w:val="24"/>
        </w:rPr>
        <w:t xml:space="preserve">The research work discussed in this </w:t>
      </w:r>
      <w:r w:rsidR="00E26873" w:rsidRPr="00610A40">
        <w:rPr>
          <w:color w:val="auto"/>
          <w:szCs w:val="24"/>
        </w:rPr>
        <w:t>review</w:t>
      </w:r>
      <w:r w:rsidRPr="00610A40">
        <w:rPr>
          <w:color w:val="auto"/>
          <w:szCs w:val="24"/>
        </w:rPr>
        <w:t xml:space="preserve"> demonstrates a promising evolution of using different types of biodegradable elastomers in tissue engineering in recent decades, including ophthalmology, </w:t>
      </w:r>
      <w:r w:rsidR="00D674DD" w:rsidRPr="00610A40">
        <w:rPr>
          <w:color w:val="auto"/>
          <w:szCs w:val="24"/>
        </w:rPr>
        <w:t xml:space="preserve">cardiac tissue engineering and </w:t>
      </w:r>
      <w:r w:rsidRPr="00610A40">
        <w:rPr>
          <w:color w:val="auto"/>
          <w:szCs w:val="24"/>
        </w:rPr>
        <w:t>vascular tissue engineering. Besides their biodegradability which circumvents the need for a second surgery, the tunable characteristics and functions allow for a precise control over the degradation profile for specific applications. These have translated into improved clinical results compared to the traditional therapy procedures. For advanced tissue engineering applications, there are stringent requirements regarding the design and material composition of the elastomers. For example, in the first place, the elastomers should allow for easy fabrication and synthesis with the desired functionalities. In addition, the materials must be able to demonstrate low or non-toxicity</w:t>
      </w:r>
      <w:r w:rsidR="00D674DD" w:rsidRPr="00610A40">
        <w:rPr>
          <w:color w:val="auto"/>
          <w:szCs w:val="24"/>
        </w:rPr>
        <w:t xml:space="preserve"> at the cellular and systemic levels</w:t>
      </w:r>
      <w:r w:rsidRPr="00610A40">
        <w:rPr>
          <w:color w:val="auto"/>
          <w:szCs w:val="24"/>
        </w:rPr>
        <w:t xml:space="preserve">, extraordinary biocompatibility and biodegradability. Moreover, the materials should possess additional reactive sites that would allow </w:t>
      </w:r>
      <w:r w:rsidR="00D674DD" w:rsidRPr="00610A40">
        <w:rPr>
          <w:color w:val="auto"/>
          <w:szCs w:val="24"/>
        </w:rPr>
        <w:t>for</w:t>
      </w:r>
      <w:r w:rsidRPr="00610A40">
        <w:rPr>
          <w:color w:val="auto"/>
          <w:szCs w:val="24"/>
        </w:rPr>
        <w:t xml:space="preserve"> incorporation of bioactive molecules such as growth factors and targeting moiety etc. On top of that, another critical point needs to be emphasized is that the bio-implants applied in tissue engineering are sensitive to specific physiological conditions of the target organs such as the pH, oxidative stress, regional inflammation, enzymatic effect and protein adsorption. In order to achieve a good performance, the resistance of the implanted devices to the innate physiological conditions can be improved by including antioxidant moieties such as Vitamin E, </w:t>
      </w:r>
      <w:proofErr w:type="spellStart"/>
      <w:r w:rsidRPr="00610A40">
        <w:rPr>
          <w:color w:val="auto"/>
          <w:szCs w:val="24"/>
        </w:rPr>
        <w:t>ferulic</w:t>
      </w:r>
      <w:proofErr w:type="spellEnd"/>
      <w:r w:rsidRPr="00610A40">
        <w:rPr>
          <w:color w:val="auto"/>
          <w:szCs w:val="24"/>
        </w:rPr>
        <w:t xml:space="preserve"> acid, </w:t>
      </w:r>
      <w:r w:rsidR="00D674DD" w:rsidRPr="00610A40">
        <w:rPr>
          <w:color w:val="auto"/>
          <w:szCs w:val="24"/>
        </w:rPr>
        <w:t xml:space="preserve">retinoic acid, </w:t>
      </w:r>
      <w:r w:rsidRPr="00610A40">
        <w:rPr>
          <w:color w:val="auto"/>
          <w:szCs w:val="24"/>
        </w:rPr>
        <w:t>ascorbic acid and naproxen etc. In another aspect, the translation of the researches to scalable industrial production is of equal importance. Large scale production of these functional elastomers should be at l</w:t>
      </w:r>
      <w:r w:rsidR="00E26873" w:rsidRPr="00610A40">
        <w:rPr>
          <w:color w:val="auto"/>
          <w:szCs w:val="24"/>
        </w:rPr>
        <w:t xml:space="preserve">ow cost, easy and eco-friendly as well as doing these in an environmentally sustainable way. </w:t>
      </w:r>
      <w:r w:rsidRPr="00610A40">
        <w:rPr>
          <w:color w:val="auto"/>
          <w:szCs w:val="24"/>
        </w:rPr>
        <w:t xml:space="preserve">Therefore, green synthetic route and </w:t>
      </w:r>
      <w:r w:rsidRPr="00610A40">
        <w:rPr>
          <w:color w:val="auto"/>
          <w:szCs w:val="24"/>
        </w:rPr>
        <w:lastRenderedPageBreak/>
        <w:t xml:space="preserve">product design for lesser or no solvent use should be </w:t>
      </w:r>
      <w:r w:rsidR="00D674DD" w:rsidRPr="00610A40">
        <w:rPr>
          <w:color w:val="auto"/>
          <w:szCs w:val="24"/>
        </w:rPr>
        <w:t>of</w:t>
      </w:r>
      <w:r w:rsidRPr="00610A40">
        <w:rPr>
          <w:color w:val="auto"/>
          <w:szCs w:val="24"/>
        </w:rPr>
        <w:t xml:space="preserve"> consideration </w:t>
      </w:r>
      <w:r w:rsidR="00D674DD" w:rsidRPr="00610A40">
        <w:rPr>
          <w:color w:val="auto"/>
          <w:szCs w:val="24"/>
        </w:rPr>
        <w:t>as early as</w:t>
      </w:r>
      <w:r w:rsidRPr="00610A40">
        <w:rPr>
          <w:color w:val="auto"/>
          <w:szCs w:val="24"/>
        </w:rPr>
        <w:t xml:space="preserve"> the material design stage. </w:t>
      </w:r>
      <w:r w:rsidR="00E26873" w:rsidRPr="00610A40">
        <w:rPr>
          <w:color w:val="auto"/>
          <w:szCs w:val="24"/>
        </w:rPr>
        <w:t>While we consider biomaterials properties as one of the critical factors to look at, the role of chemical engineering research and development for the production of the polymers is equally important. Chemical engineers design and manufacture these products and more from raw materials.</w:t>
      </w:r>
    </w:p>
    <w:p w14:paraId="077AFE4F" w14:textId="77777777" w:rsidR="002A688D" w:rsidRPr="00610A40" w:rsidRDefault="002A688D" w:rsidP="002A688D">
      <w:pPr>
        <w:rPr>
          <w:color w:val="auto"/>
          <w:szCs w:val="24"/>
        </w:rPr>
      </w:pPr>
    </w:p>
    <w:p w14:paraId="5B321216" w14:textId="0FCAA73E" w:rsidR="00E26873" w:rsidRPr="00610A40" w:rsidRDefault="002A688D" w:rsidP="00E26873">
      <w:pPr>
        <w:rPr>
          <w:color w:val="auto"/>
          <w:szCs w:val="24"/>
        </w:rPr>
      </w:pPr>
      <w:r w:rsidRPr="00610A40">
        <w:rPr>
          <w:color w:val="auto"/>
          <w:szCs w:val="24"/>
        </w:rPr>
        <w:t xml:space="preserve">Most fabrication methodologies reported above have been designed for non-elastomeric materials. The unique thermal and viscoelastic properties of elastomeric polymers require advanced processing technologies, which are able to control the porosity and pore size of the 3D architecture. Advanced crosslinking methods should be developed to improve the mechanical and </w:t>
      </w:r>
      <w:proofErr w:type="gramStart"/>
      <w:r w:rsidRPr="00610A40">
        <w:rPr>
          <w:color w:val="auto"/>
          <w:szCs w:val="24"/>
        </w:rPr>
        <w:t>creep</w:t>
      </w:r>
      <w:proofErr w:type="gramEnd"/>
      <w:r w:rsidRPr="00610A40">
        <w:rPr>
          <w:color w:val="auto"/>
          <w:szCs w:val="24"/>
        </w:rPr>
        <w:t xml:space="preserve"> properties of the elastomeric polymer balanced with biodegradation rate. Surface patterning technologies should be integrated with 3D processing methods to introduce micro/</w:t>
      </w:r>
      <w:proofErr w:type="spellStart"/>
      <w:r w:rsidRPr="00610A40">
        <w:rPr>
          <w:color w:val="auto"/>
          <w:szCs w:val="24"/>
        </w:rPr>
        <w:t>nano</w:t>
      </w:r>
      <w:proofErr w:type="spellEnd"/>
      <w:r w:rsidRPr="00610A40">
        <w:rPr>
          <w:color w:val="auto"/>
          <w:szCs w:val="24"/>
        </w:rPr>
        <w:t xml:space="preserve">-scaled topographical cues on 3D porous scaffolds for cell growth and differentiation. Moreover, new fabrication methodologies should not only process elastomeric materials, but also be able to engineer and blend other thermoplastics, hydrogels and/or even natural polymers to achieve polymeric composites with customizable mechanical properties, degradation rates and bioactivities. It will be challenging, but interesting, to also be able to integrate cells during scaffold processing. This would require processing and crosslinking elastomeric scaffolds in aqueous conditions, at body temperature range, and in the absence of any toxic crosslinking agents. </w:t>
      </w:r>
      <w:r w:rsidR="00E26873" w:rsidRPr="00610A40">
        <w:rPr>
          <w:color w:val="auto"/>
          <w:szCs w:val="24"/>
        </w:rPr>
        <w:t xml:space="preserve">3D </w:t>
      </w:r>
      <w:proofErr w:type="spellStart"/>
      <w:r w:rsidR="00E26873" w:rsidRPr="00610A40">
        <w:rPr>
          <w:color w:val="auto"/>
          <w:szCs w:val="24"/>
        </w:rPr>
        <w:t>bioprinting</w:t>
      </w:r>
      <w:proofErr w:type="spellEnd"/>
      <w:r w:rsidR="00E26873" w:rsidRPr="00610A40">
        <w:rPr>
          <w:color w:val="auto"/>
          <w:szCs w:val="24"/>
        </w:rPr>
        <w:t xml:space="preserve"> is an up-and-coming method of creating cell patterns in a confined space using conventional 3D printing technologies. The key feature of this technology is in the preservation of cell function and viability within the printed construct. </w:t>
      </w:r>
      <w:r w:rsidRPr="00610A40">
        <w:rPr>
          <w:color w:val="auto"/>
          <w:szCs w:val="24"/>
        </w:rPr>
        <w:t xml:space="preserve">More importantly, native tissue is not homogeneous. Anisotropic or multiple layered elastomeric scaffolds should be </w:t>
      </w:r>
      <w:r w:rsidRPr="00610A40">
        <w:rPr>
          <w:color w:val="auto"/>
          <w:szCs w:val="24"/>
        </w:rPr>
        <w:lastRenderedPageBreak/>
        <w:t xml:space="preserve">engineered to mimic the natural tissue architecture. Different layers of scaffolds should have different properties to suit different cells or tissues and their functions. </w:t>
      </w:r>
      <w:r w:rsidR="00705905" w:rsidRPr="00610A40">
        <w:rPr>
          <w:color w:val="auto"/>
          <w:szCs w:val="24"/>
        </w:rPr>
        <w:t xml:space="preserve">It is evident that the biodegradable elastomers have provided various functions for therapeutic treatment on different tissue engineering applications. In the near future, the application of polyester elastomers can be extended to </w:t>
      </w:r>
      <w:r w:rsidR="00D674DD" w:rsidRPr="00610A40">
        <w:rPr>
          <w:color w:val="auto"/>
          <w:szCs w:val="24"/>
        </w:rPr>
        <w:t>a</w:t>
      </w:r>
      <w:r w:rsidR="00705905" w:rsidRPr="00610A40">
        <w:rPr>
          <w:color w:val="auto"/>
          <w:szCs w:val="24"/>
        </w:rPr>
        <w:t xml:space="preserve"> broad</w:t>
      </w:r>
      <w:r w:rsidR="00D674DD" w:rsidRPr="00610A40">
        <w:rPr>
          <w:color w:val="auto"/>
          <w:szCs w:val="24"/>
        </w:rPr>
        <w:t>er</w:t>
      </w:r>
      <w:r w:rsidR="00705905" w:rsidRPr="00610A40">
        <w:rPr>
          <w:color w:val="auto"/>
          <w:szCs w:val="24"/>
        </w:rPr>
        <w:t xml:space="preserve"> range of clinical applications such as artificial skin for wound healing, vascularization and mineralization in skincare and more advanced tissue engineering. </w:t>
      </w:r>
      <w:r w:rsidR="007C7613" w:rsidRPr="00610A40">
        <w:rPr>
          <w:color w:val="auto"/>
          <w:szCs w:val="24"/>
        </w:rPr>
        <w:t xml:space="preserve">For example, polyester </w:t>
      </w:r>
      <w:proofErr w:type="gramStart"/>
      <w:r w:rsidR="007C7613" w:rsidRPr="00610A40">
        <w:rPr>
          <w:color w:val="auto"/>
          <w:szCs w:val="24"/>
        </w:rPr>
        <w:t>elastomers,</w:t>
      </w:r>
      <w:proofErr w:type="gramEnd"/>
      <w:r w:rsidR="007C7613" w:rsidRPr="00610A40">
        <w:rPr>
          <w:color w:val="auto"/>
          <w:szCs w:val="24"/>
        </w:rPr>
        <w:t xml:space="preserve"> can be integrated with MEMS (Micro Electro Mechanical Systems) for drug delivery and tissue engineering applications. </w:t>
      </w:r>
      <w:proofErr w:type="spellStart"/>
      <w:r w:rsidR="007C7613" w:rsidRPr="00610A40">
        <w:rPr>
          <w:color w:val="auto"/>
          <w:szCs w:val="24"/>
        </w:rPr>
        <w:t>BioMEMS</w:t>
      </w:r>
      <w:proofErr w:type="spellEnd"/>
      <w:r w:rsidR="007C7613" w:rsidRPr="00610A40">
        <w:rPr>
          <w:color w:val="auto"/>
          <w:szCs w:val="24"/>
        </w:rPr>
        <w:t>, consisting of hybrid artificial-biological microstructures, are well researched for tactile sensing for skin</w:t>
      </w:r>
      <w:r w:rsidR="007C7613" w:rsidRPr="00610A40">
        <w:rPr>
          <w:color w:val="auto"/>
          <w:szCs w:val="24"/>
        </w:rPr>
        <w:fldChar w:fldCharType="begin" w:fldLock="1"/>
      </w:r>
      <w:r w:rsidR="00565E2A" w:rsidRPr="00610A40">
        <w:rPr>
          <w:color w:val="auto"/>
          <w:szCs w:val="24"/>
        </w:rPr>
        <w:instrText>ADDIN CSL_CITATION { "citationItems" : [ { "id" : "ITEM-1", "itemData" : { "DOI" : "10.3390/s130201435", "ISBN" : "1424-8220", "ISSN" : "14248220", "PMID" : "23348032", "abstract" : "This paper reviews the state of the art of artificial tactile sensing, with a particular focus on bio-hybrid and fully-biological approaches. To this aim, the study of physiology of the human sense of touch and of the coding mechanisms of tactile information is a significant starting point, which is briefly explored in this review. Then, the progress towards the development of an artificial sense of touch are investigated. Artificial tactile sensing is analysed with respect to the possible approaches to fabricate the outer interface layer: synthetic skin versus bio-artificial skin. With particular respect to the synthetic skin approach, a brief overview is provided on various technologies and transduction principles that can be integrated beneath the skin layer. Then, the main focus moves to approaches characterized by the use of bio-artificial skin as an outer layer of the artificial sensory system. Within this design solution for the skin, bio-hybrid and fully-biological tactile sensing systems are thoroughly presented: while significant results have been reported for the development of tissue engineered skins, the development of mechanotransduction units and their integration is a recent trend that is still lagging behind, therefore requiring research efforts and investments. In the last part of the paper, application domains and perspectives of the reviewed tactile sensing technologies are discussed.", "author" : [ { "dropping-particle" : "", "family" : "Lucarotti", "given" : "Chiara", "non-dropping-particle" : "", "parse-names" : false, "suffix" : "" }, { "dropping-particle" : "", "family" : "Oddo", "given" : "Calogero M Aria", "non-dropping-particle" : "", "parse-names" : false, "suffix" : "" }, { "dropping-particle" : "", "family" : "Vitiello", "given" : "Nicola", "non-dropping-particle" : "", "parse-names" : false, "suffix" : "" }, { "dropping-particle" : "", "family" : "Carrozza", "given" : "Maria C Hiara", "non-dropping-particle" : "", "parse-names" : false, "suffix" : "" } ], "container-title" : "Sensors (Basel, Switzerland)", "id" : "ITEM-1", "issue" : "2", "issued" : { "date-parts" : [ [ "2013" ] ] }, "page" : "1435-1466", "title" : "Synthetic and bio-artificial tactile sensing: a review", "type" : "article-journal", "volume" : "13" }, "uris" : [ "http://www.mendeley.com/documents/?uuid=79334052-ebcf-442b-b24e-8dbe942f273c", "http://www.mendeley.com/documents/?uuid=80449035-3394-45a1-90c4-5ad3dcf8c28a" ] } ], "mendeley" : { "formattedCitation" : "&lt;sup&gt;220&lt;/sup&gt;", "plainTextFormattedCitation" : "220", "previouslyFormattedCitation" : "&lt;sup&gt;219&lt;/sup&gt;" }, "properties" : { "noteIndex" : 0 }, "schema" : "https://github.com/citation-style-language/schema/raw/master/csl-citation.json" }</w:instrText>
      </w:r>
      <w:r w:rsidR="007C7613" w:rsidRPr="00610A40">
        <w:rPr>
          <w:color w:val="auto"/>
          <w:szCs w:val="24"/>
        </w:rPr>
        <w:fldChar w:fldCharType="separate"/>
      </w:r>
      <w:r w:rsidR="00565E2A" w:rsidRPr="00610A40">
        <w:rPr>
          <w:noProof/>
          <w:color w:val="auto"/>
          <w:szCs w:val="24"/>
          <w:vertAlign w:val="superscript"/>
        </w:rPr>
        <w:t>220</w:t>
      </w:r>
      <w:r w:rsidR="007C7613" w:rsidRPr="00610A40">
        <w:rPr>
          <w:color w:val="auto"/>
          <w:szCs w:val="24"/>
        </w:rPr>
        <w:fldChar w:fldCharType="end"/>
      </w:r>
      <w:r w:rsidR="007C7613" w:rsidRPr="00610A40">
        <w:rPr>
          <w:color w:val="auto"/>
          <w:szCs w:val="24"/>
        </w:rPr>
        <w:t>. Such systems may monitor cellular responses when various mechanical forces are applied, providing real time information on tissue performance and allowing for remote online monitoring. In addition, on-demand triggering via an external stimulus can regulate tissue growth or control the release of drugs and biomolecules. Another example of tissues interacting with electronics would be a microelectronic cardiac patch</w:t>
      </w:r>
      <w:r w:rsidR="007C7613" w:rsidRPr="00610A40">
        <w:rPr>
          <w:color w:val="auto"/>
          <w:szCs w:val="24"/>
        </w:rPr>
        <w:fldChar w:fldCharType="begin" w:fldLock="1"/>
      </w:r>
      <w:r w:rsidR="00565E2A" w:rsidRPr="00610A40">
        <w:rPr>
          <w:color w:val="auto"/>
          <w:szCs w:val="24"/>
        </w:rPr>
        <w:instrText>ADDIN CSL_CITATION { "citationItems" : [ { "id" : "ITEM-1", "itemData" : { "DOI" : "10.1038/nmat4590", "ISBN" : "1476-1122", "ISSN" : "1476-1122", "PMID" : "26974408", "abstract" : "In cardiac tissue engineering approaches to treat myocardial infarction, cardiac cells are seeded within three-dimensional porous scaffolds to create functional cardiac patches. However, current cardiac patches do not allow for online monitoring and reporting of engineered-tissue performance, and do not interfere to deliver signals for patch activation or to enable its integration with the host. Here, we report an engineered cardiac patch that integrates cardiac cells with flexible, freestanding electronics and a 3D nanocomposite scaffold. The patch exhibited robust electronic properties, enabling the recording of cellular electrical activities and the on-demand provision of electrical stimulation for synchronizing cell contraction. We also show that electroactive polymers containing biological factors can be deposited on designated electrodes to release drugs in the patch microenvironment on demand. We expect that the integration of complex electronics within cardiac patches will eventually provide therapeutic control and regulation of cardiac function.", "author" : [ { "dropping-particle" : "", "family" : "Feiner", "given" : "Ron", "non-dropping-particle" : "", "parse-names" : false, "suffix" : "" }, { "dropping-particle" : "", "family" : "Engel", "given" : "Leeya", "non-dropping-particle" : "", "parse-names" : false, "suffix" : "" }, { "dropping-particle" : "", "family" : "Fleischer", "given" : "Sharon", "non-dropping-particle" : "", "parse-names" : false, "suffix" : "" }, { "dropping-particle" : "", "family" : "Malki", "given" : "Maayan", "non-dropping-particle" : "", "parse-names" : false, "suffix" : "" }, { "dropping-particle" : "", "family" : "Gal", "given" : "Idan", "non-dropping-particle" : "", "parse-names" : false, "suffix" : "" }, { "dropping-particle" : "", "family" : "Shapira", "given" : "Assaf", "non-dropping-particle" : "", "parse-names" : false, "suffix" : "" }, { "dropping-particle" : "", "family" : "Shacham-Diamand", "given" : "Yosi", "non-dropping-particle" : "", "parse-names" : false, "suffix" : "" }, { "dropping-particle" : "", "family" : "Dvir", "given" : "Tal", "non-dropping-particle" : "", "parse-names" : false, "suffix" : "" } ], "container-title" : "Nature Materials", "id" : "ITEM-1", "issue" : "March", "issued" : { "date-parts" : [ [ "2016" ] ] }, "page" : "1-8", "title" : "Engineered hybrid cardiac patches with multifunctional electronics for online monitoring and regulation of tissue function", "type" : "article-journal", "volume" : "15" }, "uris" : [ "http://www.mendeley.com/documents/?uuid=336fb19e-d030-47c9-8d8d-a7f44ed841c3" ] } ], "mendeley" : { "formattedCitation" : "&lt;sup&gt;221&lt;/sup&gt;", "plainTextFormattedCitation" : "221", "previouslyFormattedCitation" : "&lt;sup&gt;220&lt;/sup&gt;" }, "properties" : { "noteIndex" : 0 }, "schema" : "https://github.com/citation-style-language/schema/raw/master/csl-citation.json" }</w:instrText>
      </w:r>
      <w:r w:rsidR="007C7613" w:rsidRPr="00610A40">
        <w:rPr>
          <w:color w:val="auto"/>
          <w:szCs w:val="24"/>
        </w:rPr>
        <w:fldChar w:fldCharType="separate"/>
      </w:r>
      <w:r w:rsidR="00565E2A" w:rsidRPr="00610A40">
        <w:rPr>
          <w:noProof/>
          <w:color w:val="auto"/>
          <w:szCs w:val="24"/>
          <w:vertAlign w:val="superscript"/>
        </w:rPr>
        <w:t>221</w:t>
      </w:r>
      <w:r w:rsidR="007C7613" w:rsidRPr="00610A40">
        <w:rPr>
          <w:color w:val="auto"/>
          <w:szCs w:val="24"/>
        </w:rPr>
        <w:fldChar w:fldCharType="end"/>
      </w:r>
      <w:r w:rsidR="007C7613" w:rsidRPr="00610A40">
        <w:rPr>
          <w:color w:val="auto"/>
          <w:szCs w:val="24"/>
        </w:rPr>
        <w:t xml:space="preserve">. This consists of a PCL/gelatin </w:t>
      </w:r>
      <w:proofErr w:type="spellStart"/>
      <w:r w:rsidR="007C7613" w:rsidRPr="00610A40">
        <w:rPr>
          <w:color w:val="auto"/>
          <w:szCs w:val="24"/>
        </w:rPr>
        <w:t>nanofibrous</w:t>
      </w:r>
      <w:proofErr w:type="spellEnd"/>
      <w:r w:rsidR="007C7613" w:rsidRPr="00610A40">
        <w:rPr>
          <w:color w:val="auto"/>
          <w:szCs w:val="24"/>
        </w:rPr>
        <w:t xml:space="preserve"> network integrated with metallized SU-8 microelectronics. Cardiac cells can penetrate and proliferate freely in the flexible mesh and be in close interaction with the recording/stimulation electrodes. This proximity also facilitates on-demand drug release from </w:t>
      </w:r>
      <w:proofErr w:type="spellStart"/>
      <w:r w:rsidR="007C7613" w:rsidRPr="00610A40">
        <w:rPr>
          <w:color w:val="auto"/>
          <w:szCs w:val="24"/>
        </w:rPr>
        <w:t>electroactive</w:t>
      </w:r>
      <w:proofErr w:type="spellEnd"/>
      <w:r w:rsidR="007C7613" w:rsidRPr="00610A40">
        <w:rPr>
          <w:color w:val="auto"/>
          <w:szCs w:val="24"/>
        </w:rPr>
        <w:t xml:space="preserve"> polymers to the cardiac cells. The</w:t>
      </w:r>
      <w:r w:rsidR="00E26873" w:rsidRPr="00610A40">
        <w:rPr>
          <w:color w:val="auto"/>
          <w:szCs w:val="24"/>
        </w:rPr>
        <w:t>se exciting developments herald</w:t>
      </w:r>
      <w:r w:rsidR="007C7613" w:rsidRPr="00610A40">
        <w:rPr>
          <w:color w:val="auto"/>
          <w:szCs w:val="24"/>
        </w:rPr>
        <w:t xml:space="preserve"> a new era for tissue engineering and drug delivery whereby real-time monitoring or stimulation can be achieved in a minimally invas</w:t>
      </w:r>
      <w:r w:rsidR="00E26873" w:rsidRPr="00610A40">
        <w:rPr>
          <w:color w:val="auto"/>
          <w:szCs w:val="24"/>
        </w:rPr>
        <w:t xml:space="preserve">ive manner. </w:t>
      </w:r>
      <w:r w:rsidR="00705905" w:rsidRPr="00610A40">
        <w:rPr>
          <w:color w:val="auto"/>
          <w:szCs w:val="24"/>
        </w:rPr>
        <w:t xml:space="preserve">In conclusion, the advancement of biodegradable polyester elastomers requires a complete set of analysis, </w:t>
      </w:r>
      <w:r w:rsidR="00A137E1" w:rsidRPr="00610A40">
        <w:rPr>
          <w:color w:val="auto"/>
          <w:szCs w:val="24"/>
        </w:rPr>
        <w:t>which include</w:t>
      </w:r>
      <w:r w:rsidR="00705905" w:rsidRPr="00610A40">
        <w:rPr>
          <w:color w:val="auto"/>
          <w:szCs w:val="24"/>
        </w:rPr>
        <w:t xml:space="preserve"> not only the aspect</w:t>
      </w:r>
      <w:r w:rsidR="00A137E1" w:rsidRPr="00610A40">
        <w:rPr>
          <w:color w:val="auto"/>
          <w:szCs w:val="24"/>
        </w:rPr>
        <w:t xml:space="preserve"> of physiological and mechanical compatibility</w:t>
      </w:r>
      <w:r w:rsidR="00705905" w:rsidRPr="00610A40">
        <w:rPr>
          <w:color w:val="auto"/>
          <w:szCs w:val="24"/>
        </w:rPr>
        <w:t xml:space="preserve">, but also the more practical and economical production of these materials. A holistic investigation </w:t>
      </w:r>
      <w:r w:rsidR="00705905" w:rsidRPr="00610A40">
        <w:rPr>
          <w:color w:val="auto"/>
          <w:szCs w:val="24"/>
        </w:rPr>
        <w:lastRenderedPageBreak/>
        <w:t>from all aspects will help to develop more successful elastomer</w:t>
      </w:r>
      <w:r w:rsidR="00D674DD" w:rsidRPr="00610A40">
        <w:rPr>
          <w:color w:val="auto"/>
          <w:szCs w:val="24"/>
        </w:rPr>
        <w:t>ic</w:t>
      </w:r>
      <w:r w:rsidR="00705905" w:rsidRPr="00610A40">
        <w:rPr>
          <w:color w:val="auto"/>
          <w:szCs w:val="24"/>
        </w:rPr>
        <w:t xml:space="preserve"> platforms and subsequently, bring them a step closer to practical clinical applications.</w:t>
      </w:r>
    </w:p>
    <w:p w14:paraId="54D09C2D" w14:textId="10DD1556" w:rsidR="009662FD" w:rsidRPr="00610A40" w:rsidRDefault="009662FD" w:rsidP="004A0094">
      <w:pPr>
        <w:pStyle w:val="Heading1"/>
      </w:pPr>
      <w:r w:rsidRPr="00610A40">
        <w:t>Annex 1 – List of acronyms</w:t>
      </w:r>
    </w:p>
    <w:tbl>
      <w:tblPr>
        <w:tblW w:w="8680" w:type="dxa"/>
        <w:tblInd w:w="108" w:type="dxa"/>
        <w:tblCellMar>
          <w:top w:w="15" w:type="dxa"/>
          <w:bottom w:w="15" w:type="dxa"/>
        </w:tblCellMar>
        <w:tblLook w:val="04A0" w:firstRow="1" w:lastRow="0" w:firstColumn="1" w:lastColumn="0" w:noHBand="0" w:noVBand="1"/>
      </w:tblPr>
      <w:tblGrid>
        <w:gridCol w:w="2560"/>
        <w:gridCol w:w="6120"/>
      </w:tblGrid>
      <w:tr w:rsidR="009662FD" w:rsidRPr="00610A40" w14:paraId="42170177" w14:textId="77777777" w:rsidTr="009662FD">
        <w:trPr>
          <w:trHeight w:val="315"/>
        </w:trPr>
        <w:tc>
          <w:tcPr>
            <w:tcW w:w="2560" w:type="dxa"/>
            <w:tcBorders>
              <w:top w:val="nil"/>
              <w:left w:val="nil"/>
              <w:bottom w:val="nil"/>
              <w:right w:val="nil"/>
            </w:tcBorders>
            <w:noWrap/>
            <w:vAlign w:val="bottom"/>
            <w:hideMark/>
          </w:tcPr>
          <w:p w14:paraId="79F32571" w14:textId="77777777" w:rsidR="009662FD" w:rsidRPr="00610A40" w:rsidRDefault="009662FD" w:rsidP="009662FD">
            <w:pPr>
              <w:spacing w:line="240" w:lineRule="auto"/>
              <w:jc w:val="left"/>
              <w:rPr>
                <w:rFonts w:cs="Times New Roman"/>
                <w:b/>
                <w:bCs/>
                <w:color w:val="auto"/>
                <w:szCs w:val="24"/>
                <w:lang w:eastAsia="zh-CN"/>
              </w:rPr>
            </w:pPr>
            <w:r w:rsidRPr="00610A40">
              <w:rPr>
                <w:rFonts w:cs="Times New Roman"/>
                <w:b/>
                <w:bCs/>
                <w:color w:val="auto"/>
                <w:szCs w:val="24"/>
                <w:lang w:eastAsia="zh-CN"/>
              </w:rPr>
              <w:t>Acronyms</w:t>
            </w:r>
          </w:p>
        </w:tc>
        <w:tc>
          <w:tcPr>
            <w:tcW w:w="6120" w:type="dxa"/>
            <w:tcBorders>
              <w:top w:val="nil"/>
              <w:left w:val="nil"/>
              <w:bottom w:val="nil"/>
              <w:right w:val="nil"/>
            </w:tcBorders>
            <w:noWrap/>
            <w:vAlign w:val="bottom"/>
            <w:hideMark/>
          </w:tcPr>
          <w:p w14:paraId="7FF055C2" w14:textId="77777777" w:rsidR="009662FD" w:rsidRPr="00610A40" w:rsidRDefault="009662FD" w:rsidP="009662FD">
            <w:pPr>
              <w:spacing w:line="240" w:lineRule="auto"/>
              <w:jc w:val="left"/>
              <w:rPr>
                <w:rFonts w:cs="Times New Roman"/>
                <w:b/>
                <w:bCs/>
                <w:color w:val="auto"/>
                <w:sz w:val="22"/>
                <w:lang w:eastAsia="zh-CN"/>
              </w:rPr>
            </w:pPr>
            <w:r w:rsidRPr="00610A40">
              <w:rPr>
                <w:rFonts w:cs="Times New Roman"/>
                <w:b/>
                <w:bCs/>
                <w:color w:val="auto"/>
                <w:sz w:val="22"/>
                <w:lang w:eastAsia="zh-CN"/>
              </w:rPr>
              <w:t>Name in full</w:t>
            </w:r>
          </w:p>
        </w:tc>
      </w:tr>
      <w:tr w:rsidR="009662FD" w:rsidRPr="00610A40" w14:paraId="5C89FD32" w14:textId="77777777" w:rsidTr="009662FD">
        <w:trPr>
          <w:trHeight w:val="315"/>
        </w:trPr>
        <w:tc>
          <w:tcPr>
            <w:tcW w:w="2560" w:type="dxa"/>
            <w:tcBorders>
              <w:top w:val="nil"/>
              <w:left w:val="nil"/>
              <w:bottom w:val="nil"/>
              <w:right w:val="nil"/>
            </w:tcBorders>
            <w:noWrap/>
            <w:vAlign w:val="bottom"/>
            <w:hideMark/>
          </w:tcPr>
          <w:p w14:paraId="07A0142A"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3HB</w:t>
            </w:r>
          </w:p>
        </w:tc>
        <w:tc>
          <w:tcPr>
            <w:tcW w:w="6120" w:type="dxa"/>
            <w:tcBorders>
              <w:top w:val="nil"/>
              <w:left w:val="nil"/>
              <w:bottom w:val="nil"/>
              <w:right w:val="nil"/>
            </w:tcBorders>
            <w:noWrap/>
            <w:vAlign w:val="bottom"/>
            <w:hideMark/>
          </w:tcPr>
          <w:p w14:paraId="2332523F"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 xml:space="preserve">3-Hydroxybutyric acid </w:t>
            </w:r>
          </w:p>
        </w:tc>
      </w:tr>
      <w:tr w:rsidR="009662FD" w:rsidRPr="00610A40" w14:paraId="46C49390" w14:textId="77777777" w:rsidTr="009662FD">
        <w:trPr>
          <w:trHeight w:val="315"/>
        </w:trPr>
        <w:tc>
          <w:tcPr>
            <w:tcW w:w="2560" w:type="dxa"/>
            <w:tcBorders>
              <w:top w:val="nil"/>
              <w:left w:val="nil"/>
              <w:bottom w:val="nil"/>
              <w:right w:val="nil"/>
            </w:tcBorders>
            <w:noWrap/>
            <w:vAlign w:val="bottom"/>
            <w:hideMark/>
          </w:tcPr>
          <w:p w14:paraId="34C35DDA"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HD</w:t>
            </w:r>
          </w:p>
        </w:tc>
        <w:tc>
          <w:tcPr>
            <w:tcW w:w="6120" w:type="dxa"/>
            <w:tcBorders>
              <w:top w:val="nil"/>
              <w:left w:val="nil"/>
              <w:bottom w:val="nil"/>
              <w:right w:val="nil"/>
            </w:tcBorders>
            <w:noWrap/>
            <w:vAlign w:val="bottom"/>
            <w:hideMark/>
          </w:tcPr>
          <w:p w14:paraId="45F4433F"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3-Hydroxydecanoate</w:t>
            </w:r>
          </w:p>
        </w:tc>
      </w:tr>
      <w:tr w:rsidR="009662FD" w:rsidRPr="00610A40" w14:paraId="6B547DE8" w14:textId="77777777" w:rsidTr="009662FD">
        <w:trPr>
          <w:trHeight w:val="315"/>
        </w:trPr>
        <w:tc>
          <w:tcPr>
            <w:tcW w:w="2560" w:type="dxa"/>
            <w:tcBorders>
              <w:top w:val="nil"/>
              <w:left w:val="nil"/>
              <w:bottom w:val="nil"/>
              <w:right w:val="nil"/>
            </w:tcBorders>
            <w:noWrap/>
            <w:vAlign w:val="bottom"/>
            <w:hideMark/>
          </w:tcPr>
          <w:p w14:paraId="7E5DE6AE"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HH</w:t>
            </w:r>
          </w:p>
        </w:tc>
        <w:tc>
          <w:tcPr>
            <w:tcW w:w="6120" w:type="dxa"/>
            <w:tcBorders>
              <w:top w:val="nil"/>
              <w:left w:val="nil"/>
              <w:bottom w:val="nil"/>
              <w:right w:val="nil"/>
            </w:tcBorders>
            <w:noWrap/>
            <w:vAlign w:val="bottom"/>
            <w:hideMark/>
          </w:tcPr>
          <w:p w14:paraId="7367AC93"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 xml:space="preserve">3-Hydroxyheptanoate </w:t>
            </w:r>
          </w:p>
        </w:tc>
      </w:tr>
      <w:tr w:rsidR="009662FD" w:rsidRPr="00610A40" w14:paraId="26075FFB" w14:textId="77777777" w:rsidTr="009662FD">
        <w:trPr>
          <w:trHeight w:val="315"/>
        </w:trPr>
        <w:tc>
          <w:tcPr>
            <w:tcW w:w="2560" w:type="dxa"/>
            <w:tcBorders>
              <w:top w:val="nil"/>
              <w:left w:val="nil"/>
              <w:bottom w:val="nil"/>
              <w:right w:val="nil"/>
            </w:tcBorders>
            <w:noWrap/>
            <w:vAlign w:val="bottom"/>
            <w:hideMark/>
          </w:tcPr>
          <w:p w14:paraId="236F2CE3" w14:textId="77777777" w:rsidR="009662FD" w:rsidRPr="00610A40" w:rsidRDefault="009662FD" w:rsidP="009662FD">
            <w:pPr>
              <w:spacing w:line="240" w:lineRule="auto"/>
              <w:jc w:val="left"/>
              <w:rPr>
                <w:rFonts w:cs="Times New Roman"/>
                <w:color w:val="auto"/>
                <w:szCs w:val="24"/>
                <w:lang w:eastAsia="zh-CN"/>
              </w:rPr>
            </w:pPr>
            <w:proofErr w:type="spellStart"/>
            <w:r w:rsidRPr="00610A40">
              <w:rPr>
                <w:rFonts w:cs="Times New Roman"/>
                <w:color w:val="auto"/>
                <w:szCs w:val="24"/>
                <w:lang w:eastAsia="zh-CN"/>
              </w:rPr>
              <w:t>HHx</w:t>
            </w:r>
            <w:proofErr w:type="spellEnd"/>
          </w:p>
        </w:tc>
        <w:tc>
          <w:tcPr>
            <w:tcW w:w="6120" w:type="dxa"/>
            <w:tcBorders>
              <w:top w:val="nil"/>
              <w:left w:val="nil"/>
              <w:bottom w:val="nil"/>
              <w:right w:val="nil"/>
            </w:tcBorders>
            <w:noWrap/>
            <w:vAlign w:val="bottom"/>
            <w:hideMark/>
          </w:tcPr>
          <w:p w14:paraId="7B19C0D3"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 xml:space="preserve">3-Hydroxyhexanoate </w:t>
            </w:r>
          </w:p>
        </w:tc>
      </w:tr>
      <w:tr w:rsidR="009662FD" w:rsidRPr="00610A40" w14:paraId="56F3B4B3" w14:textId="77777777" w:rsidTr="009662FD">
        <w:trPr>
          <w:trHeight w:val="315"/>
        </w:trPr>
        <w:tc>
          <w:tcPr>
            <w:tcW w:w="2560" w:type="dxa"/>
            <w:tcBorders>
              <w:top w:val="nil"/>
              <w:left w:val="nil"/>
              <w:bottom w:val="nil"/>
              <w:right w:val="nil"/>
            </w:tcBorders>
            <w:noWrap/>
            <w:vAlign w:val="bottom"/>
            <w:hideMark/>
          </w:tcPr>
          <w:p w14:paraId="03F9E772"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MCL-PHAs</w:t>
            </w:r>
          </w:p>
        </w:tc>
        <w:tc>
          <w:tcPr>
            <w:tcW w:w="6120" w:type="dxa"/>
            <w:tcBorders>
              <w:top w:val="nil"/>
              <w:left w:val="nil"/>
              <w:bottom w:val="nil"/>
              <w:right w:val="nil"/>
            </w:tcBorders>
            <w:noWrap/>
            <w:vAlign w:val="bottom"/>
            <w:hideMark/>
          </w:tcPr>
          <w:p w14:paraId="2530A9ED"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 xml:space="preserve">Medium-chain-length </w:t>
            </w:r>
            <w:proofErr w:type="spellStart"/>
            <w:r w:rsidRPr="00610A40">
              <w:rPr>
                <w:rFonts w:cs="Times New Roman"/>
                <w:color w:val="auto"/>
                <w:szCs w:val="24"/>
                <w:lang w:eastAsia="zh-CN"/>
              </w:rPr>
              <w:t>polyhydroxyalkanoates</w:t>
            </w:r>
            <w:proofErr w:type="spellEnd"/>
          </w:p>
        </w:tc>
      </w:tr>
      <w:tr w:rsidR="009662FD" w:rsidRPr="00610A40" w14:paraId="726803C2" w14:textId="77777777" w:rsidTr="009662FD">
        <w:trPr>
          <w:trHeight w:val="315"/>
        </w:trPr>
        <w:tc>
          <w:tcPr>
            <w:tcW w:w="2560" w:type="dxa"/>
            <w:tcBorders>
              <w:top w:val="nil"/>
              <w:left w:val="nil"/>
              <w:bottom w:val="nil"/>
              <w:right w:val="nil"/>
            </w:tcBorders>
            <w:noWrap/>
            <w:vAlign w:val="center"/>
            <w:hideMark/>
          </w:tcPr>
          <w:p w14:paraId="5E681B6E" w14:textId="77777777" w:rsidR="009662FD" w:rsidRPr="00610A40" w:rsidRDefault="009662FD" w:rsidP="009662FD">
            <w:pPr>
              <w:spacing w:line="240" w:lineRule="auto"/>
              <w:rPr>
                <w:rFonts w:cs="Times New Roman"/>
                <w:color w:val="auto"/>
                <w:szCs w:val="24"/>
                <w:lang w:eastAsia="zh-CN"/>
              </w:rPr>
            </w:pPr>
            <w:r w:rsidRPr="00610A40">
              <w:rPr>
                <w:rFonts w:cs="Times New Roman"/>
                <w:color w:val="auto"/>
                <w:szCs w:val="24"/>
                <w:lang w:eastAsia="zh-CN"/>
              </w:rPr>
              <w:t>p(OCS)</w:t>
            </w:r>
          </w:p>
        </w:tc>
        <w:tc>
          <w:tcPr>
            <w:tcW w:w="6120" w:type="dxa"/>
            <w:tcBorders>
              <w:top w:val="nil"/>
              <w:left w:val="nil"/>
              <w:bottom w:val="nil"/>
              <w:right w:val="nil"/>
            </w:tcBorders>
            <w:noWrap/>
            <w:vAlign w:val="bottom"/>
            <w:hideMark/>
          </w:tcPr>
          <w:p w14:paraId="5AF13416"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proofErr w:type="spellStart"/>
            <w:r w:rsidRPr="00610A40">
              <w:rPr>
                <w:rFonts w:cs="Times New Roman"/>
                <w:color w:val="auto"/>
                <w:szCs w:val="24"/>
                <w:lang w:eastAsia="zh-CN"/>
              </w:rPr>
              <w:t>octanediol</w:t>
            </w:r>
            <w:proofErr w:type="spellEnd"/>
            <w:r w:rsidRPr="00610A40">
              <w:rPr>
                <w:rFonts w:cs="Times New Roman"/>
                <w:color w:val="auto"/>
                <w:szCs w:val="24"/>
                <w:lang w:eastAsia="zh-CN"/>
              </w:rPr>
              <w:t>-co-(citric acid)-co-(</w:t>
            </w:r>
            <w:proofErr w:type="spellStart"/>
            <w:r w:rsidRPr="00610A40">
              <w:rPr>
                <w:rFonts w:cs="Times New Roman"/>
                <w:color w:val="auto"/>
                <w:szCs w:val="24"/>
                <w:lang w:eastAsia="zh-CN"/>
              </w:rPr>
              <w:t>sebacic</w:t>
            </w:r>
            <w:proofErr w:type="spellEnd"/>
            <w:r w:rsidRPr="00610A40">
              <w:rPr>
                <w:rFonts w:cs="Times New Roman"/>
                <w:color w:val="auto"/>
                <w:szCs w:val="24"/>
                <w:lang w:eastAsia="zh-CN"/>
              </w:rPr>
              <w:t xml:space="preserve"> acid)]</w:t>
            </w:r>
          </w:p>
        </w:tc>
      </w:tr>
      <w:tr w:rsidR="009662FD" w:rsidRPr="00610A40" w14:paraId="65505434" w14:textId="77777777" w:rsidTr="009662FD">
        <w:trPr>
          <w:trHeight w:val="315"/>
        </w:trPr>
        <w:tc>
          <w:tcPr>
            <w:tcW w:w="2560" w:type="dxa"/>
            <w:tcBorders>
              <w:top w:val="nil"/>
              <w:left w:val="nil"/>
              <w:bottom w:val="nil"/>
              <w:right w:val="nil"/>
            </w:tcBorders>
            <w:noWrap/>
            <w:vAlign w:val="bottom"/>
            <w:hideMark/>
          </w:tcPr>
          <w:p w14:paraId="1B652C87"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P3HB4HB</w:t>
            </w:r>
          </w:p>
        </w:tc>
        <w:tc>
          <w:tcPr>
            <w:tcW w:w="6120" w:type="dxa"/>
            <w:tcBorders>
              <w:top w:val="nil"/>
              <w:left w:val="nil"/>
              <w:bottom w:val="nil"/>
              <w:right w:val="nil"/>
            </w:tcBorders>
            <w:noWrap/>
            <w:vAlign w:val="bottom"/>
            <w:hideMark/>
          </w:tcPr>
          <w:p w14:paraId="136A050C" w14:textId="0A5B5606"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(3-hydroxybutyrate-co-4-hydroxybutyrate) </w:t>
            </w:r>
          </w:p>
        </w:tc>
      </w:tr>
      <w:tr w:rsidR="009662FD" w:rsidRPr="00610A40" w14:paraId="4CB218E7" w14:textId="77777777" w:rsidTr="009662FD">
        <w:trPr>
          <w:trHeight w:val="315"/>
        </w:trPr>
        <w:tc>
          <w:tcPr>
            <w:tcW w:w="2560" w:type="dxa"/>
            <w:tcBorders>
              <w:top w:val="nil"/>
              <w:left w:val="nil"/>
              <w:bottom w:val="nil"/>
              <w:right w:val="nil"/>
            </w:tcBorders>
            <w:noWrap/>
            <w:vAlign w:val="bottom"/>
            <w:hideMark/>
          </w:tcPr>
          <w:p w14:paraId="55BB4D98"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P3HB-co-3HV</w:t>
            </w:r>
          </w:p>
        </w:tc>
        <w:tc>
          <w:tcPr>
            <w:tcW w:w="6120" w:type="dxa"/>
            <w:tcBorders>
              <w:top w:val="nil"/>
              <w:left w:val="nil"/>
              <w:bottom w:val="nil"/>
              <w:right w:val="nil"/>
            </w:tcBorders>
            <w:noWrap/>
            <w:vAlign w:val="bottom"/>
            <w:hideMark/>
          </w:tcPr>
          <w:p w14:paraId="0D9C9FFB" w14:textId="68C117F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(3-hydroxybutyrate-co-3-hydroxyvalerate)</w:t>
            </w:r>
          </w:p>
        </w:tc>
      </w:tr>
      <w:tr w:rsidR="009662FD" w:rsidRPr="00610A40" w14:paraId="7C2C9417" w14:textId="77777777" w:rsidTr="009662FD">
        <w:trPr>
          <w:trHeight w:val="315"/>
        </w:trPr>
        <w:tc>
          <w:tcPr>
            <w:tcW w:w="2560" w:type="dxa"/>
            <w:tcBorders>
              <w:top w:val="nil"/>
              <w:left w:val="nil"/>
              <w:bottom w:val="nil"/>
              <w:right w:val="nil"/>
            </w:tcBorders>
            <w:noWrap/>
            <w:vAlign w:val="bottom"/>
            <w:hideMark/>
          </w:tcPr>
          <w:p w14:paraId="67724303"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PCL</w:t>
            </w:r>
          </w:p>
        </w:tc>
        <w:tc>
          <w:tcPr>
            <w:tcW w:w="6120" w:type="dxa"/>
            <w:tcBorders>
              <w:top w:val="nil"/>
              <w:left w:val="nil"/>
              <w:bottom w:val="nil"/>
              <w:right w:val="nil"/>
            </w:tcBorders>
            <w:noWrap/>
            <w:vAlign w:val="bottom"/>
            <w:hideMark/>
          </w:tcPr>
          <w:p w14:paraId="2581B5EA" w14:textId="53B5A481"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(e-</w:t>
            </w:r>
            <w:proofErr w:type="spellStart"/>
            <w:r w:rsidRPr="00610A40">
              <w:rPr>
                <w:rFonts w:cs="Times New Roman"/>
                <w:color w:val="auto"/>
                <w:szCs w:val="24"/>
                <w:lang w:eastAsia="zh-CN"/>
              </w:rPr>
              <w:t>caprolactone</w:t>
            </w:r>
            <w:proofErr w:type="spellEnd"/>
            <w:r w:rsidRPr="00610A40">
              <w:rPr>
                <w:rFonts w:cs="Times New Roman"/>
                <w:color w:val="auto"/>
                <w:szCs w:val="24"/>
                <w:lang w:eastAsia="zh-CN"/>
              </w:rPr>
              <w:t xml:space="preserve">) </w:t>
            </w:r>
          </w:p>
        </w:tc>
      </w:tr>
      <w:tr w:rsidR="009662FD" w:rsidRPr="00610A40" w14:paraId="63ACAE6E" w14:textId="77777777" w:rsidTr="009662FD">
        <w:trPr>
          <w:trHeight w:val="315"/>
        </w:trPr>
        <w:tc>
          <w:tcPr>
            <w:tcW w:w="2560" w:type="dxa"/>
            <w:tcBorders>
              <w:top w:val="nil"/>
              <w:left w:val="nil"/>
              <w:bottom w:val="nil"/>
              <w:right w:val="nil"/>
            </w:tcBorders>
            <w:noWrap/>
            <w:vAlign w:val="bottom"/>
            <w:hideMark/>
          </w:tcPr>
          <w:p w14:paraId="553A3E80"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PCLF</w:t>
            </w:r>
          </w:p>
        </w:tc>
        <w:tc>
          <w:tcPr>
            <w:tcW w:w="6120" w:type="dxa"/>
            <w:tcBorders>
              <w:top w:val="nil"/>
              <w:left w:val="nil"/>
              <w:bottom w:val="nil"/>
              <w:right w:val="nil"/>
            </w:tcBorders>
            <w:noWrap/>
            <w:vAlign w:val="bottom"/>
            <w:hideMark/>
          </w:tcPr>
          <w:p w14:paraId="367C8FFD" w14:textId="3474E692"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w:t>
            </w:r>
            <w:proofErr w:type="spellStart"/>
            <w:r w:rsidRPr="00610A40">
              <w:rPr>
                <w:rFonts w:cs="Times New Roman"/>
                <w:color w:val="auto"/>
                <w:szCs w:val="24"/>
                <w:lang w:eastAsia="zh-CN"/>
              </w:rPr>
              <w:t>caprolactone</w:t>
            </w:r>
            <w:proofErr w:type="spellEnd"/>
            <w:r w:rsidRPr="00610A40">
              <w:rPr>
                <w:rFonts w:cs="Times New Roman"/>
                <w:color w:val="auto"/>
                <w:szCs w:val="24"/>
                <w:lang w:eastAsia="zh-CN"/>
              </w:rPr>
              <w:t xml:space="preserve"> </w:t>
            </w:r>
            <w:proofErr w:type="spellStart"/>
            <w:r w:rsidRPr="00610A40">
              <w:rPr>
                <w:rFonts w:cs="Times New Roman"/>
                <w:color w:val="auto"/>
                <w:szCs w:val="24"/>
                <w:lang w:eastAsia="zh-CN"/>
              </w:rPr>
              <w:t>fumarate</w:t>
            </w:r>
            <w:proofErr w:type="spellEnd"/>
            <w:r w:rsidRPr="00610A40">
              <w:rPr>
                <w:rFonts w:cs="Times New Roman"/>
                <w:color w:val="auto"/>
                <w:szCs w:val="24"/>
                <w:lang w:eastAsia="zh-CN"/>
              </w:rPr>
              <w:t xml:space="preserve">) </w:t>
            </w:r>
          </w:p>
        </w:tc>
      </w:tr>
      <w:tr w:rsidR="009662FD" w:rsidRPr="00610A40" w14:paraId="697C06FE" w14:textId="77777777" w:rsidTr="009662FD">
        <w:trPr>
          <w:trHeight w:val="315"/>
        </w:trPr>
        <w:tc>
          <w:tcPr>
            <w:tcW w:w="2560" w:type="dxa"/>
            <w:tcBorders>
              <w:top w:val="nil"/>
              <w:left w:val="nil"/>
              <w:bottom w:val="nil"/>
              <w:right w:val="nil"/>
            </w:tcBorders>
            <w:noWrap/>
            <w:vAlign w:val="bottom"/>
            <w:hideMark/>
          </w:tcPr>
          <w:p w14:paraId="72ACA3C6"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PDC</w:t>
            </w:r>
          </w:p>
        </w:tc>
        <w:tc>
          <w:tcPr>
            <w:tcW w:w="6120" w:type="dxa"/>
            <w:tcBorders>
              <w:top w:val="nil"/>
              <w:left w:val="nil"/>
              <w:bottom w:val="nil"/>
              <w:right w:val="nil"/>
            </w:tcBorders>
            <w:noWrap/>
            <w:vAlign w:val="bottom"/>
            <w:hideMark/>
          </w:tcPr>
          <w:p w14:paraId="6413DFC2" w14:textId="724B7F09"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w:t>
            </w:r>
            <w:proofErr w:type="spellStart"/>
            <w:r w:rsidRPr="00610A40">
              <w:rPr>
                <w:rFonts w:cs="Times New Roman"/>
                <w:color w:val="auto"/>
                <w:szCs w:val="24"/>
                <w:lang w:eastAsia="zh-CN"/>
              </w:rPr>
              <w:t>diol</w:t>
            </w:r>
            <w:proofErr w:type="spellEnd"/>
            <w:r w:rsidRPr="00610A40">
              <w:rPr>
                <w:rFonts w:cs="Times New Roman"/>
                <w:color w:val="auto"/>
                <w:szCs w:val="24"/>
                <w:lang w:eastAsia="zh-CN"/>
              </w:rPr>
              <w:t xml:space="preserve"> citrate) </w:t>
            </w:r>
          </w:p>
        </w:tc>
      </w:tr>
      <w:tr w:rsidR="009662FD" w:rsidRPr="00610A40" w14:paraId="56863041" w14:textId="77777777" w:rsidTr="009662FD">
        <w:trPr>
          <w:trHeight w:val="315"/>
        </w:trPr>
        <w:tc>
          <w:tcPr>
            <w:tcW w:w="2560" w:type="dxa"/>
            <w:tcBorders>
              <w:top w:val="nil"/>
              <w:left w:val="nil"/>
              <w:bottom w:val="nil"/>
              <w:right w:val="nil"/>
            </w:tcBorders>
            <w:noWrap/>
            <w:vAlign w:val="bottom"/>
            <w:hideMark/>
          </w:tcPr>
          <w:p w14:paraId="56251F3B"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PDLA</w:t>
            </w:r>
          </w:p>
        </w:tc>
        <w:tc>
          <w:tcPr>
            <w:tcW w:w="6120" w:type="dxa"/>
            <w:tcBorders>
              <w:top w:val="nil"/>
              <w:left w:val="nil"/>
              <w:bottom w:val="nil"/>
              <w:right w:val="nil"/>
            </w:tcBorders>
            <w:noWrap/>
            <w:vAlign w:val="bottom"/>
            <w:hideMark/>
          </w:tcPr>
          <w:p w14:paraId="692BF5EB" w14:textId="2D9D218E"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(D-lactic acid) </w:t>
            </w:r>
          </w:p>
        </w:tc>
      </w:tr>
      <w:tr w:rsidR="009662FD" w:rsidRPr="00610A40" w14:paraId="7A11681C" w14:textId="77777777" w:rsidTr="009662FD">
        <w:trPr>
          <w:trHeight w:val="315"/>
        </w:trPr>
        <w:tc>
          <w:tcPr>
            <w:tcW w:w="2560" w:type="dxa"/>
            <w:tcBorders>
              <w:top w:val="nil"/>
              <w:left w:val="nil"/>
              <w:bottom w:val="nil"/>
              <w:right w:val="nil"/>
            </w:tcBorders>
            <w:noWrap/>
            <w:vAlign w:val="bottom"/>
            <w:hideMark/>
          </w:tcPr>
          <w:p w14:paraId="74F61F6D"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PDLLA</w:t>
            </w:r>
          </w:p>
        </w:tc>
        <w:tc>
          <w:tcPr>
            <w:tcW w:w="6120" w:type="dxa"/>
            <w:tcBorders>
              <w:top w:val="nil"/>
              <w:left w:val="nil"/>
              <w:bottom w:val="nil"/>
              <w:right w:val="nil"/>
            </w:tcBorders>
            <w:noWrap/>
            <w:vAlign w:val="bottom"/>
            <w:hideMark/>
          </w:tcPr>
          <w:p w14:paraId="2120956E" w14:textId="7B234E66"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(D, L-lactic acid)</w:t>
            </w:r>
          </w:p>
        </w:tc>
      </w:tr>
      <w:tr w:rsidR="009662FD" w:rsidRPr="00610A40" w14:paraId="5DE40D9A" w14:textId="77777777" w:rsidTr="009662FD">
        <w:trPr>
          <w:trHeight w:val="315"/>
        </w:trPr>
        <w:tc>
          <w:tcPr>
            <w:tcW w:w="2560" w:type="dxa"/>
            <w:tcBorders>
              <w:top w:val="nil"/>
              <w:left w:val="nil"/>
              <w:bottom w:val="nil"/>
              <w:right w:val="nil"/>
            </w:tcBorders>
            <w:noWrap/>
            <w:vAlign w:val="bottom"/>
            <w:hideMark/>
          </w:tcPr>
          <w:p w14:paraId="08D4017F"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PGA</w:t>
            </w:r>
          </w:p>
        </w:tc>
        <w:tc>
          <w:tcPr>
            <w:tcW w:w="6120" w:type="dxa"/>
            <w:tcBorders>
              <w:top w:val="nil"/>
              <w:left w:val="nil"/>
              <w:bottom w:val="nil"/>
              <w:right w:val="nil"/>
            </w:tcBorders>
            <w:noWrap/>
            <w:vAlign w:val="bottom"/>
            <w:hideMark/>
          </w:tcPr>
          <w:p w14:paraId="484A1A69" w14:textId="35A21355"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(glycolic acid) </w:t>
            </w:r>
          </w:p>
        </w:tc>
      </w:tr>
      <w:tr w:rsidR="009662FD" w:rsidRPr="00610A40" w14:paraId="2DEDC2BB" w14:textId="77777777" w:rsidTr="009662FD">
        <w:trPr>
          <w:trHeight w:val="315"/>
        </w:trPr>
        <w:tc>
          <w:tcPr>
            <w:tcW w:w="2560" w:type="dxa"/>
            <w:tcBorders>
              <w:top w:val="nil"/>
              <w:left w:val="nil"/>
              <w:bottom w:val="nil"/>
              <w:right w:val="nil"/>
            </w:tcBorders>
            <w:noWrap/>
            <w:vAlign w:val="bottom"/>
            <w:hideMark/>
          </w:tcPr>
          <w:p w14:paraId="10EAB686"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PGCL</w:t>
            </w:r>
          </w:p>
        </w:tc>
        <w:tc>
          <w:tcPr>
            <w:tcW w:w="6120" w:type="dxa"/>
            <w:tcBorders>
              <w:top w:val="nil"/>
              <w:left w:val="nil"/>
              <w:bottom w:val="nil"/>
              <w:right w:val="nil"/>
            </w:tcBorders>
            <w:noWrap/>
            <w:vAlign w:val="bottom"/>
            <w:hideMark/>
          </w:tcPr>
          <w:p w14:paraId="1768E389" w14:textId="20D372A0"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w:t>
            </w:r>
            <w:proofErr w:type="spellStart"/>
            <w:r w:rsidRPr="00610A40">
              <w:rPr>
                <w:rFonts w:cs="Times New Roman"/>
                <w:color w:val="auto"/>
                <w:szCs w:val="24"/>
                <w:lang w:eastAsia="zh-CN"/>
              </w:rPr>
              <w:t>glycolide</w:t>
            </w:r>
            <w:proofErr w:type="spellEnd"/>
            <w:r w:rsidRPr="00610A40">
              <w:rPr>
                <w:rFonts w:cs="Times New Roman"/>
                <w:color w:val="auto"/>
                <w:szCs w:val="24"/>
                <w:lang w:eastAsia="zh-CN"/>
              </w:rPr>
              <w:t>-co-</w:t>
            </w:r>
            <w:proofErr w:type="spellStart"/>
            <w:r w:rsidRPr="00610A40">
              <w:rPr>
                <w:rFonts w:cs="Times New Roman"/>
                <w:color w:val="auto"/>
                <w:szCs w:val="24"/>
                <w:lang w:eastAsia="zh-CN"/>
              </w:rPr>
              <w:t>caprolactone</w:t>
            </w:r>
            <w:proofErr w:type="spellEnd"/>
            <w:r w:rsidRPr="00610A40">
              <w:rPr>
                <w:rFonts w:cs="Times New Roman"/>
                <w:color w:val="auto"/>
                <w:szCs w:val="24"/>
                <w:lang w:eastAsia="zh-CN"/>
              </w:rPr>
              <w:t xml:space="preserve">) </w:t>
            </w:r>
          </w:p>
        </w:tc>
      </w:tr>
      <w:tr w:rsidR="009662FD" w:rsidRPr="00610A40" w14:paraId="2294DB71" w14:textId="77777777" w:rsidTr="009662FD">
        <w:trPr>
          <w:trHeight w:val="315"/>
        </w:trPr>
        <w:tc>
          <w:tcPr>
            <w:tcW w:w="2560" w:type="dxa"/>
            <w:tcBorders>
              <w:top w:val="nil"/>
              <w:left w:val="nil"/>
              <w:bottom w:val="nil"/>
              <w:right w:val="nil"/>
            </w:tcBorders>
            <w:noWrap/>
            <w:vAlign w:val="bottom"/>
            <w:hideMark/>
          </w:tcPr>
          <w:p w14:paraId="1554501C"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PGS</w:t>
            </w:r>
          </w:p>
        </w:tc>
        <w:tc>
          <w:tcPr>
            <w:tcW w:w="6120" w:type="dxa"/>
            <w:tcBorders>
              <w:top w:val="nil"/>
              <w:left w:val="nil"/>
              <w:bottom w:val="nil"/>
              <w:right w:val="nil"/>
            </w:tcBorders>
            <w:noWrap/>
            <w:vAlign w:val="bottom"/>
            <w:hideMark/>
          </w:tcPr>
          <w:p w14:paraId="5E920348" w14:textId="48FEA798"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(glycerol </w:t>
            </w:r>
            <w:proofErr w:type="spellStart"/>
            <w:r w:rsidRPr="00610A40">
              <w:rPr>
                <w:rFonts w:cs="Times New Roman"/>
                <w:color w:val="auto"/>
                <w:szCs w:val="24"/>
                <w:lang w:eastAsia="zh-CN"/>
              </w:rPr>
              <w:t>sebacate</w:t>
            </w:r>
            <w:proofErr w:type="spellEnd"/>
            <w:r w:rsidRPr="00610A40">
              <w:rPr>
                <w:rFonts w:cs="Times New Roman"/>
                <w:color w:val="auto"/>
                <w:szCs w:val="24"/>
                <w:lang w:eastAsia="zh-CN"/>
              </w:rPr>
              <w:t xml:space="preserve">) </w:t>
            </w:r>
          </w:p>
        </w:tc>
      </w:tr>
      <w:tr w:rsidR="009662FD" w:rsidRPr="00610A40" w14:paraId="5D6CC261" w14:textId="77777777" w:rsidTr="009662FD">
        <w:trPr>
          <w:trHeight w:val="315"/>
        </w:trPr>
        <w:tc>
          <w:tcPr>
            <w:tcW w:w="2560" w:type="dxa"/>
            <w:tcBorders>
              <w:top w:val="nil"/>
              <w:left w:val="nil"/>
              <w:bottom w:val="nil"/>
              <w:right w:val="nil"/>
            </w:tcBorders>
            <w:noWrap/>
            <w:vAlign w:val="bottom"/>
            <w:hideMark/>
          </w:tcPr>
          <w:p w14:paraId="43B34250"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PGSA</w:t>
            </w:r>
          </w:p>
        </w:tc>
        <w:tc>
          <w:tcPr>
            <w:tcW w:w="6120" w:type="dxa"/>
            <w:tcBorders>
              <w:top w:val="nil"/>
              <w:left w:val="nil"/>
              <w:bottom w:val="nil"/>
              <w:right w:val="nil"/>
            </w:tcBorders>
            <w:noWrap/>
            <w:vAlign w:val="bottom"/>
            <w:hideMark/>
          </w:tcPr>
          <w:p w14:paraId="4F03BCBF" w14:textId="63964068"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(glycerol </w:t>
            </w:r>
            <w:proofErr w:type="spellStart"/>
            <w:r w:rsidRPr="00610A40">
              <w:rPr>
                <w:rFonts w:cs="Times New Roman"/>
                <w:color w:val="auto"/>
                <w:szCs w:val="24"/>
                <w:lang w:eastAsia="zh-CN"/>
              </w:rPr>
              <w:t>sebacate</w:t>
            </w:r>
            <w:proofErr w:type="spellEnd"/>
            <w:r w:rsidRPr="00610A40">
              <w:rPr>
                <w:rFonts w:cs="Times New Roman"/>
                <w:color w:val="auto"/>
                <w:szCs w:val="24"/>
                <w:lang w:eastAsia="zh-CN"/>
              </w:rPr>
              <w:t xml:space="preserve">) acrylate </w:t>
            </w:r>
          </w:p>
        </w:tc>
      </w:tr>
      <w:tr w:rsidR="009662FD" w:rsidRPr="00610A40" w14:paraId="6CDC7E07" w14:textId="77777777" w:rsidTr="009662FD">
        <w:trPr>
          <w:trHeight w:val="315"/>
        </w:trPr>
        <w:tc>
          <w:tcPr>
            <w:tcW w:w="2560" w:type="dxa"/>
            <w:tcBorders>
              <w:top w:val="nil"/>
              <w:left w:val="nil"/>
              <w:bottom w:val="nil"/>
              <w:right w:val="nil"/>
            </w:tcBorders>
            <w:noWrap/>
            <w:vAlign w:val="bottom"/>
            <w:hideMark/>
          </w:tcPr>
          <w:p w14:paraId="3069D8A8"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PHAs</w:t>
            </w:r>
          </w:p>
        </w:tc>
        <w:tc>
          <w:tcPr>
            <w:tcW w:w="6120" w:type="dxa"/>
            <w:tcBorders>
              <w:top w:val="nil"/>
              <w:left w:val="nil"/>
              <w:bottom w:val="nil"/>
              <w:right w:val="nil"/>
            </w:tcBorders>
            <w:noWrap/>
            <w:vAlign w:val="bottom"/>
            <w:hideMark/>
          </w:tcPr>
          <w:p w14:paraId="67A98191" w14:textId="77777777" w:rsidR="009662FD" w:rsidRPr="00610A40" w:rsidRDefault="009662FD" w:rsidP="009662FD">
            <w:pPr>
              <w:spacing w:line="240" w:lineRule="auto"/>
              <w:jc w:val="left"/>
              <w:rPr>
                <w:rFonts w:cs="Times New Roman"/>
                <w:color w:val="auto"/>
                <w:szCs w:val="24"/>
                <w:lang w:eastAsia="zh-CN"/>
              </w:rPr>
            </w:pPr>
            <w:proofErr w:type="spellStart"/>
            <w:r w:rsidRPr="00610A40">
              <w:rPr>
                <w:rFonts w:cs="Times New Roman"/>
                <w:color w:val="auto"/>
                <w:szCs w:val="24"/>
                <w:lang w:eastAsia="zh-CN"/>
              </w:rPr>
              <w:t>Polyhydroxyalkanoates</w:t>
            </w:r>
            <w:proofErr w:type="spellEnd"/>
            <w:r w:rsidRPr="00610A40">
              <w:rPr>
                <w:rFonts w:cs="Times New Roman"/>
                <w:color w:val="auto"/>
                <w:szCs w:val="24"/>
                <w:lang w:eastAsia="zh-CN"/>
              </w:rPr>
              <w:t xml:space="preserve"> </w:t>
            </w:r>
          </w:p>
        </w:tc>
      </w:tr>
      <w:tr w:rsidR="009662FD" w:rsidRPr="00610A40" w14:paraId="15C1C4EA" w14:textId="77777777" w:rsidTr="009662FD">
        <w:trPr>
          <w:trHeight w:val="315"/>
        </w:trPr>
        <w:tc>
          <w:tcPr>
            <w:tcW w:w="2560" w:type="dxa"/>
            <w:tcBorders>
              <w:top w:val="nil"/>
              <w:left w:val="nil"/>
              <w:bottom w:val="nil"/>
              <w:right w:val="nil"/>
            </w:tcBorders>
            <w:noWrap/>
            <w:vAlign w:val="bottom"/>
            <w:hideMark/>
          </w:tcPr>
          <w:p w14:paraId="61DBB107"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PHB</w:t>
            </w:r>
          </w:p>
        </w:tc>
        <w:tc>
          <w:tcPr>
            <w:tcW w:w="6120" w:type="dxa"/>
            <w:tcBorders>
              <w:top w:val="nil"/>
              <w:left w:val="nil"/>
              <w:bottom w:val="nil"/>
              <w:right w:val="nil"/>
            </w:tcBorders>
            <w:noWrap/>
            <w:vAlign w:val="bottom"/>
            <w:hideMark/>
          </w:tcPr>
          <w:p w14:paraId="44233555" w14:textId="3E341C02"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(3-hydroxybutyrate)</w:t>
            </w:r>
          </w:p>
        </w:tc>
      </w:tr>
      <w:tr w:rsidR="009662FD" w:rsidRPr="00610A40" w14:paraId="64538F4C" w14:textId="77777777" w:rsidTr="009662FD">
        <w:trPr>
          <w:trHeight w:val="315"/>
        </w:trPr>
        <w:tc>
          <w:tcPr>
            <w:tcW w:w="2560" w:type="dxa"/>
            <w:tcBorders>
              <w:top w:val="nil"/>
              <w:left w:val="nil"/>
              <w:bottom w:val="nil"/>
              <w:right w:val="nil"/>
            </w:tcBorders>
            <w:noWrap/>
            <w:vAlign w:val="bottom"/>
            <w:hideMark/>
          </w:tcPr>
          <w:p w14:paraId="45ABFFFA"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PHBV</w:t>
            </w:r>
          </w:p>
        </w:tc>
        <w:tc>
          <w:tcPr>
            <w:tcW w:w="6120" w:type="dxa"/>
            <w:tcBorders>
              <w:top w:val="nil"/>
              <w:left w:val="nil"/>
              <w:bottom w:val="nil"/>
              <w:right w:val="nil"/>
            </w:tcBorders>
            <w:noWrap/>
            <w:vAlign w:val="bottom"/>
            <w:hideMark/>
          </w:tcPr>
          <w:p w14:paraId="7287F1C9" w14:textId="7808A442"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(3-hydroxybutyrate-co-3-hydroxyvalerate) </w:t>
            </w:r>
          </w:p>
        </w:tc>
      </w:tr>
      <w:tr w:rsidR="009662FD" w:rsidRPr="00610A40" w14:paraId="3E8C9C56" w14:textId="77777777" w:rsidTr="009662FD">
        <w:trPr>
          <w:trHeight w:val="315"/>
        </w:trPr>
        <w:tc>
          <w:tcPr>
            <w:tcW w:w="2560" w:type="dxa"/>
            <w:tcBorders>
              <w:top w:val="nil"/>
              <w:left w:val="nil"/>
              <w:bottom w:val="nil"/>
              <w:right w:val="nil"/>
            </w:tcBorders>
            <w:noWrap/>
            <w:vAlign w:val="bottom"/>
            <w:hideMark/>
          </w:tcPr>
          <w:p w14:paraId="74AD4A5F" w14:textId="77777777" w:rsidR="009662FD" w:rsidRPr="00610A40" w:rsidRDefault="009662FD" w:rsidP="009662FD">
            <w:pPr>
              <w:spacing w:line="240" w:lineRule="auto"/>
              <w:jc w:val="left"/>
              <w:rPr>
                <w:rFonts w:cs="Times New Roman"/>
                <w:color w:val="auto"/>
                <w:szCs w:val="24"/>
                <w:lang w:eastAsia="zh-CN"/>
              </w:rPr>
            </w:pPr>
            <w:proofErr w:type="spellStart"/>
            <w:r w:rsidRPr="00610A40">
              <w:rPr>
                <w:rFonts w:cs="Times New Roman"/>
                <w:color w:val="auto"/>
                <w:szCs w:val="24"/>
                <w:lang w:eastAsia="zh-CN"/>
              </w:rPr>
              <w:t>PHHxHO</w:t>
            </w:r>
            <w:proofErr w:type="spellEnd"/>
          </w:p>
        </w:tc>
        <w:tc>
          <w:tcPr>
            <w:tcW w:w="6120" w:type="dxa"/>
            <w:tcBorders>
              <w:top w:val="nil"/>
              <w:left w:val="nil"/>
              <w:bottom w:val="nil"/>
              <w:right w:val="nil"/>
            </w:tcBorders>
            <w:noWrap/>
            <w:vAlign w:val="bottom"/>
            <w:hideMark/>
          </w:tcPr>
          <w:p w14:paraId="370B10B4" w14:textId="3E61482B"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(3-hydroxyhexanoate-co-3-hydroxyoctanoate) </w:t>
            </w:r>
          </w:p>
        </w:tc>
      </w:tr>
      <w:tr w:rsidR="009662FD" w:rsidRPr="00610A40" w14:paraId="0CA6B11A" w14:textId="77777777" w:rsidTr="009662FD">
        <w:trPr>
          <w:trHeight w:val="315"/>
        </w:trPr>
        <w:tc>
          <w:tcPr>
            <w:tcW w:w="2560" w:type="dxa"/>
            <w:tcBorders>
              <w:top w:val="nil"/>
              <w:left w:val="nil"/>
              <w:bottom w:val="nil"/>
              <w:right w:val="nil"/>
            </w:tcBorders>
            <w:noWrap/>
            <w:vAlign w:val="bottom"/>
            <w:hideMark/>
          </w:tcPr>
          <w:p w14:paraId="33566C01"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PHN</w:t>
            </w:r>
          </w:p>
        </w:tc>
        <w:tc>
          <w:tcPr>
            <w:tcW w:w="6120" w:type="dxa"/>
            <w:tcBorders>
              <w:top w:val="nil"/>
              <w:left w:val="nil"/>
              <w:bottom w:val="nil"/>
              <w:right w:val="nil"/>
            </w:tcBorders>
            <w:noWrap/>
            <w:vAlign w:val="bottom"/>
            <w:hideMark/>
          </w:tcPr>
          <w:p w14:paraId="157A3743" w14:textId="2D0DB805"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(3-hydroxynonanoate) </w:t>
            </w:r>
          </w:p>
        </w:tc>
      </w:tr>
      <w:tr w:rsidR="009662FD" w:rsidRPr="00610A40" w14:paraId="2260DAF3" w14:textId="77777777" w:rsidTr="009662FD">
        <w:trPr>
          <w:trHeight w:val="315"/>
        </w:trPr>
        <w:tc>
          <w:tcPr>
            <w:tcW w:w="2560" w:type="dxa"/>
            <w:tcBorders>
              <w:top w:val="nil"/>
              <w:left w:val="nil"/>
              <w:bottom w:val="nil"/>
              <w:right w:val="nil"/>
            </w:tcBorders>
            <w:noWrap/>
            <w:vAlign w:val="bottom"/>
            <w:hideMark/>
          </w:tcPr>
          <w:p w14:paraId="71E4E8EA"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PHO</w:t>
            </w:r>
          </w:p>
        </w:tc>
        <w:tc>
          <w:tcPr>
            <w:tcW w:w="6120" w:type="dxa"/>
            <w:tcBorders>
              <w:top w:val="nil"/>
              <w:left w:val="nil"/>
              <w:bottom w:val="nil"/>
              <w:right w:val="nil"/>
            </w:tcBorders>
            <w:noWrap/>
            <w:vAlign w:val="bottom"/>
            <w:hideMark/>
          </w:tcPr>
          <w:p w14:paraId="75C85B3B" w14:textId="34C256AD"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(3-hydroxyoctanoate) </w:t>
            </w:r>
          </w:p>
        </w:tc>
      </w:tr>
      <w:tr w:rsidR="009662FD" w:rsidRPr="00610A40" w14:paraId="5E5F9F31" w14:textId="77777777" w:rsidTr="009662FD">
        <w:trPr>
          <w:trHeight w:val="315"/>
        </w:trPr>
        <w:tc>
          <w:tcPr>
            <w:tcW w:w="2560" w:type="dxa"/>
            <w:tcBorders>
              <w:top w:val="nil"/>
              <w:left w:val="nil"/>
              <w:bottom w:val="nil"/>
              <w:right w:val="nil"/>
            </w:tcBorders>
            <w:noWrap/>
            <w:vAlign w:val="bottom"/>
            <w:hideMark/>
          </w:tcPr>
          <w:p w14:paraId="78BC6122"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PHV</w:t>
            </w:r>
          </w:p>
        </w:tc>
        <w:tc>
          <w:tcPr>
            <w:tcW w:w="6120" w:type="dxa"/>
            <w:tcBorders>
              <w:top w:val="nil"/>
              <w:left w:val="nil"/>
              <w:bottom w:val="nil"/>
              <w:right w:val="nil"/>
            </w:tcBorders>
            <w:noWrap/>
            <w:vAlign w:val="bottom"/>
            <w:hideMark/>
          </w:tcPr>
          <w:p w14:paraId="6DE752C7" w14:textId="4A298D65"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 xml:space="preserve">(3-hydroxyvalerate) </w:t>
            </w:r>
          </w:p>
        </w:tc>
      </w:tr>
      <w:tr w:rsidR="009662FD" w:rsidRPr="00610A40" w14:paraId="35FD3346" w14:textId="77777777" w:rsidTr="009662FD">
        <w:trPr>
          <w:trHeight w:val="315"/>
        </w:trPr>
        <w:tc>
          <w:tcPr>
            <w:tcW w:w="2560" w:type="dxa"/>
            <w:tcBorders>
              <w:top w:val="nil"/>
              <w:left w:val="nil"/>
              <w:bottom w:val="nil"/>
              <w:right w:val="nil"/>
            </w:tcBorders>
            <w:noWrap/>
            <w:vAlign w:val="bottom"/>
            <w:hideMark/>
          </w:tcPr>
          <w:p w14:paraId="156B013B"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PLA</w:t>
            </w:r>
          </w:p>
        </w:tc>
        <w:tc>
          <w:tcPr>
            <w:tcW w:w="6120" w:type="dxa"/>
            <w:tcBorders>
              <w:top w:val="nil"/>
              <w:left w:val="nil"/>
              <w:bottom w:val="nil"/>
              <w:right w:val="nil"/>
            </w:tcBorders>
            <w:noWrap/>
            <w:vAlign w:val="bottom"/>
            <w:hideMark/>
          </w:tcPr>
          <w:p w14:paraId="451AF386" w14:textId="6C7EBFED" w:rsidR="009662FD" w:rsidRPr="00610A40" w:rsidRDefault="006F1C2D" w:rsidP="009662FD">
            <w:pPr>
              <w:spacing w:line="240" w:lineRule="auto"/>
              <w:jc w:val="left"/>
              <w:rPr>
                <w:rFonts w:cs="Times New Roman"/>
                <w:color w:val="auto"/>
                <w:szCs w:val="24"/>
                <w:lang w:eastAsia="zh-CN"/>
              </w:rPr>
            </w:pPr>
            <w:r w:rsidRPr="00610A40">
              <w:rPr>
                <w:rFonts w:cs="Times New Roman"/>
                <w:color w:val="auto"/>
                <w:szCs w:val="24"/>
                <w:lang w:eastAsia="zh-CN"/>
              </w:rPr>
              <w:t>Poly (</w:t>
            </w:r>
            <w:r w:rsidR="009662FD" w:rsidRPr="00610A40">
              <w:rPr>
                <w:rFonts w:cs="Times New Roman"/>
                <w:color w:val="auto"/>
                <w:szCs w:val="24"/>
                <w:lang w:eastAsia="zh-CN"/>
              </w:rPr>
              <w:t xml:space="preserve">lactic acid) </w:t>
            </w:r>
          </w:p>
        </w:tc>
      </w:tr>
      <w:tr w:rsidR="009662FD" w:rsidRPr="00610A40" w14:paraId="2B9CC91E" w14:textId="77777777" w:rsidTr="009662FD">
        <w:trPr>
          <w:trHeight w:val="315"/>
        </w:trPr>
        <w:tc>
          <w:tcPr>
            <w:tcW w:w="2560" w:type="dxa"/>
            <w:tcBorders>
              <w:top w:val="nil"/>
              <w:left w:val="nil"/>
              <w:bottom w:val="nil"/>
              <w:right w:val="nil"/>
            </w:tcBorders>
            <w:noWrap/>
            <w:vAlign w:val="bottom"/>
            <w:hideMark/>
          </w:tcPr>
          <w:p w14:paraId="4DA4C4DE"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PLCL</w:t>
            </w:r>
          </w:p>
        </w:tc>
        <w:tc>
          <w:tcPr>
            <w:tcW w:w="6120" w:type="dxa"/>
            <w:tcBorders>
              <w:top w:val="nil"/>
              <w:left w:val="nil"/>
              <w:bottom w:val="nil"/>
              <w:right w:val="nil"/>
            </w:tcBorders>
            <w:noWrap/>
            <w:vAlign w:val="bottom"/>
            <w:hideMark/>
          </w:tcPr>
          <w:p w14:paraId="45215A94" w14:textId="34C8C4DB"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Poly</w:t>
            </w:r>
            <w:r w:rsidR="006F1C2D" w:rsidRPr="00610A40">
              <w:rPr>
                <w:rFonts w:cs="Times New Roman"/>
                <w:color w:val="auto"/>
                <w:szCs w:val="24"/>
                <w:lang w:eastAsia="zh-CN"/>
              </w:rPr>
              <w:t xml:space="preserve"> </w:t>
            </w:r>
            <w:r w:rsidRPr="00610A40">
              <w:rPr>
                <w:rFonts w:cs="Times New Roman"/>
                <w:color w:val="auto"/>
                <w:szCs w:val="24"/>
                <w:lang w:eastAsia="zh-CN"/>
              </w:rPr>
              <w:t>(L-</w:t>
            </w:r>
            <w:proofErr w:type="spellStart"/>
            <w:r w:rsidRPr="00610A40">
              <w:rPr>
                <w:rFonts w:cs="Times New Roman"/>
                <w:color w:val="auto"/>
                <w:szCs w:val="24"/>
                <w:lang w:eastAsia="zh-CN"/>
              </w:rPr>
              <w:t>lactide</w:t>
            </w:r>
            <w:proofErr w:type="spellEnd"/>
            <w:r w:rsidRPr="00610A40">
              <w:rPr>
                <w:rFonts w:cs="Times New Roman"/>
                <w:color w:val="auto"/>
                <w:szCs w:val="24"/>
                <w:lang w:eastAsia="zh-CN"/>
              </w:rPr>
              <w:t>-co-ε-</w:t>
            </w:r>
            <w:proofErr w:type="spellStart"/>
            <w:r w:rsidRPr="00610A40">
              <w:rPr>
                <w:rFonts w:cs="Times New Roman"/>
                <w:color w:val="auto"/>
                <w:szCs w:val="24"/>
                <w:lang w:eastAsia="zh-CN"/>
              </w:rPr>
              <w:t>caprolactone</w:t>
            </w:r>
            <w:proofErr w:type="spellEnd"/>
            <w:r w:rsidRPr="00610A40">
              <w:rPr>
                <w:rFonts w:cs="Times New Roman"/>
                <w:color w:val="auto"/>
                <w:szCs w:val="24"/>
                <w:lang w:eastAsia="zh-CN"/>
              </w:rPr>
              <w:t xml:space="preserve">) </w:t>
            </w:r>
          </w:p>
        </w:tc>
      </w:tr>
      <w:tr w:rsidR="009662FD" w:rsidRPr="00610A40" w14:paraId="0AB3CD9B" w14:textId="77777777" w:rsidTr="009662FD">
        <w:trPr>
          <w:trHeight w:val="315"/>
        </w:trPr>
        <w:tc>
          <w:tcPr>
            <w:tcW w:w="2560" w:type="dxa"/>
            <w:tcBorders>
              <w:top w:val="nil"/>
              <w:left w:val="nil"/>
              <w:bottom w:val="nil"/>
              <w:right w:val="nil"/>
            </w:tcBorders>
            <w:noWrap/>
            <w:vAlign w:val="bottom"/>
            <w:hideMark/>
          </w:tcPr>
          <w:p w14:paraId="38DC4636"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PLGA</w:t>
            </w:r>
          </w:p>
        </w:tc>
        <w:tc>
          <w:tcPr>
            <w:tcW w:w="6120" w:type="dxa"/>
            <w:tcBorders>
              <w:top w:val="nil"/>
              <w:left w:val="nil"/>
              <w:bottom w:val="nil"/>
              <w:right w:val="nil"/>
            </w:tcBorders>
            <w:noWrap/>
            <w:vAlign w:val="bottom"/>
            <w:hideMark/>
          </w:tcPr>
          <w:p w14:paraId="757E55F0" w14:textId="5595CF19" w:rsidR="009662FD" w:rsidRPr="00610A40" w:rsidRDefault="006F1C2D" w:rsidP="009662FD">
            <w:pPr>
              <w:spacing w:line="240" w:lineRule="auto"/>
              <w:jc w:val="left"/>
              <w:rPr>
                <w:rFonts w:cs="Times New Roman"/>
                <w:color w:val="auto"/>
                <w:szCs w:val="24"/>
                <w:lang w:eastAsia="zh-CN"/>
              </w:rPr>
            </w:pPr>
            <w:r w:rsidRPr="00610A40">
              <w:rPr>
                <w:rFonts w:cs="Times New Roman"/>
                <w:color w:val="auto"/>
                <w:szCs w:val="24"/>
                <w:lang w:eastAsia="zh-CN"/>
              </w:rPr>
              <w:t>Poly (</w:t>
            </w:r>
            <w:r w:rsidR="009662FD" w:rsidRPr="00610A40">
              <w:rPr>
                <w:rFonts w:cs="Times New Roman"/>
                <w:color w:val="auto"/>
                <w:szCs w:val="24"/>
                <w:lang w:eastAsia="zh-CN"/>
              </w:rPr>
              <w:t>lactic-</w:t>
            </w:r>
            <w:r w:rsidR="009662FD" w:rsidRPr="00610A40">
              <w:rPr>
                <w:rFonts w:cs="Times New Roman"/>
                <w:i/>
                <w:iCs/>
                <w:color w:val="auto"/>
                <w:szCs w:val="24"/>
                <w:lang w:eastAsia="zh-CN"/>
              </w:rPr>
              <w:t>co</w:t>
            </w:r>
            <w:r w:rsidR="009662FD" w:rsidRPr="00610A40">
              <w:rPr>
                <w:rFonts w:cs="Times New Roman"/>
                <w:color w:val="auto"/>
                <w:szCs w:val="24"/>
                <w:lang w:eastAsia="zh-CN"/>
              </w:rPr>
              <w:t xml:space="preserve">-glycolic acid) </w:t>
            </w:r>
          </w:p>
        </w:tc>
      </w:tr>
      <w:tr w:rsidR="009662FD" w:rsidRPr="00610A40" w14:paraId="2A83E23F" w14:textId="77777777" w:rsidTr="009662FD">
        <w:trPr>
          <w:trHeight w:val="315"/>
        </w:trPr>
        <w:tc>
          <w:tcPr>
            <w:tcW w:w="2560" w:type="dxa"/>
            <w:tcBorders>
              <w:top w:val="nil"/>
              <w:left w:val="nil"/>
              <w:bottom w:val="nil"/>
              <w:right w:val="nil"/>
            </w:tcBorders>
            <w:noWrap/>
            <w:vAlign w:val="bottom"/>
            <w:hideMark/>
          </w:tcPr>
          <w:p w14:paraId="2EE358B3"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PLLA</w:t>
            </w:r>
          </w:p>
        </w:tc>
        <w:tc>
          <w:tcPr>
            <w:tcW w:w="6120" w:type="dxa"/>
            <w:tcBorders>
              <w:top w:val="nil"/>
              <w:left w:val="nil"/>
              <w:bottom w:val="nil"/>
              <w:right w:val="nil"/>
            </w:tcBorders>
            <w:noWrap/>
            <w:vAlign w:val="bottom"/>
            <w:hideMark/>
          </w:tcPr>
          <w:p w14:paraId="62CE9701" w14:textId="6F36D06A" w:rsidR="009662FD" w:rsidRPr="00610A40" w:rsidRDefault="006F1C2D" w:rsidP="009662FD">
            <w:pPr>
              <w:spacing w:line="240" w:lineRule="auto"/>
              <w:jc w:val="left"/>
              <w:rPr>
                <w:rFonts w:cs="Times New Roman"/>
                <w:color w:val="auto"/>
                <w:szCs w:val="24"/>
                <w:lang w:eastAsia="zh-CN"/>
              </w:rPr>
            </w:pPr>
            <w:r w:rsidRPr="00610A40">
              <w:rPr>
                <w:rFonts w:cs="Times New Roman"/>
                <w:color w:val="auto"/>
                <w:szCs w:val="24"/>
                <w:lang w:eastAsia="zh-CN"/>
              </w:rPr>
              <w:t>Poly (</w:t>
            </w:r>
            <w:r w:rsidR="009662FD" w:rsidRPr="00610A40">
              <w:rPr>
                <w:rFonts w:cs="Times New Roman"/>
                <w:color w:val="auto"/>
                <w:szCs w:val="24"/>
                <w:lang w:eastAsia="zh-CN"/>
              </w:rPr>
              <w:t xml:space="preserve">L-lactic acid) </w:t>
            </w:r>
          </w:p>
        </w:tc>
      </w:tr>
      <w:tr w:rsidR="009662FD" w:rsidRPr="00610A40" w14:paraId="7FE296AC" w14:textId="77777777" w:rsidTr="009662FD">
        <w:trPr>
          <w:trHeight w:val="315"/>
        </w:trPr>
        <w:tc>
          <w:tcPr>
            <w:tcW w:w="2560" w:type="dxa"/>
            <w:tcBorders>
              <w:top w:val="nil"/>
              <w:left w:val="nil"/>
              <w:bottom w:val="nil"/>
              <w:right w:val="nil"/>
            </w:tcBorders>
            <w:noWrap/>
            <w:vAlign w:val="bottom"/>
            <w:hideMark/>
          </w:tcPr>
          <w:p w14:paraId="208B5F68"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POC</w:t>
            </w:r>
          </w:p>
        </w:tc>
        <w:tc>
          <w:tcPr>
            <w:tcW w:w="6120" w:type="dxa"/>
            <w:tcBorders>
              <w:top w:val="nil"/>
              <w:left w:val="nil"/>
              <w:bottom w:val="nil"/>
              <w:right w:val="nil"/>
            </w:tcBorders>
            <w:noWrap/>
            <w:vAlign w:val="bottom"/>
            <w:hideMark/>
          </w:tcPr>
          <w:p w14:paraId="1DD7EE6D" w14:textId="35FCB6C3" w:rsidR="009662FD" w:rsidRPr="00610A40" w:rsidRDefault="006F1C2D" w:rsidP="009662FD">
            <w:pPr>
              <w:spacing w:line="240" w:lineRule="auto"/>
              <w:jc w:val="left"/>
              <w:rPr>
                <w:rFonts w:cs="Times New Roman"/>
                <w:color w:val="auto"/>
                <w:szCs w:val="24"/>
                <w:lang w:eastAsia="zh-CN"/>
              </w:rPr>
            </w:pPr>
            <w:r w:rsidRPr="00610A40">
              <w:rPr>
                <w:rFonts w:cs="Times New Roman"/>
                <w:color w:val="auto"/>
                <w:szCs w:val="24"/>
                <w:lang w:eastAsia="zh-CN"/>
              </w:rPr>
              <w:t>Poly (1,8-o</w:t>
            </w:r>
            <w:r w:rsidR="009662FD" w:rsidRPr="00610A40">
              <w:rPr>
                <w:rFonts w:cs="Times New Roman"/>
                <w:color w:val="auto"/>
                <w:szCs w:val="24"/>
                <w:lang w:eastAsia="zh-CN"/>
              </w:rPr>
              <w:t xml:space="preserve">ctanediol) </w:t>
            </w:r>
          </w:p>
        </w:tc>
      </w:tr>
      <w:tr w:rsidR="009662FD" w:rsidRPr="00610A40" w14:paraId="78731EB6" w14:textId="77777777" w:rsidTr="009662FD">
        <w:trPr>
          <w:trHeight w:val="315"/>
        </w:trPr>
        <w:tc>
          <w:tcPr>
            <w:tcW w:w="2560" w:type="dxa"/>
            <w:tcBorders>
              <w:top w:val="nil"/>
              <w:left w:val="nil"/>
              <w:bottom w:val="nil"/>
              <w:right w:val="nil"/>
            </w:tcBorders>
            <w:noWrap/>
            <w:vAlign w:val="bottom"/>
            <w:hideMark/>
          </w:tcPr>
          <w:p w14:paraId="32BB44D6" w14:textId="77777777" w:rsidR="009662FD" w:rsidRPr="00610A40" w:rsidRDefault="009662FD" w:rsidP="009662FD">
            <w:pPr>
              <w:spacing w:line="240" w:lineRule="auto"/>
              <w:jc w:val="left"/>
              <w:rPr>
                <w:rFonts w:cs="Times New Roman"/>
                <w:color w:val="auto"/>
                <w:szCs w:val="24"/>
                <w:lang w:eastAsia="zh-CN"/>
              </w:rPr>
            </w:pPr>
            <w:proofErr w:type="spellStart"/>
            <w:r w:rsidRPr="00610A40">
              <w:rPr>
                <w:rFonts w:cs="Times New Roman"/>
                <w:color w:val="auto"/>
                <w:szCs w:val="24"/>
                <w:lang w:eastAsia="zh-CN"/>
              </w:rPr>
              <w:t>POMaC</w:t>
            </w:r>
            <w:proofErr w:type="spellEnd"/>
          </w:p>
        </w:tc>
        <w:tc>
          <w:tcPr>
            <w:tcW w:w="6120" w:type="dxa"/>
            <w:tcBorders>
              <w:top w:val="nil"/>
              <w:left w:val="nil"/>
              <w:bottom w:val="nil"/>
              <w:right w:val="nil"/>
            </w:tcBorders>
            <w:noWrap/>
            <w:vAlign w:val="bottom"/>
            <w:hideMark/>
          </w:tcPr>
          <w:p w14:paraId="554CA56D" w14:textId="3AFC231E" w:rsidR="009662FD" w:rsidRPr="00610A40" w:rsidRDefault="006F1C2D" w:rsidP="009662FD">
            <w:pPr>
              <w:spacing w:line="240" w:lineRule="auto"/>
              <w:jc w:val="left"/>
              <w:rPr>
                <w:rFonts w:cs="Times New Roman"/>
                <w:color w:val="auto"/>
                <w:szCs w:val="24"/>
                <w:lang w:eastAsia="zh-CN"/>
              </w:rPr>
            </w:pPr>
            <w:r w:rsidRPr="00610A40">
              <w:rPr>
                <w:rFonts w:cs="Times New Roman"/>
                <w:color w:val="auto"/>
                <w:szCs w:val="24"/>
                <w:lang w:eastAsia="zh-CN"/>
              </w:rPr>
              <w:t>Poly (</w:t>
            </w:r>
            <w:proofErr w:type="spellStart"/>
            <w:r w:rsidR="009662FD" w:rsidRPr="00610A40">
              <w:rPr>
                <w:rFonts w:cs="Times New Roman"/>
                <w:color w:val="auto"/>
                <w:szCs w:val="24"/>
                <w:lang w:eastAsia="zh-CN"/>
              </w:rPr>
              <w:t>ocatamethylene</w:t>
            </w:r>
            <w:proofErr w:type="spellEnd"/>
            <w:r w:rsidR="009662FD" w:rsidRPr="00610A40">
              <w:rPr>
                <w:rFonts w:cs="Times New Roman"/>
                <w:color w:val="auto"/>
                <w:szCs w:val="24"/>
                <w:lang w:eastAsia="zh-CN"/>
              </w:rPr>
              <w:t xml:space="preserve"> maleate(</w:t>
            </w:r>
            <w:proofErr w:type="spellStart"/>
            <w:r w:rsidR="009662FD" w:rsidRPr="00610A40">
              <w:rPr>
                <w:rFonts w:cs="Times New Roman"/>
                <w:color w:val="auto"/>
                <w:szCs w:val="24"/>
                <w:lang w:eastAsia="zh-CN"/>
              </w:rPr>
              <w:t>anyhydride</w:t>
            </w:r>
            <w:proofErr w:type="spellEnd"/>
            <w:r w:rsidR="009662FD" w:rsidRPr="00610A40">
              <w:rPr>
                <w:rFonts w:cs="Times New Roman"/>
                <w:color w:val="auto"/>
                <w:szCs w:val="24"/>
                <w:lang w:eastAsia="zh-CN"/>
              </w:rPr>
              <w:t xml:space="preserve">)citrate) </w:t>
            </w:r>
          </w:p>
        </w:tc>
      </w:tr>
      <w:tr w:rsidR="009662FD" w:rsidRPr="00610A40" w14:paraId="523C0912" w14:textId="77777777" w:rsidTr="009662FD">
        <w:trPr>
          <w:trHeight w:val="315"/>
        </w:trPr>
        <w:tc>
          <w:tcPr>
            <w:tcW w:w="2560" w:type="dxa"/>
            <w:tcBorders>
              <w:top w:val="nil"/>
              <w:left w:val="nil"/>
              <w:bottom w:val="nil"/>
              <w:right w:val="nil"/>
            </w:tcBorders>
            <w:noWrap/>
            <w:vAlign w:val="bottom"/>
            <w:hideMark/>
          </w:tcPr>
          <w:p w14:paraId="736E1D55"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lastRenderedPageBreak/>
              <w:t>PPF</w:t>
            </w:r>
          </w:p>
        </w:tc>
        <w:tc>
          <w:tcPr>
            <w:tcW w:w="6120" w:type="dxa"/>
            <w:tcBorders>
              <w:top w:val="nil"/>
              <w:left w:val="nil"/>
              <w:bottom w:val="nil"/>
              <w:right w:val="nil"/>
            </w:tcBorders>
            <w:noWrap/>
            <w:vAlign w:val="bottom"/>
            <w:hideMark/>
          </w:tcPr>
          <w:p w14:paraId="62683166" w14:textId="75DC0C4A" w:rsidR="009662FD" w:rsidRPr="00610A40" w:rsidRDefault="006F1C2D" w:rsidP="009662FD">
            <w:pPr>
              <w:spacing w:line="240" w:lineRule="auto"/>
              <w:jc w:val="left"/>
              <w:rPr>
                <w:rFonts w:cs="Times New Roman"/>
                <w:color w:val="auto"/>
                <w:szCs w:val="24"/>
                <w:lang w:eastAsia="zh-CN"/>
              </w:rPr>
            </w:pPr>
            <w:r w:rsidRPr="00610A40">
              <w:rPr>
                <w:rFonts w:cs="Times New Roman"/>
                <w:color w:val="auto"/>
                <w:szCs w:val="24"/>
                <w:lang w:eastAsia="zh-CN"/>
              </w:rPr>
              <w:t>Poly (</w:t>
            </w:r>
            <w:r w:rsidR="009662FD" w:rsidRPr="00610A40">
              <w:rPr>
                <w:rFonts w:cs="Times New Roman"/>
                <w:color w:val="auto"/>
                <w:szCs w:val="24"/>
                <w:lang w:eastAsia="zh-CN"/>
              </w:rPr>
              <w:t xml:space="preserve">propylene </w:t>
            </w:r>
            <w:proofErr w:type="spellStart"/>
            <w:r w:rsidR="009662FD" w:rsidRPr="00610A40">
              <w:rPr>
                <w:rFonts w:cs="Times New Roman"/>
                <w:color w:val="auto"/>
                <w:szCs w:val="24"/>
                <w:lang w:eastAsia="zh-CN"/>
              </w:rPr>
              <w:t>fumarate</w:t>
            </w:r>
            <w:proofErr w:type="spellEnd"/>
            <w:r w:rsidR="009662FD" w:rsidRPr="00610A40">
              <w:rPr>
                <w:rFonts w:cs="Times New Roman"/>
                <w:color w:val="auto"/>
                <w:szCs w:val="24"/>
                <w:lang w:eastAsia="zh-CN"/>
              </w:rPr>
              <w:t xml:space="preserve">) </w:t>
            </w:r>
          </w:p>
        </w:tc>
      </w:tr>
      <w:tr w:rsidR="009662FD" w:rsidRPr="00610A40" w14:paraId="0EAC1735" w14:textId="77777777" w:rsidTr="009662FD">
        <w:trPr>
          <w:trHeight w:val="315"/>
        </w:trPr>
        <w:tc>
          <w:tcPr>
            <w:tcW w:w="2560" w:type="dxa"/>
            <w:tcBorders>
              <w:top w:val="nil"/>
              <w:left w:val="nil"/>
              <w:bottom w:val="nil"/>
              <w:right w:val="nil"/>
            </w:tcBorders>
            <w:noWrap/>
            <w:vAlign w:val="bottom"/>
            <w:hideMark/>
          </w:tcPr>
          <w:p w14:paraId="6434CA68"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PTMC</w:t>
            </w:r>
          </w:p>
        </w:tc>
        <w:tc>
          <w:tcPr>
            <w:tcW w:w="6120" w:type="dxa"/>
            <w:tcBorders>
              <w:top w:val="nil"/>
              <w:left w:val="nil"/>
              <w:bottom w:val="nil"/>
              <w:right w:val="nil"/>
            </w:tcBorders>
            <w:noWrap/>
            <w:vAlign w:val="bottom"/>
            <w:hideMark/>
          </w:tcPr>
          <w:p w14:paraId="5845F3F0" w14:textId="15D05D49" w:rsidR="009662FD" w:rsidRPr="00610A40" w:rsidRDefault="006F1C2D" w:rsidP="009662FD">
            <w:pPr>
              <w:spacing w:line="240" w:lineRule="auto"/>
              <w:jc w:val="left"/>
              <w:rPr>
                <w:rFonts w:cs="Times New Roman"/>
                <w:color w:val="auto"/>
                <w:szCs w:val="24"/>
                <w:lang w:eastAsia="zh-CN"/>
              </w:rPr>
            </w:pPr>
            <w:r w:rsidRPr="00610A40">
              <w:rPr>
                <w:rFonts w:cs="Times New Roman"/>
                <w:color w:val="auto"/>
                <w:szCs w:val="24"/>
                <w:lang w:eastAsia="zh-CN"/>
              </w:rPr>
              <w:t>Poly (</w:t>
            </w:r>
            <w:proofErr w:type="spellStart"/>
            <w:r w:rsidR="009662FD" w:rsidRPr="00610A40">
              <w:rPr>
                <w:rFonts w:cs="Times New Roman"/>
                <w:color w:val="auto"/>
                <w:szCs w:val="24"/>
                <w:lang w:eastAsia="zh-CN"/>
              </w:rPr>
              <w:t>trimethylene</w:t>
            </w:r>
            <w:proofErr w:type="spellEnd"/>
            <w:r w:rsidR="009662FD" w:rsidRPr="00610A40">
              <w:rPr>
                <w:rFonts w:cs="Times New Roman"/>
                <w:color w:val="auto"/>
                <w:szCs w:val="24"/>
                <w:lang w:eastAsia="zh-CN"/>
              </w:rPr>
              <w:t xml:space="preserve"> carbonate) </w:t>
            </w:r>
          </w:p>
        </w:tc>
      </w:tr>
      <w:tr w:rsidR="009662FD" w:rsidRPr="00610A40" w14:paraId="0FCCB9A9" w14:textId="77777777" w:rsidTr="009662FD">
        <w:trPr>
          <w:trHeight w:val="315"/>
        </w:trPr>
        <w:tc>
          <w:tcPr>
            <w:tcW w:w="2560" w:type="dxa"/>
            <w:tcBorders>
              <w:top w:val="nil"/>
              <w:left w:val="nil"/>
              <w:bottom w:val="nil"/>
              <w:right w:val="nil"/>
            </w:tcBorders>
            <w:noWrap/>
            <w:vAlign w:val="bottom"/>
            <w:hideMark/>
          </w:tcPr>
          <w:p w14:paraId="7B02F7A2"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ROP</w:t>
            </w:r>
          </w:p>
        </w:tc>
        <w:tc>
          <w:tcPr>
            <w:tcW w:w="6120" w:type="dxa"/>
            <w:tcBorders>
              <w:top w:val="nil"/>
              <w:left w:val="nil"/>
              <w:bottom w:val="nil"/>
              <w:right w:val="nil"/>
            </w:tcBorders>
            <w:noWrap/>
            <w:vAlign w:val="bottom"/>
            <w:hideMark/>
          </w:tcPr>
          <w:p w14:paraId="3BE30893"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Ring opening polymerization</w:t>
            </w:r>
          </w:p>
        </w:tc>
      </w:tr>
      <w:tr w:rsidR="009662FD" w:rsidRPr="00610A40" w14:paraId="3A7E6FA3" w14:textId="77777777" w:rsidTr="009662FD">
        <w:trPr>
          <w:trHeight w:val="315"/>
        </w:trPr>
        <w:tc>
          <w:tcPr>
            <w:tcW w:w="2560" w:type="dxa"/>
            <w:tcBorders>
              <w:top w:val="nil"/>
              <w:left w:val="nil"/>
              <w:bottom w:val="nil"/>
              <w:right w:val="nil"/>
            </w:tcBorders>
            <w:noWrap/>
            <w:vAlign w:val="bottom"/>
            <w:hideMark/>
          </w:tcPr>
          <w:p w14:paraId="3BFB3C18"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SCL-PHAs</w:t>
            </w:r>
          </w:p>
        </w:tc>
        <w:tc>
          <w:tcPr>
            <w:tcW w:w="6120" w:type="dxa"/>
            <w:tcBorders>
              <w:top w:val="nil"/>
              <w:left w:val="nil"/>
              <w:bottom w:val="nil"/>
              <w:right w:val="nil"/>
            </w:tcBorders>
            <w:noWrap/>
            <w:vAlign w:val="bottom"/>
            <w:hideMark/>
          </w:tcPr>
          <w:p w14:paraId="303D4B4C"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 xml:space="preserve">Short-chain-length </w:t>
            </w:r>
            <w:proofErr w:type="spellStart"/>
            <w:r w:rsidRPr="00610A40">
              <w:rPr>
                <w:rFonts w:cs="Times New Roman"/>
                <w:color w:val="auto"/>
                <w:szCs w:val="24"/>
                <w:lang w:eastAsia="zh-CN"/>
              </w:rPr>
              <w:t>polyhydroxyalkanoates</w:t>
            </w:r>
            <w:proofErr w:type="spellEnd"/>
          </w:p>
        </w:tc>
      </w:tr>
      <w:tr w:rsidR="009662FD" w:rsidRPr="00610A40" w14:paraId="0EAEEF2D" w14:textId="77777777" w:rsidTr="009662FD">
        <w:trPr>
          <w:trHeight w:val="315"/>
        </w:trPr>
        <w:tc>
          <w:tcPr>
            <w:tcW w:w="2560" w:type="dxa"/>
            <w:tcBorders>
              <w:top w:val="nil"/>
              <w:left w:val="nil"/>
              <w:bottom w:val="nil"/>
              <w:right w:val="nil"/>
            </w:tcBorders>
            <w:noWrap/>
            <w:vAlign w:val="bottom"/>
            <w:hideMark/>
          </w:tcPr>
          <w:p w14:paraId="1F8D8F91" w14:textId="77777777" w:rsidR="009662FD" w:rsidRPr="00610A40" w:rsidRDefault="009662FD" w:rsidP="009662FD">
            <w:pPr>
              <w:spacing w:line="240" w:lineRule="auto"/>
              <w:jc w:val="left"/>
              <w:rPr>
                <w:rFonts w:cs="Times New Roman"/>
                <w:color w:val="auto"/>
                <w:szCs w:val="24"/>
                <w:lang w:eastAsia="zh-CN"/>
              </w:rPr>
            </w:pPr>
            <w:proofErr w:type="spellStart"/>
            <w:r w:rsidRPr="00610A40">
              <w:rPr>
                <w:rFonts w:cs="Times New Roman"/>
                <w:color w:val="auto"/>
                <w:szCs w:val="24"/>
                <w:lang w:eastAsia="zh-CN"/>
              </w:rPr>
              <w:t>Sn</w:t>
            </w:r>
            <w:proofErr w:type="spellEnd"/>
            <w:r w:rsidRPr="00610A40">
              <w:rPr>
                <w:rFonts w:cs="Times New Roman"/>
                <w:color w:val="auto"/>
                <w:szCs w:val="24"/>
                <w:lang w:eastAsia="zh-CN"/>
              </w:rPr>
              <w:t>(Oct)2</w:t>
            </w:r>
          </w:p>
        </w:tc>
        <w:tc>
          <w:tcPr>
            <w:tcW w:w="6120" w:type="dxa"/>
            <w:tcBorders>
              <w:top w:val="nil"/>
              <w:left w:val="nil"/>
              <w:bottom w:val="nil"/>
              <w:right w:val="nil"/>
            </w:tcBorders>
            <w:noWrap/>
            <w:vAlign w:val="bottom"/>
            <w:hideMark/>
          </w:tcPr>
          <w:p w14:paraId="14C96EDE" w14:textId="77777777" w:rsidR="009662FD" w:rsidRPr="00610A40" w:rsidRDefault="009662FD" w:rsidP="009662FD">
            <w:pPr>
              <w:spacing w:line="240" w:lineRule="auto"/>
              <w:jc w:val="left"/>
              <w:rPr>
                <w:rFonts w:cs="Times New Roman"/>
                <w:color w:val="auto"/>
                <w:szCs w:val="24"/>
                <w:lang w:eastAsia="zh-CN"/>
              </w:rPr>
            </w:pPr>
            <w:r w:rsidRPr="00610A40">
              <w:rPr>
                <w:rFonts w:cs="Times New Roman"/>
                <w:color w:val="auto"/>
                <w:szCs w:val="24"/>
                <w:lang w:eastAsia="zh-CN"/>
              </w:rPr>
              <w:t xml:space="preserve">Stannous(II) </w:t>
            </w:r>
            <w:proofErr w:type="spellStart"/>
            <w:r w:rsidRPr="00610A40">
              <w:rPr>
                <w:rFonts w:cs="Times New Roman"/>
                <w:color w:val="auto"/>
                <w:szCs w:val="24"/>
                <w:lang w:eastAsia="zh-CN"/>
              </w:rPr>
              <w:t>octoate</w:t>
            </w:r>
            <w:proofErr w:type="spellEnd"/>
          </w:p>
        </w:tc>
      </w:tr>
    </w:tbl>
    <w:p w14:paraId="036E947D" w14:textId="08934786" w:rsidR="009662FD" w:rsidRPr="00610A40" w:rsidRDefault="009662FD" w:rsidP="00E26873">
      <w:pPr>
        <w:rPr>
          <w:color w:val="auto"/>
          <w:szCs w:val="24"/>
        </w:rPr>
      </w:pPr>
    </w:p>
    <w:p w14:paraId="152B91F6" w14:textId="77777777" w:rsidR="009662FD" w:rsidRPr="00610A40" w:rsidRDefault="009662FD">
      <w:pPr>
        <w:spacing w:after="200" w:line="276" w:lineRule="auto"/>
        <w:jc w:val="left"/>
        <w:rPr>
          <w:color w:val="auto"/>
          <w:szCs w:val="24"/>
        </w:rPr>
      </w:pPr>
      <w:r w:rsidRPr="00610A40">
        <w:rPr>
          <w:color w:val="auto"/>
          <w:szCs w:val="24"/>
        </w:rPr>
        <w:br w:type="page"/>
      </w:r>
    </w:p>
    <w:p w14:paraId="57F454F4" w14:textId="2AECC5F0" w:rsidR="007577EE" w:rsidRPr="00610A40" w:rsidRDefault="00A21430" w:rsidP="00BF3DC6">
      <w:pPr>
        <w:pStyle w:val="Heading1"/>
        <w:contextualSpacing/>
      </w:pPr>
      <w:r w:rsidRPr="00610A40">
        <w:lastRenderedPageBreak/>
        <w:t>References</w:t>
      </w:r>
    </w:p>
    <w:p w14:paraId="1683787F" w14:textId="7105BF55" w:rsidR="00565E2A" w:rsidRPr="00610A40" w:rsidRDefault="005306DA">
      <w:pPr>
        <w:pStyle w:val="NormalWeb"/>
        <w:ind w:left="640" w:hanging="640"/>
        <w:divId w:val="700402019"/>
        <w:rPr>
          <w:rFonts w:eastAsiaTheme="minorEastAsia"/>
          <w:noProof/>
        </w:rPr>
      </w:pPr>
      <w:r w:rsidRPr="00610A40">
        <w:rPr>
          <w:rFonts w:eastAsiaTheme="minorEastAsia"/>
          <w:color w:val="auto"/>
        </w:rPr>
        <w:fldChar w:fldCharType="begin" w:fldLock="1"/>
      </w:r>
      <w:r w:rsidR="00C17A42" w:rsidRPr="00610A40">
        <w:rPr>
          <w:color w:val="auto"/>
        </w:rPr>
        <w:instrText xml:space="preserve">ADDIN Mendeley Bibliography CSL_BIBLIOGRAPHY </w:instrText>
      </w:r>
      <w:r w:rsidRPr="00610A40">
        <w:rPr>
          <w:rFonts w:eastAsiaTheme="minorEastAsia"/>
          <w:color w:val="auto"/>
        </w:rPr>
        <w:fldChar w:fldCharType="separate"/>
      </w:r>
      <w:r w:rsidR="00565E2A" w:rsidRPr="00610A40">
        <w:rPr>
          <w:noProof/>
        </w:rPr>
        <w:t xml:space="preserve">(1) </w:t>
      </w:r>
      <w:r w:rsidR="00565E2A" w:rsidRPr="00610A40">
        <w:rPr>
          <w:noProof/>
        </w:rPr>
        <w:tab/>
        <w:t xml:space="preserve">Chen, Q.; Liang, S.; Thouas, G. A. “Elastomeric Biomaterials for Tissue Engineering.” Prog. Polym. Sci. 2013, </w:t>
      </w:r>
      <w:r w:rsidR="00565E2A" w:rsidRPr="00610A40">
        <w:rPr>
          <w:i/>
          <w:iCs/>
          <w:noProof/>
        </w:rPr>
        <w:t>38</w:t>
      </w:r>
      <w:r w:rsidR="00565E2A" w:rsidRPr="00610A40">
        <w:rPr>
          <w:noProof/>
        </w:rPr>
        <w:t>, 584–671.</w:t>
      </w:r>
    </w:p>
    <w:p w14:paraId="4CB2569C" w14:textId="77777777" w:rsidR="00565E2A" w:rsidRPr="00610A40" w:rsidRDefault="00565E2A">
      <w:pPr>
        <w:pStyle w:val="NormalWeb"/>
        <w:ind w:left="640" w:hanging="640"/>
        <w:divId w:val="700402019"/>
        <w:rPr>
          <w:noProof/>
        </w:rPr>
      </w:pPr>
      <w:r w:rsidRPr="00610A40">
        <w:rPr>
          <w:noProof/>
        </w:rPr>
        <w:t xml:space="preserve">(2) </w:t>
      </w:r>
      <w:r w:rsidRPr="00610A40">
        <w:rPr>
          <w:noProof/>
        </w:rPr>
        <w:tab/>
        <w:t xml:space="preserve">Manavitehrani, I.; Fathi, A.; Badr, H.; Daly, S.; Shirazi, A. N.; Dehghani, F. “Biomedical Applications of Biodegradable Polymers.” Polymers (Basel). 2016, </w:t>
      </w:r>
      <w:r w:rsidRPr="00610A40">
        <w:rPr>
          <w:i/>
          <w:iCs/>
          <w:noProof/>
        </w:rPr>
        <w:t>8</w:t>
      </w:r>
      <w:r w:rsidRPr="00610A40">
        <w:rPr>
          <w:noProof/>
        </w:rPr>
        <w:t>, 1–32.</w:t>
      </w:r>
    </w:p>
    <w:p w14:paraId="70B17A88" w14:textId="77777777" w:rsidR="00565E2A" w:rsidRPr="00610A40" w:rsidRDefault="00565E2A">
      <w:pPr>
        <w:pStyle w:val="NormalWeb"/>
        <w:ind w:left="640" w:hanging="640"/>
        <w:divId w:val="700402019"/>
        <w:rPr>
          <w:noProof/>
        </w:rPr>
      </w:pPr>
      <w:r w:rsidRPr="00610A40">
        <w:rPr>
          <w:noProof/>
        </w:rPr>
        <w:t xml:space="preserve">(3) </w:t>
      </w:r>
      <w:r w:rsidRPr="00610A40">
        <w:rPr>
          <w:noProof/>
        </w:rPr>
        <w:tab/>
        <w:t xml:space="preserve">Serrano, M. C.; Chung, E. J.; Ameer, G. a. “Advances and Applications of Biodegradable Elastomers in Regenerative Medicine.” Adv. Funct. Mater. 2010, </w:t>
      </w:r>
      <w:r w:rsidRPr="00610A40">
        <w:rPr>
          <w:i/>
          <w:iCs/>
          <w:noProof/>
        </w:rPr>
        <w:t>20</w:t>
      </w:r>
      <w:r w:rsidRPr="00610A40">
        <w:rPr>
          <w:noProof/>
        </w:rPr>
        <w:t>, 192–208.</w:t>
      </w:r>
    </w:p>
    <w:p w14:paraId="63B6A7C5" w14:textId="77777777" w:rsidR="00565E2A" w:rsidRPr="00610A40" w:rsidRDefault="00565E2A">
      <w:pPr>
        <w:pStyle w:val="NormalWeb"/>
        <w:ind w:left="640" w:hanging="640"/>
        <w:divId w:val="700402019"/>
        <w:rPr>
          <w:noProof/>
        </w:rPr>
      </w:pPr>
      <w:r w:rsidRPr="00610A40">
        <w:rPr>
          <w:noProof/>
        </w:rPr>
        <w:t xml:space="preserve">(4) </w:t>
      </w:r>
      <w:r w:rsidRPr="00610A40">
        <w:rPr>
          <w:noProof/>
        </w:rPr>
        <w:tab/>
        <w:t xml:space="preserve">Webb, A. R.; Yang, J.; Ameer, G. a. “Biodegradable Polyester Elastomers in Tissue Engineering.” Expert Opin. Biol. Ther. 2004, </w:t>
      </w:r>
      <w:r w:rsidRPr="00610A40">
        <w:rPr>
          <w:i/>
          <w:iCs/>
          <w:noProof/>
        </w:rPr>
        <w:t>4</w:t>
      </w:r>
      <w:r w:rsidRPr="00610A40">
        <w:rPr>
          <w:noProof/>
        </w:rPr>
        <w:t>, 801–812.</w:t>
      </w:r>
    </w:p>
    <w:p w14:paraId="714F0DD9" w14:textId="77777777" w:rsidR="00565E2A" w:rsidRPr="00610A40" w:rsidRDefault="00565E2A">
      <w:pPr>
        <w:pStyle w:val="NormalWeb"/>
        <w:ind w:left="640" w:hanging="640"/>
        <w:divId w:val="700402019"/>
        <w:rPr>
          <w:noProof/>
        </w:rPr>
      </w:pPr>
      <w:r w:rsidRPr="00610A40">
        <w:rPr>
          <w:noProof/>
        </w:rPr>
        <w:t xml:space="preserve">(5) </w:t>
      </w:r>
      <w:r w:rsidRPr="00610A40">
        <w:rPr>
          <w:noProof/>
        </w:rPr>
        <w:tab/>
        <w:t xml:space="preserve">Bat, E.; Zhang, Z.; Feijen, J.; Grijpma, D. W.; Poot, A. A. “Biodegradable Elastomers for Biomedical Applications and Regenerative Medicine.” Regen. Med. 2014, </w:t>
      </w:r>
      <w:r w:rsidRPr="00610A40">
        <w:rPr>
          <w:i/>
          <w:iCs/>
          <w:noProof/>
        </w:rPr>
        <w:t>9</w:t>
      </w:r>
      <w:r w:rsidRPr="00610A40">
        <w:rPr>
          <w:noProof/>
        </w:rPr>
        <w:t>, 385–398.</w:t>
      </w:r>
    </w:p>
    <w:p w14:paraId="00D34382" w14:textId="77777777" w:rsidR="00565E2A" w:rsidRPr="00610A40" w:rsidRDefault="00565E2A">
      <w:pPr>
        <w:pStyle w:val="NormalWeb"/>
        <w:ind w:left="640" w:hanging="640"/>
        <w:divId w:val="700402019"/>
        <w:rPr>
          <w:noProof/>
        </w:rPr>
      </w:pPr>
      <w:r w:rsidRPr="00610A40">
        <w:rPr>
          <w:noProof/>
        </w:rPr>
        <w:t xml:space="preserve">(6) </w:t>
      </w:r>
      <w:r w:rsidRPr="00610A40">
        <w:rPr>
          <w:noProof/>
        </w:rPr>
        <w:tab/>
        <w:t>Gajjar, C. R.; King, M. W. “Degradation Process.” Resorbable Fiber-Forming Polym. Biotextile Appl. 2014, 7–10.</w:t>
      </w:r>
    </w:p>
    <w:p w14:paraId="43D18780" w14:textId="77777777" w:rsidR="00565E2A" w:rsidRPr="00610A40" w:rsidRDefault="00565E2A">
      <w:pPr>
        <w:pStyle w:val="NormalWeb"/>
        <w:ind w:left="640" w:hanging="640"/>
        <w:divId w:val="700402019"/>
        <w:rPr>
          <w:noProof/>
        </w:rPr>
      </w:pPr>
      <w:r w:rsidRPr="00610A40">
        <w:rPr>
          <w:noProof/>
        </w:rPr>
        <w:t xml:space="preserve">(7) </w:t>
      </w:r>
      <w:r w:rsidRPr="00610A40">
        <w:rPr>
          <w:noProof/>
        </w:rPr>
        <w:tab/>
        <w:t xml:space="preserve">Robert A. Shanks; Kong, I. </w:t>
      </w:r>
      <w:r w:rsidRPr="00610A40">
        <w:rPr>
          <w:i/>
          <w:iCs/>
          <w:noProof/>
        </w:rPr>
        <w:t>General Purpose Elastomers: Structure, Chemistry, Physics and Performance</w:t>
      </w:r>
      <w:r w:rsidRPr="00610A40">
        <w:rPr>
          <w:noProof/>
        </w:rPr>
        <w:t>; 2013; Vol. 11.</w:t>
      </w:r>
    </w:p>
    <w:p w14:paraId="584818F5" w14:textId="77777777" w:rsidR="00565E2A" w:rsidRPr="00610A40" w:rsidRDefault="00565E2A">
      <w:pPr>
        <w:pStyle w:val="NormalWeb"/>
        <w:ind w:left="640" w:hanging="640"/>
        <w:divId w:val="700402019"/>
        <w:rPr>
          <w:noProof/>
        </w:rPr>
      </w:pPr>
      <w:r w:rsidRPr="00610A40">
        <w:rPr>
          <w:noProof/>
        </w:rPr>
        <w:t xml:space="preserve">(8) </w:t>
      </w:r>
      <w:r w:rsidRPr="00610A40">
        <w:rPr>
          <w:noProof/>
        </w:rPr>
        <w:tab/>
        <w:t xml:space="preserve">De, S. K. </w:t>
      </w:r>
      <w:r w:rsidRPr="00610A40">
        <w:rPr>
          <w:i/>
          <w:iCs/>
          <w:noProof/>
        </w:rPr>
        <w:t>Rubber Technologist’s Handbook</w:t>
      </w:r>
      <w:r w:rsidRPr="00610A40">
        <w:rPr>
          <w:noProof/>
        </w:rPr>
        <w:t>; Smithers Rapra Press.</w:t>
      </w:r>
    </w:p>
    <w:p w14:paraId="60F2640A" w14:textId="77777777" w:rsidR="00565E2A" w:rsidRPr="00610A40" w:rsidRDefault="00565E2A">
      <w:pPr>
        <w:pStyle w:val="NormalWeb"/>
        <w:ind w:left="640" w:hanging="640"/>
        <w:divId w:val="700402019"/>
        <w:rPr>
          <w:noProof/>
        </w:rPr>
      </w:pPr>
      <w:r w:rsidRPr="00610A40">
        <w:rPr>
          <w:noProof/>
        </w:rPr>
        <w:t xml:space="preserve">(9) </w:t>
      </w:r>
      <w:r w:rsidRPr="00610A40">
        <w:rPr>
          <w:noProof/>
        </w:rPr>
        <w:tab/>
        <w:t>Global Overview of $94 Billion Tissue Engineering Market: Technologies and Therapeutic Areas.</w:t>
      </w:r>
    </w:p>
    <w:p w14:paraId="4DF4C932" w14:textId="77777777" w:rsidR="00565E2A" w:rsidRPr="00610A40" w:rsidRDefault="00565E2A">
      <w:pPr>
        <w:pStyle w:val="NormalWeb"/>
        <w:ind w:left="640" w:hanging="640"/>
        <w:divId w:val="700402019"/>
        <w:rPr>
          <w:noProof/>
        </w:rPr>
      </w:pPr>
      <w:r w:rsidRPr="00610A40">
        <w:rPr>
          <w:noProof/>
        </w:rPr>
        <w:t xml:space="preserve">(10) </w:t>
      </w:r>
      <w:r w:rsidRPr="00610A40">
        <w:rPr>
          <w:noProof/>
        </w:rPr>
        <w:tab/>
        <w:t xml:space="preserve">Li, Z.; Chee, P. L.; Owh, C.; Lakshminarayanan, R.; Loh, X. J. “Safe and Efficient Membrane Permeabilizing Polymers Based on PLLA for Antibacterial Applications.” RSC Adv. 2016, </w:t>
      </w:r>
      <w:r w:rsidRPr="00610A40">
        <w:rPr>
          <w:i/>
          <w:iCs/>
          <w:noProof/>
        </w:rPr>
        <w:t>6</w:t>
      </w:r>
      <w:r w:rsidRPr="00610A40">
        <w:rPr>
          <w:noProof/>
        </w:rPr>
        <w:t>, 28947–28955.</w:t>
      </w:r>
    </w:p>
    <w:p w14:paraId="42D75CC7" w14:textId="77777777" w:rsidR="00565E2A" w:rsidRPr="00610A40" w:rsidRDefault="00565E2A">
      <w:pPr>
        <w:pStyle w:val="NormalWeb"/>
        <w:ind w:left="640" w:hanging="640"/>
        <w:divId w:val="700402019"/>
        <w:rPr>
          <w:noProof/>
        </w:rPr>
      </w:pPr>
      <w:r w:rsidRPr="00610A40">
        <w:rPr>
          <w:noProof/>
        </w:rPr>
        <w:t xml:space="preserve">(11) </w:t>
      </w:r>
      <w:r w:rsidRPr="00610A40">
        <w:rPr>
          <w:noProof/>
        </w:rPr>
        <w:tab/>
        <w:t xml:space="preserve">Li, Z.; Yuan, D.; Fan, X.; Tan, B. H.; He, C. “Poly(ethylene Glycol) Conjugated Poly(lactide)-Based Polyelectrolytes: Synthesis and Formation of Stable Self-Assemblies Induced by Stereocomplexation.” Langmuir 2015, </w:t>
      </w:r>
      <w:r w:rsidRPr="00610A40">
        <w:rPr>
          <w:i/>
          <w:iCs/>
          <w:noProof/>
        </w:rPr>
        <w:t>31</w:t>
      </w:r>
      <w:r w:rsidRPr="00610A40">
        <w:rPr>
          <w:noProof/>
        </w:rPr>
        <w:t>, 2321–2333.</w:t>
      </w:r>
    </w:p>
    <w:p w14:paraId="5B0F216C" w14:textId="77777777" w:rsidR="00565E2A" w:rsidRPr="00610A40" w:rsidRDefault="00565E2A">
      <w:pPr>
        <w:pStyle w:val="NormalWeb"/>
        <w:ind w:left="640" w:hanging="640"/>
        <w:divId w:val="700402019"/>
        <w:rPr>
          <w:noProof/>
        </w:rPr>
      </w:pPr>
      <w:r w:rsidRPr="00610A40">
        <w:rPr>
          <w:noProof/>
        </w:rPr>
        <w:t xml:space="preserve">(12) </w:t>
      </w:r>
      <w:r w:rsidRPr="00610A40">
        <w:rPr>
          <w:noProof/>
        </w:rPr>
        <w:tab/>
        <w:t xml:space="preserve">Fan, X.; Wang, Z.; Yuan, D.; Sun, Y.; Li, Z.; He, C. “Novel Linear-Dendritic-like Amphiphilic Copolymers: Synthesis and Self-Assembly Characteristics.” Polym. Chem. 2014, </w:t>
      </w:r>
      <w:r w:rsidRPr="00610A40">
        <w:rPr>
          <w:i/>
          <w:iCs/>
          <w:noProof/>
        </w:rPr>
        <w:t>5</w:t>
      </w:r>
      <w:r w:rsidRPr="00610A40">
        <w:rPr>
          <w:noProof/>
        </w:rPr>
        <w:t>, 4069–4075.</w:t>
      </w:r>
    </w:p>
    <w:p w14:paraId="6E8211FC" w14:textId="77777777" w:rsidR="00565E2A" w:rsidRPr="00610A40" w:rsidRDefault="00565E2A">
      <w:pPr>
        <w:pStyle w:val="NormalWeb"/>
        <w:ind w:left="640" w:hanging="640"/>
        <w:divId w:val="700402019"/>
        <w:rPr>
          <w:noProof/>
        </w:rPr>
      </w:pPr>
      <w:r w:rsidRPr="00610A40">
        <w:rPr>
          <w:noProof/>
        </w:rPr>
        <w:t xml:space="preserve">(13) </w:t>
      </w:r>
      <w:r w:rsidRPr="00610A40">
        <w:rPr>
          <w:noProof/>
        </w:rPr>
        <w:tab/>
        <w:t xml:space="preserve">Li, Z.; Tan, B. H. “Towards the Development of Polycaprolactone Based Amphiphilic Block Copolymers: Molecular Design, Self-Assembly and Biomedical Applications.” Mater. Sci. Eng. C 2014, </w:t>
      </w:r>
      <w:r w:rsidRPr="00610A40">
        <w:rPr>
          <w:i/>
          <w:iCs/>
          <w:noProof/>
        </w:rPr>
        <w:t>45</w:t>
      </w:r>
      <w:r w:rsidRPr="00610A40">
        <w:rPr>
          <w:noProof/>
        </w:rPr>
        <w:t>, 620–634.</w:t>
      </w:r>
    </w:p>
    <w:p w14:paraId="0EF8E404" w14:textId="77777777" w:rsidR="00565E2A" w:rsidRPr="00610A40" w:rsidRDefault="00565E2A">
      <w:pPr>
        <w:pStyle w:val="NormalWeb"/>
        <w:ind w:left="640" w:hanging="640"/>
        <w:divId w:val="700402019"/>
        <w:rPr>
          <w:noProof/>
        </w:rPr>
      </w:pPr>
      <w:r w:rsidRPr="00610A40">
        <w:rPr>
          <w:noProof/>
        </w:rPr>
        <w:lastRenderedPageBreak/>
        <w:t xml:space="preserve">(14) </w:t>
      </w:r>
      <w:r w:rsidRPr="00610A40">
        <w:rPr>
          <w:noProof/>
        </w:rPr>
        <w:tab/>
        <w:t xml:space="preserve">Li, Z.; Zhang, Z.; Liu, K. L.; Ni, X.; Li, J. “Biodegradable Hyperbranched Amphiphilic Polyurethane Multiblock Copolymers Consisting of Poly(propylene Glycol), Poly(ethylene Glycol), and Polycaprolactone as in Situ Thermogels.” Biomacromolecules 2012, </w:t>
      </w:r>
      <w:r w:rsidRPr="00610A40">
        <w:rPr>
          <w:i/>
          <w:iCs/>
          <w:noProof/>
        </w:rPr>
        <w:t>13</w:t>
      </w:r>
      <w:r w:rsidRPr="00610A40">
        <w:rPr>
          <w:noProof/>
        </w:rPr>
        <w:t>, 3977–3989.</w:t>
      </w:r>
    </w:p>
    <w:p w14:paraId="7D501D7B" w14:textId="77777777" w:rsidR="00565E2A" w:rsidRPr="00610A40" w:rsidRDefault="00565E2A">
      <w:pPr>
        <w:pStyle w:val="NormalWeb"/>
        <w:ind w:left="640" w:hanging="640"/>
        <w:divId w:val="700402019"/>
        <w:rPr>
          <w:noProof/>
        </w:rPr>
      </w:pPr>
      <w:r w:rsidRPr="00610A40">
        <w:rPr>
          <w:noProof/>
        </w:rPr>
        <w:t xml:space="preserve">(15) </w:t>
      </w:r>
      <w:r w:rsidRPr="00610A40">
        <w:rPr>
          <w:noProof/>
        </w:rPr>
        <w:tab/>
        <w:t xml:space="preserve">Li, Z.; Li, J. “Control of Hyperbranched Structure of Polycaprolactone/Poly(ethylene Glycol) Polyurethane Block Copolymers by Glycerol and Their Hydrogels for Potential Cell Delivery.” J. Phys. Chem. B 2013, </w:t>
      </w:r>
      <w:r w:rsidRPr="00610A40">
        <w:rPr>
          <w:i/>
          <w:iCs/>
          <w:noProof/>
        </w:rPr>
        <w:t>117</w:t>
      </w:r>
      <w:r w:rsidRPr="00610A40">
        <w:rPr>
          <w:noProof/>
        </w:rPr>
        <w:t>, 14763–14774.</w:t>
      </w:r>
    </w:p>
    <w:p w14:paraId="0587E216" w14:textId="77777777" w:rsidR="00565E2A" w:rsidRPr="00610A40" w:rsidRDefault="00565E2A">
      <w:pPr>
        <w:pStyle w:val="NormalWeb"/>
        <w:ind w:left="640" w:hanging="640"/>
        <w:divId w:val="700402019"/>
        <w:rPr>
          <w:noProof/>
        </w:rPr>
      </w:pPr>
      <w:r w:rsidRPr="00610A40">
        <w:rPr>
          <w:noProof/>
        </w:rPr>
        <w:t xml:space="preserve">(16) </w:t>
      </w:r>
      <w:r w:rsidRPr="00610A40">
        <w:rPr>
          <w:noProof/>
        </w:rPr>
        <w:tab/>
        <w:t xml:space="preserve">Cohn, D.; Hotovely Salomon, A. “Designing Biodegradable Multiblock PCL/PLA Thermoplastic Elastomers.” Biomaterials 2005, </w:t>
      </w:r>
      <w:r w:rsidRPr="00610A40">
        <w:rPr>
          <w:i/>
          <w:iCs/>
          <w:noProof/>
        </w:rPr>
        <w:t>26</w:t>
      </w:r>
      <w:r w:rsidRPr="00610A40">
        <w:rPr>
          <w:noProof/>
        </w:rPr>
        <w:t>, 2297–2305.</w:t>
      </w:r>
    </w:p>
    <w:p w14:paraId="48F916C5" w14:textId="77777777" w:rsidR="00565E2A" w:rsidRPr="00610A40" w:rsidRDefault="00565E2A">
      <w:pPr>
        <w:pStyle w:val="NormalWeb"/>
        <w:ind w:left="640" w:hanging="640"/>
        <w:divId w:val="700402019"/>
        <w:rPr>
          <w:noProof/>
        </w:rPr>
      </w:pPr>
      <w:r w:rsidRPr="00610A40">
        <w:rPr>
          <w:noProof/>
        </w:rPr>
        <w:t xml:space="preserve">(17) </w:t>
      </w:r>
      <w:r w:rsidRPr="00610A40">
        <w:rPr>
          <w:noProof/>
        </w:rPr>
        <w:tab/>
        <w:t xml:space="preserve">Yu, T.; Ren, J.; Gu, S.; Yang, M. “Preparation and Characterization of Biodegradable Poly(lactic Acid)- Block-Poly(ε-Caprolactone) Multiblock Copolymer.” Polym. Adv. Technol. 2010, </w:t>
      </w:r>
      <w:r w:rsidRPr="00610A40">
        <w:rPr>
          <w:i/>
          <w:iCs/>
          <w:noProof/>
        </w:rPr>
        <w:t>21</w:t>
      </w:r>
      <w:r w:rsidRPr="00610A40">
        <w:rPr>
          <w:noProof/>
        </w:rPr>
        <w:t>, 183–188.</w:t>
      </w:r>
    </w:p>
    <w:p w14:paraId="16EB66ED" w14:textId="77777777" w:rsidR="00565E2A" w:rsidRPr="00610A40" w:rsidRDefault="00565E2A">
      <w:pPr>
        <w:pStyle w:val="NormalWeb"/>
        <w:ind w:left="640" w:hanging="640"/>
        <w:divId w:val="700402019"/>
        <w:rPr>
          <w:noProof/>
        </w:rPr>
      </w:pPr>
      <w:r w:rsidRPr="00610A40">
        <w:rPr>
          <w:noProof/>
        </w:rPr>
        <w:t xml:space="preserve">(18) </w:t>
      </w:r>
      <w:r w:rsidRPr="00610A40">
        <w:rPr>
          <w:noProof/>
        </w:rPr>
        <w:tab/>
        <w:t xml:space="preserve">Zhang, J.; Xu, J.; Wang, H.; Jin, W.; Li, J. “Synthesis of Multiblock Thermoplastic Elastomers Based on Biodegradable Poly (lactic Acid) and Polycaprolactone.” Mater. Sci. Eng. C 2009, </w:t>
      </w:r>
      <w:r w:rsidRPr="00610A40">
        <w:rPr>
          <w:i/>
          <w:iCs/>
          <w:noProof/>
        </w:rPr>
        <w:t>29</w:t>
      </w:r>
      <w:r w:rsidRPr="00610A40">
        <w:rPr>
          <w:noProof/>
        </w:rPr>
        <w:t>, 889–893.</w:t>
      </w:r>
    </w:p>
    <w:p w14:paraId="5FD84007" w14:textId="77777777" w:rsidR="00565E2A" w:rsidRPr="00610A40" w:rsidRDefault="00565E2A">
      <w:pPr>
        <w:pStyle w:val="NormalWeb"/>
        <w:ind w:left="640" w:hanging="640"/>
        <w:divId w:val="700402019"/>
        <w:rPr>
          <w:noProof/>
        </w:rPr>
      </w:pPr>
      <w:r w:rsidRPr="00610A40">
        <w:rPr>
          <w:noProof/>
        </w:rPr>
        <w:t xml:space="preserve">(19) </w:t>
      </w:r>
      <w:r w:rsidRPr="00610A40">
        <w:rPr>
          <w:noProof/>
        </w:rPr>
        <w:tab/>
        <w:t xml:space="preserve">Jikei, M.; Takeyama, Y.; Yamadoi, Y.; Shinbo, N.; Matsumoto, K.; Motokawa, M.; Ishibashi, K.; Yamamoto, F. “Synthesis and Properties of Poly(L-Lactide)-Poly([epsilon]-Caprolactone) Multiblock Copolymers by the Self-Polycondensation of Diblock Macromonomers.” Polym. J. 2015, </w:t>
      </w:r>
      <w:r w:rsidRPr="00610A40">
        <w:rPr>
          <w:i/>
          <w:iCs/>
          <w:noProof/>
        </w:rPr>
        <w:t>47</w:t>
      </w:r>
      <w:r w:rsidRPr="00610A40">
        <w:rPr>
          <w:noProof/>
        </w:rPr>
        <w:t>, 657.</w:t>
      </w:r>
    </w:p>
    <w:p w14:paraId="061D33A6" w14:textId="77777777" w:rsidR="00565E2A" w:rsidRPr="00610A40" w:rsidRDefault="00565E2A">
      <w:pPr>
        <w:pStyle w:val="NormalWeb"/>
        <w:ind w:left="640" w:hanging="640"/>
        <w:divId w:val="700402019"/>
        <w:rPr>
          <w:noProof/>
        </w:rPr>
      </w:pPr>
      <w:r w:rsidRPr="00610A40">
        <w:rPr>
          <w:noProof/>
        </w:rPr>
        <w:t xml:space="preserve">(20) </w:t>
      </w:r>
      <w:r w:rsidRPr="00610A40">
        <w:rPr>
          <w:noProof/>
        </w:rPr>
        <w:tab/>
        <w:t xml:space="preserve">Zhao, X.-Y.; Wang, M.-Z.; Xing, A.; Xiao, J.-J.; Xie, J. “Design and Synthesis of Biodegradable Copolyester Poly(ε-Caprolactone-Co-D,l-Lactide) with Four Pendent Functional Groups.” Polym. Eng. Sci. 2014, </w:t>
      </w:r>
      <w:r w:rsidRPr="00610A40">
        <w:rPr>
          <w:i/>
          <w:iCs/>
          <w:noProof/>
        </w:rPr>
        <w:t>54</w:t>
      </w:r>
      <w:r w:rsidRPr="00610A40">
        <w:rPr>
          <w:noProof/>
        </w:rPr>
        <w:t>, 2170–2176.</w:t>
      </w:r>
    </w:p>
    <w:p w14:paraId="29531862" w14:textId="77777777" w:rsidR="00565E2A" w:rsidRPr="00610A40" w:rsidRDefault="00565E2A">
      <w:pPr>
        <w:pStyle w:val="NormalWeb"/>
        <w:ind w:left="640" w:hanging="640"/>
        <w:divId w:val="700402019"/>
        <w:rPr>
          <w:noProof/>
        </w:rPr>
      </w:pPr>
      <w:r w:rsidRPr="00610A40">
        <w:rPr>
          <w:noProof/>
        </w:rPr>
        <w:t xml:space="preserve">(21) </w:t>
      </w:r>
      <w:r w:rsidRPr="00610A40">
        <w:rPr>
          <w:noProof/>
        </w:rPr>
        <w:tab/>
        <w:t xml:space="preserve">Wang, L.-S.; Chen, H.-C.; Xiong, Z.-C.; Pang, X.-B.; Xiong, C.-D. “A Completely Biodegradable Poly[(L-Lactide)-Co-(ε-Caprolactone)] Elastomer Reinforced by in Situ Poly(glycolic Acid) Fibrillation: Manufacturing and Shape-Memory Effects.” Macromol. Mater. Eng. 2010, </w:t>
      </w:r>
      <w:r w:rsidRPr="00610A40">
        <w:rPr>
          <w:i/>
          <w:iCs/>
          <w:noProof/>
        </w:rPr>
        <w:t>295</w:t>
      </w:r>
      <w:r w:rsidRPr="00610A40">
        <w:rPr>
          <w:noProof/>
        </w:rPr>
        <w:t>, 381–385.</w:t>
      </w:r>
    </w:p>
    <w:p w14:paraId="73DB4077" w14:textId="77777777" w:rsidR="00565E2A" w:rsidRPr="00610A40" w:rsidRDefault="00565E2A">
      <w:pPr>
        <w:pStyle w:val="NormalWeb"/>
        <w:ind w:left="640" w:hanging="640"/>
        <w:divId w:val="700402019"/>
        <w:rPr>
          <w:noProof/>
        </w:rPr>
      </w:pPr>
      <w:r w:rsidRPr="00610A40">
        <w:rPr>
          <w:noProof/>
        </w:rPr>
        <w:t xml:space="preserve">(22) </w:t>
      </w:r>
      <w:r w:rsidRPr="00610A40">
        <w:rPr>
          <w:noProof/>
        </w:rPr>
        <w:tab/>
        <w:t xml:space="preserve">Lee, S. H.; Kim, B. S.; Kim, S. H.; Choi, S. W.; Jeong, S. I.; Kwon, I. K.; Kang, S. W.; Nikolovski, J.; Mooney, D. J.; Han, Y. K.; </w:t>
      </w:r>
      <w:r w:rsidRPr="00610A40">
        <w:rPr>
          <w:i/>
          <w:iCs/>
          <w:noProof/>
        </w:rPr>
        <w:t>et al.</w:t>
      </w:r>
      <w:r w:rsidRPr="00610A40">
        <w:rPr>
          <w:noProof/>
        </w:rPr>
        <w:t xml:space="preserve"> “Elastic Biodegradable Poly(glycolide-Co-Caprolactone) Scaffold for Tissue Engineering.” J. Biomed. Mater. Res. - Part A 2003, </w:t>
      </w:r>
      <w:r w:rsidRPr="00610A40">
        <w:rPr>
          <w:i/>
          <w:iCs/>
          <w:noProof/>
        </w:rPr>
        <w:t>66</w:t>
      </w:r>
      <w:r w:rsidRPr="00610A40">
        <w:rPr>
          <w:noProof/>
        </w:rPr>
        <w:t>, 29–37.</w:t>
      </w:r>
    </w:p>
    <w:p w14:paraId="3D44FF68" w14:textId="77777777" w:rsidR="00565E2A" w:rsidRPr="00610A40" w:rsidRDefault="00565E2A">
      <w:pPr>
        <w:pStyle w:val="NormalWeb"/>
        <w:ind w:left="640" w:hanging="640"/>
        <w:divId w:val="700402019"/>
        <w:rPr>
          <w:noProof/>
        </w:rPr>
      </w:pPr>
      <w:r w:rsidRPr="00610A40">
        <w:rPr>
          <w:noProof/>
        </w:rPr>
        <w:t xml:space="preserve">(23) </w:t>
      </w:r>
      <w:r w:rsidRPr="00610A40">
        <w:rPr>
          <w:noProof/>
        </w:rPr>
        <w:tab/>
        <w:t xml:space="preserve">Jikei, M.; Suga, T.; Yamadoi, Y.; Matsumoto, K. “Synthesis and Properties of poly(L-Lactide-Co-Glycolide)-B-Poly([epsilon]-Caprolactone) Multiblock Copolymers Formed by Self-Polycondensation of Diblock Macromonomers.” Polym. J. 2017, </w:t>
      </w:r>
      <w:r w:rsidRPr="00610A40">
        <w:rPr>
          <w:i/>
          <w:iCs/>
          <w:noProof/>
        </w:rPr>
        <w:t>49</w:t>
      </w:r>
      <w:r w:rsidRPr="00610A40">
        <w:rPr>
          <w:noProof/>
        </w:rPr>
        <w:t>, 369.</w:t>
      </w:r>
    </w:p>
    <w:p w14:paraId="1B06FB18" w14:textId="77777777" w:rsidR="00565E2A" w:rsidRPr="00610A40" w:rsidRDefault="00565E2A">
      <w:pPr>
        <w:pStyle w:val="NormalWeb"/>
        <w:ind w:left="640" w:hanging="640"/>
        <w:divId w:val="700402019"/>
        <w:rPr>
          <w:noProof/>
        </w:rPr>
      </w:pPr>
      <w:r w:rsidRPr="00610A40">
        <w:rPr>
          <w:noProof/>
        </w:rPr>
        <w:t xml:space="preserve">(24) </w:t>
      </w:r>
      <w:r w:rsidRPr="00610A40">
        <w:rPr>
          <w:noProof/>
        </w:rPr>
        <w:tab/>
        <w:t xml:space="preserve">Wang, L.; Zhang, Z.; Chen, H.; Zhang, S.; Xiong, C. “Preparation and Characterization of Biodegradable Thermoplastic Elastomers (PLCA/PLGA Blends).” J. Polym. Res. 2010, </w:t>
      </w:r>
      <w:r w:rsidRPr="00610A40">
        <w:rPr>
          <w:i/>
          <w:iCs/>
          <w:noProof/>
        </w:rPr>
        <w:t>17</w:t>
      </w:r>
      <w:r w:rsidRPr="00610A40">
        <w:rPr>
          <w:noProof/>
        </w:rPr>
        <w:t>, 77–82.</w:t>
      </w:r>
    </w:p>
    <w:p w14:paraId="75DB980A" w14:textId="77777777" w:rsidR="00565E2A" w:rsidRPr="00610A40" w:rsidRDefault="00565E2A">
      <w:pPr>
        <w:pStyle w:val="NormalWeb"/>
        <w:ind w:left="640" w:hanging="640"/>
        <w:divId w:val="700402019"/>
        <w:rPr>
          <w:noProof/>
        </w:rPr>
      </w:pPr>
      <w:r w:rsidRPr="00610A40">
        <w:rPr>
          <w:noProof/>
        </w:rPr>
        <w:lastRenderedPageBreak/>
        <w:t xml:space="preserve">(25) </w:t>
      </w:r>
      <w:r w:rsidRPr="00610A40">
        <w:rPr>
          <w:noProof/>
        </w:rPr>
        <w:tab/>
        <w:t xml:space="preserve">Wu, L.; Chen, S.; Li, Z.; Xu, K.; Chen, G.-Q. “Synthesis, Characterization and Biocompatibility of Novel Biodegradable poly[((R)-3-Hydroxybutyrate)-Block-(D,L-Lactide)-Block-(ε-Caprolactone)] Triblock Copolymers.” Polym. Int. 2008, </w:t>
      </w:r>
      <w:r w:rsidRPr="00610A40">
        <w:rPr>
          <w:i/>
          <w:iCs/>
          <w:noProof/>
        </w:rPr>
        <w:t>57</w:t>
      </w:r>
      <w:r w:rsidRPr="00610A40">
        <w:rPr>
          <w:noProof/>
        </w:rPr>
        <w:t>, 939–949.</w:t>
      </w:r>
    </w:p>
    <w:p w14:paraId="0464AD0D" w14:textId="77777777" w:rsidR="00565E2A" w:rsidRPr="00610A40" w:rsidRDefault="00565E2A">
      <w:pPr>
        <w:pStyle w:val="NormalWeb"/>
        <w:ind w:left="640" w:hanging="640"/>
        <w:divId w:val="700402019"/>
        <w:rPr>
          <w:noProof/>
        </w:rPr>
      </w:pPr>
      <w:r w:rsidRPr="00610A40">
        <w:rPr>
          <w:noProof/>
        </w:rPr>
        <w:t xml:space="preserve">(26) </w:t>
      </w:r>
      <w:r w:rsidRPr="00610A40">
        <w:rPr>
          <w:noProof/>
        </w:rPr>
        <w:tab/>
        <w:t xml:space="preserve">Chen, Z. F.; Cheng, S. T.; Li, Z.; Xu, K. T.; Chen, G. Q. “Synthesis, Characterization and Cell Compatibility of Novel Poly(ester Urethane)s Based on Poly(3-Hydroxybutyrate-Co-4-Hydroxybutyrate) and Poly(3-Hydroxybutyrate-Co-3-Hydroxyhexanoate) Prepared by Melting Polymerization.” J. Biomater. Sci. Polym. Ed. 2009, </w:t>
      </w:r>
      <w:r w:rsidRPr="00610A40">
        <w:rPr>
          <w:i/>
          <w:iCs/>
          <w:noProof/>
        </w:rPr>
        <w:t>20</w:t>
      </w:r>
      <w:r w:rsidRPr="00610A40">
        <w:rPr>
          <w:noProof/>
        </w:rPr>
        <w:t>, 1451–1471.</w:t>
      </w:r>
    </w:p>
    <w:p w14:paraId="254F711D" w14:textId="77777777" w:rsidR="00565E2A" w:rsidRPr="00610A40" w:rsidRDefault="00565E2A">
      <w:pPr>
        <w:pStyle w:val="NormalWeb"/>
        <w:ind w:left="640" w:hanging="640"/>
        <w:divId w:val="700402019"/>
        <w:rPr>
          <w:noProof/>
        </w:rPr>
      </w:pPr>
      <w:r w:rsidRPr="00610A40">
        <w:rPr>
          <w:noProof/>
        </w:rPr>
        <w:t xml:space="preserve">(27) </w:t>
      </w:r>
      <w:r w:rsidRPr="00610A40">
        <w:rPr>
          <w:noProof/>
        </w:rPr>
        <w:tab/>
        <w:t xml:space="preserve">Liu, Q.; Cheng, S.; Li, Z.; Xu, K.; Chen, G.-Q. “Characterization, Biodegradability and Blood Compatibility of poly[(R)-3-Hydroxybutyrate] Based Poly(ester-Urethane)s.” J. Biomed. Mater. Res. Part A 2009, </w:t>
      </w:r>
      <w:r w:rsidRPr="00610A40">
        <w:rPr>
          <w:i/>
          <w:iCs/>
          <w:noProof/>
        </w:rPr>
        <w:t>90A</w:t>
      </w:r>
      <w:r w:rsidRPr="00610A40">
        <w:rPr>
          <w:noProof/>
        </w:rPr>
        <w:t>, 1162–1176.</w:t>
      </w:r>
    </w:p>
    <w:p w14:paraId="73B33182" w14:textId="77777777" w:rsidR="00565E2A" w:rsidRPr="00610A40" w:rsidRDefault="00565E2A">
      <w:pPr>
        <w:pStyle w:val="NormalWeb"/>
        <w:ind w:left="640" w:hanging="640"/>
        <w:divId w:val="700402019"/>
        <w:rPr>
          <w:noProof/>
        </w:rPr>
      </w:pPr>
      <w:r w:rsidRPr="00610A40">
        <w:rPr>
          <w:noProof/>
        </w:rPr>
        <w:t xml:space="preserve">(28) </w:t>
      </w:r>
      <w:r w:rsidRPr="00610A40">
        <w:rPr>
          <w:noProof/>
        </w:rPr>
        <w:tab/>
        <w:t xml:space="preserve">Sandhya, M.; Aravind, J.; Kanmani, P. “Production of Polyhydroxyalkanoates from Ralstonia Eutropha Using Paddy Straw as Cheap Substrate.” Int. J. Environ. Sci. Technol. 2013, </w:t>
      </w:r>
      <w:r w:rsidRPr="00610A40">
        <w:rPr>
          <w:i/>
          <w:iCs/>
          <w:noProof/>
        </w:rPr>
        <w:t>10</w:t>
      </w:r>
      <w:r w:rsidRPr="00610A40">
        <w:rPr>
          <w:noProof/>
        </w:rPr>
        <w:t>, 47–54.</w:t>
      </w:r>
    </w:p>
    <w:p w14:paraId="3C7F4F79" w14:textId="77777777" w:rsidR="00565E2A" w:rsidRPr="00610A40" w:rsidRDefault="00565E2A">
      <w:pPr>
        <w:pStyle w:val="NormalWeb"/>
        <w:ind w:left="640" w:hanging="640"/>
        <w:divId w:val="700402019"/>
        <w:rPr>
          <w:noProof/>
        </w:rPr>
      </w:pPr>
      <w:r w:rsidRPr="00610A40">
        <w:rPr>
          <w:noProof/>
        </w:rPr>
        <w:t xml:space="preserve">(29) </w:t>
      </w:r>
      <w:r w:rsidRPr="00610A40">
        <w:rPr>
          <w:noProof/>
        </w:rPr>
        <w:tab/>
        <w:t xml:space="preserve">Li, Z.; Yang, X.; Wu, L.; Chen, Z.; Lin, Y.; Xu, K.; Chen, G.-Q. “Synthesis, Characterization and Biocompatibility of Biodegradable Elastomeric Poly(ether-Ester Urethane)s Based on Poly(3-Hydroxybutyrate-Co-3-Hydroxyhexanoate) and Poly(ethylene Glycol) via Melting Polymerization.” J. Biomater. Sci. Polym. Ed. 2009, </w:t>
      </w:r>
      <w:r w:rsidRPr="00610A40">
        <w:rPr>
          <w:i/>
          <w:iCs/>
          <w:noProof/>
        </w:rPr>
        <w:t>20</w:t>
      </w:r>
      <w:r w:rsidRPr="00610A40">
        <w:rPr>
          <w:noProof/>
        </w:rPr>
        <w:t>, 1179–1202.</w:t>
      </w:r>
    </w:p>
    <w:p w14:paraId="7B18A98C" w14:textId="77777777" w:rsidR="00565E2A" w:rsidRPr="00610A40" w:rsidRDefault="00565E2A">
      <w:pPr>
        <w:pStyle w:val="NormalWeb"/>
        <w:ind w:left="640" w:hanging="640"/>
        <w:divId w:val="700402019"/>
        <w:rPr>
          <w:noProof/>
        </w:rPr>
      </w:pPr>
      <w:r w:rsidRPr="00610A40">
        <w:rPr>
          <w:noProof/>
        </w:rPr>
        <w:t xml:space="preserve">(30) </w:t>
      </w:r>
      <w:r w:rsidRPr="00610A40">
        <w:rPr>
          <w:noProof/>
        </w:rPr>
        <w:tab/>
        <w:t xml:space="preserve">Li, Z.; Cheng, S.; Li, S.; Liu, Q.; Xu, K.; Chen, G.-Q. “Novel Amphiphilic Poly(ester-Urethane)s Based on poly[(R)-3-Hydroxyalkanoate]: Synthesis, Biocompatibility and Aggregation in Aqueous Solution.” Polym. Int. 2008, </w:t>
      </w:r>
      <w:r w:rsidRPr="00610A40">
        <w:rPr>
          <w:i/>
          <w:iCs/>
          <w:noProof/>
        </w:rPr>
        <w:t>57</w:t>
      </w:r>
      <w:r w:rsidRPr="00610A40">
        <w:rPr>
          <w:noProof/>
        </w:rPr>
        <w:t>, 887–894.</w:t>
      </w:r>
    </w:p>
    <w:p w14:paraId="7C2D62D5" w14:textId="77777777" w:rsidR="00565E2A" w:rsidRPr="00610A40" w:rsidRDefault="00565E2A">
      <w:pPr>
        <w:pStyle w:val="NormalWeb"/>
        <w:ind w:left="640" w:hanging="640"/>
        <w:divId w:val="700402019"/>
        <w:rPr>
          <w:noProof/>
        </w:rPr>
      </w:pPr>
      <w:r w:rsidRPr="00610A40">
        <w:rPr>
          <w:noProof/>
        </w:rPr>
        <w:t xml:space="preserve">(31) </w:t>
      </w:r>
      <w:r w:rsidRPr="00610A40">
        <w:rPr>
          <w:noProof/>
        </w:rPr>
        <w:tab/>
        <w:t>Li, Z.; Loh, X. J. “Recent Advances of Using Polyhydroxyalkanoate-Based Nanovehicles as Therapeutic Delivery Carriers.” Wiley Interdiscip. Rev. Nanomedicine Nanobiotechnology 2016, 10.1002/wnan.1429.</w:t>
      </w:r>
    </w:p>
    <w:p w14:paraId="743572B2" w14:textId="77777777" w:rsidR="00565E2A" w:rsidRPr="00610A40" w:rsidRDefault="00565E2A">
      <w:pPr>
        <w:pStyle w:val="NormalWeb"/>
        <w:ind w:left="640" w:hanging="640"/>
        <w:divId w:val="700402019"/>
        <w:rPr>
          <w:noProof/>
        </w:rPr>
      </w:pPr>
      <w:r w:rsidRPr="00610A40">
        <w:rPr>
          <w:noProof/>
        </w:rPr>
        <w:t xml:space="preserve">(32) </w:t>
      </w:r>
      <w:r w:rsidRPr="00610A40">
        <w:rPr>
          <w:noProof/>
        </w:rPr>
        <w:tab/>
        <w:t xml:space="preserve">Li, Z.; Loh, X. J. “Water Soluble Polyhydroxyalkanoates: Future Materials for Therapeutic Applications.” Chem. Soc. Rev. 2015, </w:t>
      </w:r>
      <w:r w:rsidRPr="00610A40">
        <w:rPr>
          <w:i/>
          <w:iCs/>
          <w:noProof/>
        </w:rPr>
        <w:t>44</w:t>
      </w:r>
      <w:r w:rsidRPr="00610A40">
        <w:rPr>
          <w:noProof/>
        </w:rPr>
        <w:t>, 2865–2879.</w:t>
      </w:r>
    </w:p>
    <w:p w14:paraId="417E1777" w14:textId="77777777" w:rsidR="00565E2A" w:rsidRPr="00610A40" w:rsidRDefault="00565E2A">
      <w:pPr>
        <w:pStyle w:val="NormalWeb"/>
        <w:ind w:left="640" w:hanging="640"/>
        <w:divId w:val="700402019"/>
        <w:rPr>
          <w:noProof/>
        </w:rPr>
      </w:pPr>
      <w:r w:rsidRPr="00610A40">
        <w:rPr>
          <w:noProof/>
        </w:rPr>
        <w:t xml:space="preserve">(33) </w:t>
      </w:r>
      <w:r w:rsidRPr="00610A40">
        <w:rPr>
          <w:noProof/>
        </w:rPr>
        <w:tab/>
        <w:t xml:space="preserve">Hazer, B.; Steinbüchel, A. “Increased Diversification of Polyhydroxyalkanoates by Modification Reactions for Industrial and Medical Applications.” Appl. Microbiol. Biotechnol. 2006, </w:t>
      </w:r>
      <w:r w:rsidRPr="00610A40">
        <w:rPr>
          <w:i/>
          <w:iCs/>
          <w:noProof/>
        </w:rPr>
        <w:t>74</w:t>
      </w:r>
      <w:r w:rsidRPr="00610A40">
        <w:rPr>
          <w:noProof/>
        </w:rPr>
        <w:t>, 1–12.</w:t>
      </w:r>
    </w:p>
    <w:p w14:paraId="1D57135D" w14:textId="77777777" w:rsidR="00565E2A" w:rsidRPr="00610A40" w:rsidRDefault="00565E2A">
      <w:pPr>
        <w:pStyle w:val="NormalWeb"/>
        <w:ind w:left="640" w:hanging="640"/>
        <w:divId w:val="700402019"/>
        <w:rPr>
          <w:noProof/>
        </w:rPr>
      </w:pPr>
      <w:r w:rsidRPr="00610A40">
        <w:rPr>
          <w:noProof/>
        </w:rPr>
        <w:t xml:space="preserve">(34) </w:t>
      </w:r>
      <w:r w:rsidRPr="00610A40">
        <w:rPr>
          <w:noProof/>
        </w:rPr>
        <w:tab/>
        <w:t xml:space="preserve">Li, Z.; Yang, J.; Loh, X. J. “Polyhydroxyalkanoates: Opening Doors for a Sustainable Future.” NPG Asia Mater. 2016, </w:t>
      </w:r>
      <w:r w:rsidRPr="00610A40">
        <w:rPr>
          <w:i/>
          <w:iCs/>
          <w:noProof/>
        </w:rPr>
        <w:t>8</w:t>
      </w:r>
      <w:r w:rsidRPr="00610A40">
        <w:rPr>
          <w:noProof/>
        </w:rPr>
        <w:t>, e265.</w:t>
      </w:r>
    </w:p>
    <w:p w14:paraId="308E962D" w14:textId="77777777" w:rsidR="00565E2A" w:rsidRPr="00610A40" w:rsidRDefault="00565E2A">
      <w:pPr>
        <w:pStyle w:val="NormalWeb"/>
        <w:ind w:left="640" w:hanging="640"/>
        <w:divId w:val="700402019"/>
        <w:rPr>
          <w:noProof/>
        </w:rPr>
      </w:pPr>
      <w:r w:rsidRPr="00610A40">
        <w:rPr>
          <w:noProof/>
        </w:rPr>
        <w:t xml:space="preserve">(35) </w:t>
      </w:r>
      <w:r w:rsidRPr="00610A40">
        <w:rPr>
          <w:noProof/>
        </w:rPr>
        <w:tab/>
        <w:t xml:space="preserve">Zhao, Y.; Zou, B.; Shi, Z.; Wu, Q.; Chen, G.-Q. “The Effect of 3-Hydroxybutyrate on the in Vitro Differentiation of Murine Osteoblast MC3T3-E1 and in Vivo Bone Formation in Ovariectomized Rats.” Biomaterials 2007, </w:t>
      </w:r>
      <w:r w:rsidRPr="00610A40">
        <w:rPr>
          <w:i/>
          <w:iCs/>
          <w:noProof/>
        </w:rPr>
        <w:t>28</w:t>
      </w:r>
      <w:r w:rsidRPr="00610A40">
        <w:rPr>
          <w:noProof/>
        </w:rPr>
        <w:t>, 3063–3073.</w:t>
      </w:r>
    </w:p>
    <w:p w14:paraId="69240972" w14:textId="77777777" w:rsidR="00565E2A" w:rsidRPr="00610A40" w:rsidRDefault="00565E2A">
      <w:pPr>
        <w:pStyle w:val="NormalWeb"/>
        <w:ind w:left="640" w:hanging="640"/>
        <w:divId w:val="700402019"/>
        <w:rPr>
          <w:noProof/>
        </w:rPr>
      </w:pPr>
      <w:r w:rsidRPr="00610A40">
        <w:rPr>
          <w:noProof/>
        </w:rPr>
        <w:lastRenderedPageBreak/>
        <w:t xml:space="preserve">(36) </w:t>
      </w:r>
      <w:r w:rsidRPr="00610A40">
        <w:rPr>
          <w:noProof/>
        </w:rPr>
        <w:tab/>
        <w:t xml:space="preserve">Loh, X. J.; Wang, X.; Li, H.; Li, X.; Li, J. “Compositional Study and Cytotoxicity of Biodegradable Poly(ester Urethane)s Consisting of poly[(R)-3-Hydroxybutyrate] and Poly(ethylene Glycol).” Mater. Sci. Eng. C 2007, </w:t>
      </w:r>
      <w:r w:rsidRPr="00610A40">
        <w:rPr>
          <w:i/>
          <w:iCs/>
          <w:noProof/>
        </w:rPr>
        <w:t>27</w:t>
      </w:r>
      <w:r w:rsidRPr="00610A40">
        <w:rPr>
          <w:noProof/>
        </w:rPr>
        <w:t>, 267–273.</w:t>
      </w:r>
    </w:p>
    <w:p w14:paraId="268B5719" w14:textId="77777777" w:rsidR="00565E2A" w:rsidRPr="00610A40" w:rsidRDefault="00565E2A">
      <w:pPr>
        <w:pStyle w:val="NormalWeb"/>
        <w:ind w:left="640" w:hanging="640"/>
        <w:divId w:val="700402019"/>
        <w:rPr>
          <w:noProof/>
        </w:rPr>
      </w:pPr>
      <w:r w:rsidRPr="00610A40">
        <w:rPr>
          <w:noProof/>
        </w:rPr>
        <w:t xml:space="preserve">(37) </w:t>
      </w:r>
      <w:r w:rsidRPr="00610A40">
        <w:rPr>
          <w:noProof/>
        </w:rPr>
        <w:tab/>
        <w:t xml:space="preserve">Pan, J.; Li, G.; Chen, Z.; Chen, X.; Zhu, W.; Xu, K. “Alternative Block Polyurethanes Based on poly(3-Hydroxybutyrate-Co-4-Hydroxybutyrate) and Poly(ethylene Glycol).” Biomaterials 2009, </w:t>
      </w:r>
      <w:r w:rsidRPr="00610A40">
        <w:rPr>
          <w:i/>
          <w:iCs/>
          <w:noProof/>
        </w:rPr>
        <w:t>30</w:t>
      </w:r>
      <w:r w:rsidRPr="00610A40">
        <w:rPr>
          <w:noProof/>
        </w:rPr>
        <w:t>, 2975–2984.</w:t>
      </w:r>
    </w:p>
    <w:p w14:paraId="4A991726" w14:textId="77777777" w:rsidR="00565E2A" w:rsidRPr="00610A40" w:rsidRDefault="00565E2A">
      <w:pPr>
        <w:pStyle w:val="NormalWeb"/>
        <w:ind w:left="640" w:hanging="640"/>
        <w:divId w:val="700402019"/>
        <w:rPr>
          <w:noProof/>
        </w:rPr>
      </w:pPr>
      <w:r w:rsidRPr="00610A40">
        <w:rPr>
          <w:noProof/>
        </w:rPr>
        <w:t xml:space="preserve">(38) </w:t>
      </w:r>
      <w:r w:rsidRPr="00610A40">
        <w:rPr>
          <w:noProof/>
        </w:rPr>
        <w:tab/>
        <w:t xml:space="preserve">Chang, H. M.; Wang, Z. H.; Luo, H. N.; Xu, M.; Ren, X. Y.; Zheng, G. X.; Wu, B. J.; Zhang, X. H.; Lu, X. Y.; Chen, F.; </w:t>
      </w:r>
      <w:r w:rsidRPr="00610A40">
        <w:rPr>
          <w:i/>
          <w:iCs/>
          <w:noProof/>
        </w:rPr>
        <w:t>et al.</w:t>
      </w:r>
      <w:r w:rsidRPr="00610A40">
        <w:rPr>
          <w:noProof/>
        </w:rPr>
        <w:t xml:space="preserve"> “Poly(3-Hydroxybutyrate-Co-3-Hydroxyhexanoate)-Based Scaffolds for Tissue Engineering.” Brazilian J. Med. Biol. Res. 2014, </w:t>
      </w:r>
      <w:r w:rsidRPr="00610A40">
        <w:rPr>
          <w:i/>
          <w:iCs/>
          <w:noProof/>
        </w:rPr>
        <w:t>47</w:t>
      </w:r>
      <w:r w:rsidRPr="00610A40">
        <w:rPr>
          <w:noProof/>
        </w:rPr>
        <w:t>, 533–539.</w:t>
      </w:r>
    </w:p>
    <w:p w14:paraId="6E19E811" w14:textId="77777777" w:rsidR="00565E2A" w:rsidRPr="00610A40" w:rsidRDefault="00565E2A">
      <w:pPr>
        <w:pStyle w:val="NormalWeb"/>
        <w:ind w:left="640" w:hanging="640"/>
        <w:divId w:val="700402019"/>
        <w:rPr>
          <w:noProof/>
        </w:rPr>
      </w:pPr>
      <w:r w:rsidRPr="00610A40">
        <w:rPr>
          <w:noProof/>
        </w:rPr>
        <w:t xml:space="preserve">(39) </w:t>
      </w:r>
      <w:r w:rsidRPr="00610A40">
        <w:rPr>
          <w:noProof/>
        </w:rPr>
        <w:tab/>
        <w:t xml:space="preserve">Ou, W.; Qiu, H.; Chen, Z.; Xu, K. “Biodegradable Block Poly(ester-Urethane)s Based on poly(3-Hydroxybutyrate-Co-4-Hydroxybutyrate) Copolymers.” Biomaterials 2011, </w:t>
      </w:r>
      <w:r w:rsidRPr="00610A40">
        <w:rPr>
          <w:i/>
          <w:iCs/>
          <w:noProof/>
        </w:rPr>
        <w:t>32</w:t>
      </w:r>
      <w:r w:rsidRPr="00610A40">
        <w:rPr>
          <w:noProof/>
        </w:rPr>
        <w:t>, 3178–3188.</w:t>
      </w:r>
    </w:p>
    <w:p w14:paraId="72E8B727" w14:textId="77777777" w:rsidR="00565E2A" w:rsidRPr="00610A40" w:rsidRDefault="00565E2A">
      <w:pPr>
        <w:pStyle w:val="NormalWeb"/>
        <w:ind w:left="640" w:hanging="640"/>
        <w:divId w:val="700402019"/>
        <w:rPr>
          <w:noProof/>
        </w:rPr>
      </w:pPr>
      <w:r w:rsidRPr="00610A40">
        <w:rPr>
          <w:noProof/>
        </w:rPr>
        <w:t xml:space="preserve">(40) </w:t>
      </w:r>
      <w:r w:rsidRPr="00610A40">
        <w:rPr>
          <w:noProof/>
        </w:rPr>
        <w:tab/>
        <w:t xml:space="preserve">Dong, Y.; Liao, S.; Ngiam, M.; Chan, C. K.; Ramakrishna, S. “Degradation Behaviors of Electrospun Resorbable Polyester Nanofibers.” Tissue Eng. Part B. Rev. 2009, </w:t>
      </w:r>
      <w:r w:rsidRPr="00610A40">
        <w:rPr>
          <w:i/>
          <w:iCs/>
          <w:noProof/>
        </w:rPr>
        <w:t>15</w:t>
      </w:r>
      <w:r w:rsidRPr="00610A40">
        <w:rPr>
          <w:noProof/>
        </w:rPr>
        <w:t>, 333–351.</w:t>
      </w:r>
    </w:p>
    <w:p w14:paraId="64C7516C" w14:textId="77777777" w:rsidR="00565E2A" w:rsidRPr="00610A40" w:rsidRDefault="00565E2A">
      <w:pPr>
        <w:pStyle w:val="NormalWeb"/>
        <w:ind w:left="640" w:hanging="640"/>
        <w:divId w:val="700402019"/>
        <w:rPr>
          <w:noProof/>
        </w:rPr>
      </w:pPr>
      <w:r w:rsidRPr="00610A40">
        <w:rPr>
          <w:noProof/>
        </w:rPr>
        <w:t xml:space="preserve">(41) </w:t>
      </w:r>
      <w:r w:rsidRPr="00610A40">
        <w:rPr>
          <w:noProof/>
        </w:rPr>
        <w:tab/>
        <w:t xml:space="preserve">Chen, Z.; Cheng, S.; Xu, K. “Block Poly(ester-Urethane)s Based on poly(3-Hydroxybutyrate- Co-4-Hydroxybutyrate) and poly(3-Hydroxyhexanoate- Co-3-Hydroxyoctanoate).” Biomaterials 2009, </w:t>
      </w:r>
      <w:r w:rsidRPr="00610A40">
        <w:rPr>
          <w:i/>
          <w:iCs/>
          <w:noProof/>
        </w:rPr>
        <w:t>30</w:t>
      </w:r>
      <w:r w:rsidRPr="00610A40">
        <w:rPr>
          <w:noProof/>
        </w:rPr>
        <w:t>, 2219–2230.</w:t>
      </w:r>
    </w:p>
    <w:p w14:paraId="4D8B789F" w14:textId="77777777" w:rsidR="00565E2A" w:rsidRPr="00610A40" w:rsidRDefault="00565E2A">
      <w:pPr>
        <w:pStyle w:val="NormalWeb"/>
        <w:ind w:left="640" w:hanging="640"/>
        <w:divId w:val="700402019"/>
        <w:rPr>
          <w:noProof/>
        </w:rPr>
      </w:pPr>
      <w:r w:rsidRPr="00610A40">
        <w:rPr>
          <w:noProof/>
        </w:rPr>
        <w:t xml:space="preserve">(42) </w:t>
      </w:r>
      <w:r w:rsidRPr="00610A40">
        <w:rPr>
          <w:noProof/>
        </w:rPr>
        <w:tab/>
        <w:t xml:space="preserve">Thiago Caon; Nathalie Berezina; Carol Sze Ki Lin; Farayde Matta Fakhouri; Martelli, S. M. “Polyhydroxyalkanoates and Their Potential in Controlled-Release Drug Delivery Systems - Biomedical Applications and Factors Affecting the Drug Release.” In </w:t>
      </w:r>
      <w:r w:rsidRPr="00610A40">
        <w:rPr>
          <w:i/>
          <w:iCs/>
          <w:noProof/>
        </w:rPr>
        <w:t>Polyhydroxyalkanoates (PHAs): Biosynthesis, Industrial Production and Applications in Medicine</w:t>
      </w:r>
      <w:r w:rsidRPr="00610A40">
        <w:rPr>
          <w:noProof/>
        </w:rPr>
        <w:t>; Linping, W., Ed.; Nova Science Publishers: USA, 2014; pp. 219–236.</w:t>
      </w:r>
    </w:p>
    <w:p w14:paraId="7A9F442D" w14:textId="77777777" w:rsidR="00565E2A" w:rsidRPr="00610A40" w:rsidRDefault="00565E2A">
      <w:pPr>
        <w:pStyle w:val="NormalWeb"/>
        <w:ind w:left="640" w:hanging="640"/>
        <w:divId w:val="700402019"/>
        <w:rPr>
          <w:noProof/>
        </w:rPr>
      </w:pPr>
      <w:r w:rsidRPr="00610A40">
        <w:rPr>
          <w:noProof/>
        </w:rPr>
        <w:t xml:space="preserve">(43) </w:t>
      </w:r>
      <w:r w:rsidRPr="00610A40">
        <w:rPr>
          <w:noProof/>
        </w:rPr>
        <w:tab/>
        <w:t xml:space="preserve">Chung, C. W.; Kim, H. W.; Kim, Y. B.; Rhee, Y. H. “Poly(ethylene Glycol)-Grafted poly(3-Hydroxyundecenoate) Networks for Enhanced Blood Compatibility.” Int. J. Biol. Macromol. 2003, </w:t>
      </w:r>
      <w:r w:rsidRPr="00610A40">
        <w:rPr>
          <w:i/>
          <w:iCs/>
          <w:noProof/>
        </w:rPr>
        <w:t>32</w:t>
      </w:r>
      <w:r w:rsidRPr="00610A40">
        <w:rPr>
          <w:noProof/>
        </w:rPr>
        <w:t>, 17–22.</w:t>
      </w:r>
    </w:p>
    <w:p w14:paraId="4B075913" w14:textId="77777777" w:rsidR="00565E2A" w:rsidRPr="00610A40" w:rsidRDefault="00565E2A">
      <w:pPr>
        <w:pStyle w:val="NormalWeb"/>
        <w:ind w:left="640" w:hanging="640"/>
        <w:divId w:val="700402019"/>
        <w:rPr>
          <w:noProof/>
        </w:rPr>
      </w:pPr>
      <w:r w:rsidRPr="00610A40">
        <w:rPr>
          <w:noProof/>
        </w:rPr>
        <w:t xml:space="preserve">(44) </w:t>
      </w:r>
      <w:r w:rsidRPr="00610A40">
        <w:rPr>
          <w:noProof/>
        </w:rPr>
        <w:tab/>
        <w:t xml:space="preserve">Rai, R.; Tallawi, M.; Grigore, A.; Boccaccini, A. R. “Synthesis, Properties and Biomedical Applications of Poly(glycerol Sebacate) (PGS): A Review.” Prog. Polym. Sci. 2012, </w:t>
      </w:r>
      <w:r w:rsidRPr="00610A40">
        <w:rPr>
          <w:i/>
          <w:iCs/>
          <w:noProof/>
        </w:rPr>
        <w:t>37</w:t>
      </w:r>
      <w:r w:rsidRPr="00610A40">
        <w:rPr>
          <w:noProof/>
        </w:rPr>
        <w:t>, 1051–1078.</w:t>
      </w:r>
    </w:p>
    <w:p w14:paraId="73F108F0" w14:textId="77777777" w:rsidR="00565E2A" w:rsidRPr="00610A40" w:rsidRDefault="00565E2A">
      <w:pPr>
        <w:pStyle w:val="NormalWeb"/>
        <w:ind w:left="640" w:hanging="640"/>
        <w:divId w:val="700402019"/>
        <w:rPr>
          <w:noProof/>
        </w:rPr>
      </w:pPr>
      <w:r w:rsidRPr="00610A40">
        <w:rPr>
          <w:noProof/>
        </w:rPr>
        <w:t xml:space="preserve">(45) </w:t>
      </w:r>
      <w:r w:rsidRPr="00610A40">
        <w:rPr>
          <w:noProof/>
        </w:rPr>
        <w:tab/>
        <w:t xml:space="preserve">Bruggeman, J. P.; Bettinger, C. J.; Nijst, C. L. E.; Kohane, D. S.; Langer, R. “Biodegradable Xylitol-Based Polymers.” Adv. Mater. 2008, </w:t>
      </w:r>
      <w:r w:rsidRPr="00610A40">
        <w:rPr>
          <w:i/>
          <w:iCs/>
          <w:noProof/>
        </w:rPr>
        <w:t>20</w:t>
      </w:r>
      <w:r w:rsidRPr="00610A40">
        <w:rPr>
          <w:noProof/>
        </w:rPr>
        <w:t>, 1922–1927.</w:t>
      </w:r>
    </w:p>
    <w:p w14:paraId="00F0D3A1" w14:textId="77777777" w:rsidR="00565E2A" w:rsidRPr="00610A40" w:rsidRDefault="00565E2A">
      <w:pPr>
        <w:pStyle w:val="NormalWeb"/>
        <w:ind w:left="640" w:hanging="640"/>
        <w:divId w:val="700402019"/>
        <w:rPr>
          <w:noProof/>
        </w:rPr>
      </w:pPr>
      <w:r w:rsidRPr="00610A40">
        <w:rPr>
          <w:noProof/>
        </w:rPr>
        <w:t xml:space="preserve">(46) </w:t>
      </w:r>
      <w:r w:rsidRPr="00610A40">
        <w:rPr>
          <w:noProof/>
        </w:rPr>
        <w:tab/>
        <w:t xml:space="preserve">Nijst, C. L. E.; Bruggeman, J. P.; Karp, J. M.; Ferreira, L.; Bettinger, C. J.; Langer, R. “Synthesis and Characterization of Photocurable Elastomers from Poly(glycerol-Co-Sebacate).” Biomacromolecules 2007, </w:t>
      </w:r>
      <w:r w:rsidRPr="00610A40">
        <w:rPr>
          <w:i/>
          <w:iCs/>
          <w:noProof/>
        </w:rPr>
        <w:t>8</w:t>
      </w:r>
      <w:r w:rsidRPr="00610A40">
        <w:rPr>
          <w:noProof/>
        </w:rPr>
        <w:t>, 3067–3073.</w:t>
      </w:r>
    </w:p>
    <w:p w14:paraId="31F38575" w14:textId="77777777" w:rsidR="00565E2A" w:rsidRPr="00610A40" w:rsidRDefault="00565E2A">
      <w:pPr>
        <w:pStyle w:val="NormalWeb"/>
        <w:ind w:left="640" w:hanging="640"/>
        <w:divId w:val="700402019"/>
        <w:rPr>
          <w:noProof/>
        </w:rPr>
      </w:pPr>
      <w:r w:rsidRPr="00610A40">
        <w:rPr>
          <w:noProof/>
        </w:rPr>
        <w:lastRenderedPageBreak/>
        <w:t xml:space="preserve">(47) </w:t>
      </w:r>
      <w:r w:rsidRPr="00610A40">
        <w:rPr>
          <w:noProof/>
        </w:rPr>
        <w:tab/>
        <w:t xml:space="preserve">Wang, Y.; Ameer, G. A.; Sheppard, B. J.; Langer, R. “A Tough Biodegradable Elastomer.” Nat. Biotechnol. 2002, </w:t>
      </w:r>
      <w:r w:rsidRPr="00610A40">
        <w:rPr>
          <w:i/>
          <w:iCs/>
          <w:noProof/>
        </w:rPr>
        <w:t>20</w:t>
      </w:r>
      <w:r w:rsidRPr="00610A40">
        <w:rPr>
          <w:noProof/>
        </w:rPr>
        <w:t>, 602–606.</w:t>
      </w:r>
    </w:p>
    <w:p w14:paraId="6653954C" w14:textId="77777777" w:rsidR="00565E2A" w:rsidRPr="00610A40" w:rsidRDefault="00565E2A">
      <w:pPr>
        <w:pStyle w:val="NormalWeb"/>
        <w:ind w:left="640" w:hanging="640"/>
        <w:divId w:val="700402019"/>
        <w:rPr>
          <w:noProof/>
        </w:rPr>
      </w:pPr>
      <w:r w:rsidRPr="00610A40">
        <w:rPr>
          <w:noProof/>
        </w:rPr>
        <w:t xml:space="preserve">(48) </w:t>
      </w:r>
      <w:r w:rsidRPr="00610A40">
        <w:rPr>
          <w:noProof/>
        </w:rPr>
        <w:tab/>
        <w:t xml:space="preserve">Jaafar, I. H.; Ammar, M. M.; Jedlicka, S. S.; Pearson, R. a.; Coulter, J. P. “Spectroscopic Evaluation, Thermal, and Thermomechanical Characterization of Poly(glycerol-Sebacate) with Variations in Curing Temperatures and Durations.” J. Mater. Sci. 2010, </w:t>
      </w:r>
      <w:r w:rsidRPr="00610A40">
        <w:rPr>
          <w:i/>
          <w:iCs/>
          <w:noProof/>
        </w:rPr>
        <w:t>45</w:t>
      </w:r>
      <w:r w:rsidRPr="00610A40">
        <w:rPr>
          <w:noProof/>
        </w:rPr>
        <w:t>, 2525–2529.</w:t>
      </w:r>
    </w:p>
    <w:p w14:paraId="2F936801" w14:textId="77777777" w:rsidR="00565E2A" w:rsidRPr="00610A40" w:rsidRDefault="00565E2A">
      <w:pPr>
        <w:pStyle w:val="NormalWeb"/>
        <w:ind w:left="640" w:hanging="640"/>
        <w:divId w:val="700402019"/>
        <w:rPr>
          <w:noProof/>
        </w:rPr>
      </w:pPr>
      <w:r w:rsidRPr="00610A40">
        <w:rPr>
          <w:noProof/>
        </w:rPr>
        <w:t xml:space="preserve">(49) </w:t>
      </w:r>
      <w:r w:rsidRPr="00610A40">
        <w:rPr>
          <w:noProof/>
        </w:rPr>
        <w:tab/>
        <w:t xml:space="preserve">Djordjevic, I.; Choudhury, N. R.; Dutta, N. K.; Kumar, S. “Poly[octanediol-Co-(citric Acid)-Co-(sebacic Acid)] Elastomers: Novel Bio-Elastomers for Tissue Engineering.” Polym. Int. 2011, </w:t>
      </w:r>
      <w:r w:rsidRPr="00610A40">
        <w:rPr>
          <w:i/>
          <w:iCs/>
          <w:noProof/>
        </w:rPr>
        <w:t>60</w:t>
      </w:r>
      <w:r w:rsidRPr="00610A40">
        <w:rPr>
          <w:noProof/>
        </w:rPr>
        <w:t>, 333–343.</w:t>
      </w:r>
    </w:p>
    <w:p w14:paraId="4509B2FF" w14:textId="77777777" w:rsidR="00565E2A" w:rsidRPr="00610A40" w:rsidRDefault="00565E2A">
      <w:pPr>
        <w:pStyle w:val="NormalWeb"/>
        <w:ind w:left="640" w:hanging="640"/>
        <w:divId w:val="700402019"/>
        <w:rPr>
          <w:noProof/>
        </w:rPr>
      </w:pPr>
      <w:r w:rsidRPr="00610A40">
        <w:rPr>
          <w:noProof/>
        </w:rPr>
        <w:t xml:space="preserve">(50) </w:t>
      </w:r>
      <w:r w:rsidRPr="00610A40">
        <w:rPr>
          <w:noProof/>
        </w:rPr>
        <w:tab/>
        <w:t xml:space="preserve">Liang, S.-L.; Yang, X.-Y.; Fang, X.-Y.; Cook, W. D.; Thouas, G. A.; Chen, Q.-Z. “In Vitro Enzymatic Degradation of Poly (glycerol Sebacate)-Based Materials.” Biomaterials 2011, </w:t>
      </w:r>
      <w:r w:rsidRPr="00610A40">
        <w:rPr>
          <w:i/>
          <w:iCs/>
          <w:noProof/>
        </w:rPr>
        <w:t>32</w:t>
      </w:r>
      <w:r w:rsidRPr="00610A40">
        <w:rPr>
          <w:noProof/>
        </w:rPr>
        <w:t>, 8486–8496.</w:t>
      </w:r>
    </w:p>
    <w:p w14:paraId="2024C92A" w14:textId="77777777" w:rsidR="00565E2A" w:rsidRPr="00610A40" w:rsidRDefault="00565E2A">
      <w:pPr>
        <w:pStyle w:val="NormalWeb"/>
        <w:ind w:left="640" w:hanging="640"/>
        <w:divId w:val="700402019"/>
        <w:rPr>
          <w:noProof/>
        </w:rPr>
      </w:pPr>
      <w:r w:rsidRPr="00610A40">
        <w:rPr>
          <w:noProof/>
        </w:rPr>
        <w:t xml:space="preserve">(51) </w:t>
      </w:r>
      <w:r w:rsidRPr="00610A40">
        <w:rPr>
          <w:noProof/>
        </w:rPr>
        <w:tab/>
        <w:t xml:space="preserve">Chen, Q.; Liang, S.; Thouas, G. A. “Synthesis and Characterisation of Poly(glycerol Sebacate)-Co-Lactic Acid as Surgical Sealants.” Soft Matter 2011, </w:t>
      </w:r>
      <w:r w:rsidRPr="00610A40">
        <w:rPr>
          <w:i/>
          <w:iCs/>
          <w:noProof/>
        </w:rPr>
        <w:t>7</w:t>
      </w:r>
      <w:r w:rsidRPr="00610A40">
        <w:rPr>
          <w:noProof/>
        </w:rPr>
        <w:t>, 6484–6492.</w:t>
      </w:r>
    </w:p>
    <w:p w14:paraId="3E4612A5" w14:textId="77777777" w:rsidR="00565E2A" w:rsidRPr="00610A40" w:rsidRDefault="00565E2A">
      <w:pPr>
        <w:pStyle w:val="NormalWeb"/>
        <w:ind w:left="640" w:hanging="640"/>
        <w:divId w:val="700402019"/>
        <w:rPr>
          <w:noProof/>
        </w:rPr>
      </w:pPr>
      <w:r w:rsidRPr="00610A40">
        <w:rPr>
          <w:noProof/>
        </w:rPr>
        <w:t xml:space="preserve">(52) </w:t>
      </w:r>
      <w:r w:rsidRPr="00610A40">
        <w:rPr>
          <w:noProof/>
        </w:rPr>
        <w:tab/>
        <w:t xml:space="preserve">Liang, S.-L.; Cook, W. D.; Thouas, G. A.; Chen, Q.-Z. “The Mechanical Characteristics and in Vitro Biocompatibility of Poly(glycerol Sebacate)-Bioglass® Elastomeric Composites.” Biomaterials 2010, </w:t>
      </w:r>
      <w:r w:rsidRPr="00610A40">
        <w:rPr>
          <w:i/>
          <w:iCs/>
          <w:noProof/>
        </w:rPr>
        <w:t>31</w:t>
      </w:r>
      <w:r w:rsidRPr="00610A40">
        <w:rPr>
          <w:noProof/>
        </w:rPr>
        <w:t>, 8516–8529.</w:t>
      </w:r>
    </w:p>
    <w:p w14:paraId="21461B3C" w14:textId="77777777" w:rsidR="00565E2A" w:rsidRPr="00610A40" w:rsidRDefault="00565E2A">
      <w:pPr>
        <w:pStyle w:val="NormalWeb"/>
        <w:ind w:left="640" w:hanging="640"/>
        <w:divId w:val="700402019"/>
        <w:rPr>
          <w:noProof/>
        </w:rPr>
      </w:pPr>
      <w:r w:rsidRPr="00610A40">
        <w:rPr>
          <w:noProof/>
        </w:rPr>
        <w:t xml:space="preserve">(53) </w:t>
      </w:r>
      <w:r w:rsidRPr="00610A40">
        <w:rPr>
          <w:noProof/>
        </w:rPr>
        <w:tab/>
        <w:t xml:space="preserve">Pomerantseva, I.; Krebs, N.; Hart, A.; Neville, C. M.; Huang, A. Y.; Sundback, C. a. “Degradation Behavior of Poly(glycerol Sebacate).” J. Biomed. Mater. Res. - Part A 2009, </w:t>
      </w:r>
      <w:r w:rsidRPr="00610A40">
        <w:rPr>
          <w:i/>
          <w:iCs/>
          <w:noProof/>
        </w:rPr>
        <w:t>91</w:t>
      </w:r>
      <w:r w:rsidRPr="00610A40">
        <w:rPr>
          <w:noProof/>
        </w:rPr>
        <w:t>, 1038–1047.</w:t>
      </w:r>
    </w:p>
    <w:p w14:paraId="198F97BA" w14:textId="77777777" w:rsidR="00565E2A" w:rsidRPr="00610A40" w:rsidRDefault="00565E2A">
      <w:pPr>
        <w:pStyle w:val="NormalWeb"/>
        <w:ind w:left="640" w:hanging="640"/>
        <w:divId w:val="700402019"/>
        <w:rPr>
          <w:noProof/>
        </w:rPr>
      </w:pPr>
      <w:r w:rsidRPr="00610A40">
        <w:rPr>
          <w:noProof/>
        </w:rPr>
        <w:t xml:space="preserve">(54) </w:t>
      </w:r>
      <w:r w:rsidRPr="00610A40">
        <w:rPr>
          <w:noProof/>
        </w:rPr>
        <w:tab/>
        <w:t xml:space="preserve">Cai, W.; Liu, L. “Shape-Memory Effect of Poly (glycerol-Sebacate) Elastomer.” Mater. Lett. 2008, </w:t>
      </w:r>
      <w:r w:rsidRPr="00610A40">
        <w:rPr>
          <w:i/>
          <w:iCs/>
          <w:noProof/>
        </w:rPr>
        <w:t>62</w:t>
      </w:r>
      <w:r w:rsidRPr="00610A40">
        <w:rPr>
          <w:noProof/>
        </w:rPr>
        <w:t>, 2175–2177.</w:t>
      </w:r>
    </w:p>
    <w:p w14:paraId="34BC86A0" w14:textId="77777777" w:rsidR="00565E2A" w:rsidRPr="00610A40" w:rsidRDefault="00565E2A">
      <w:pPr>
        <w:pStyle w:val="NormalWeb"/>
        <w:ind w:left="640" w:hanging="640"/>
        <w:divId w:val="700402019"/>
        <w:rPr>
          <w:noProof/>
        </w:rPr>
      </w:pPr>
      <w:r w:rsidRPr="00610A40">
        <w:rPr>
          <w:noProof/>
        </w:rPr>
        <w:t xml:space="preserve">(55) </w:t>
      </w:r>
      <w:r w:rsidRPr="00610A40">
        <w:rPr>
          <w:noProof/>
        </w:rPr>
        <w:tab/>
        <w:t xml:space="preserve">Shi, R.; Chen, D.; Liu, Q.; Wu, Y.; Xu, X.; Zhang, L.; Tian, W. “Recent Advances in Synthetic Bioelastomers.” Int. J. Mol. Sci. 2009, </w:t>
      </w:r>
      <w:r w:rsidRPr="00610A40">
        <w:rPr>
          <w:i/>
          <w:iCs/>
          <w:noProof/>
        </w:rPr>
        <w:t>10</w:t>
      </w:r>
      <w:r w:rsidRPr="00610A40">
        <w:rPr>
          <w:noProof/>
        </w:rPr>
        <w:t>, 4223–4256.</w:t>
      </w:r>
    </w:p>
    <w:p w14:paraId="3F85699D" w14:textId="77777777" w:rsidR="00565E2A" w:rsidRPr="00610A40" w:rsidRDefault="00565E2A">
      <w:pPr>
        <w:pStyle w:val="NormalWeb"/>
        <w:ind w:left="640" w:hanging="640"/>
        <w:divId w:val="700402019"/>
        <w:rPr>
          <w:noProof/>
        </w:rPr>
      </w:pPr>
      <w:r w:rsidRPr="00610A40">
        <w:rPr>
          <w:noProof/>
        </w:rPr>
        <w:t xml:space="preserve">(56) </w:t>
      </w:r>
      <w:r w:rsidRPr="00610A40">
        <w:rPr>
          <w:noProof/>
        </w:rPr>
        <w:tab/>
        <w:t xml:space="preserve">Li, Y.; Thouas, G. a; Chen, Q.-Z. “Biodegradable Soft Elastomers: Synthesis/properties of Materials and Fabrication of Scaffolds.” RSC Adv. 2012, </w:t>
      </w:r>
      <w:r w:rsidRPr="00610A40">
        <w:rPr>
          <w:i/>
          <w:iCs/>
          <w:noProof/>
        </w:rPr>
        <w:t>2</w:t>
      </w:r>
      <w:r w:rsidRPr="00610A40">
        <w:rPr>
          <w:noProof/>
        </w:rPr>
        <w:t>, 8229.</w:t>
      </w:r>
    </w:p>
    <w:p w14:paraId="7C317C6E" w14:textId="77777777" w:rsidR="00565E2A" w:rsidRPr="00610A40" w:rsidRDefault="00565E2A">
      <w:pPr>
        <w:pStyle w:val="NormalWeb"/>
        <w:ind w:left="640" w:hanging="640"/>
        <w:divId w:val="700402019"/>
        <w:rPr>
          <w:noProof/>
        </w:rPr>
      </w:pPr>
      <w:r w:rsidRPr="00610A40">
        <w:rPr>
          <w:noProof/>
        </w:rPr>
        <w:t xml:space="preserve">(57) </w:t>
      </w:r>
      <w:r w:rsidRPr="00610A40">
        <w:rPr>
          <w:noProof/>
        </w:rPr>
        <w:tab/>
        <w:t xml:space="preserve">Yang, J.; Webb, A. R.; Ameer, G. A. “Novel Citric Acid-Based Biodegradable Elastomers for Tissue Engineering.” Adv. Mater. 2004, </w:t>
      </w:r>
      <w:r w:rsidRPr="00610A40">
        <w:rPr>
          <w:i/>
          <w:iCs/>
          <w:noProof/>
        </w:rPr>
        <w:t>16</w:t>
      </w:r>
      <w:r w:rsidRPr="00610A40">
        <w:rPr>
          <w:noProof/>
        </w:rPr>
        <w:t>, 511–516.</w:t>
      </w:r>
    </w:p>
    <w:p w14:paraId="117F8458" w14:textId="77777777" w:rsidR="00565E2A" w:rsidRPr="00610A40" w:rsidRDefault="00565E2A">
      <w:pPr>
        <w:pStyle w:val="NormalWeb"/>
        <w:ind w:left="640" w:hanging="640"/>
        <w:divId w:val="700402019"/>
        <w:rPr>
          <w:noProof/>
        </w:rPr>
      </w:pPr>
      <w:r w:rsidRPr="00610A40">
        <w:rPr>
          <w:noProof/>
        </w:rPr>
        <w:t xml:space="preserve">(58) </w:t>
      </w:r>
      <w:r w:rsidRPr="00610A40">
        <w:rPr>
          <w:noProof/>
        </w:rPr>
        <w:tab/>
        <w:t xml:space="preserve">Yang, J.; Webb, A. R.; Pickerill, S. J.; Hageman, G.; Ameer, G. a. “Synthesis and Evaluation of Poly(diol Citrate) Biodegradable Elastomers.” Biomaterials 2006, </w:t>
      </w:r>
      <w:r w:rsidRPr="00610A40">
        <w:rPr>
          <w:i/>
          <w:iCs/>
          <w:noProof/>
        </w:rPr>
        <w:t>27</w:t>
      </w:r>
      <w:r w:rsidRPr="00610A40">
        <w:rPr>
          <w:noProof/>
        </w:rPr>
        <w:t>, 1889–1898.</w:t>
      </w:r>
    </w:p>
    <w:p w14:paraId="6404EB86" w14:textId="77777777" w:rsidR="00565E2A" w:rsidRPr="00610A40" w:rsidRDefault="00565E2A">
      <w:pPr>
        <w:pStyle w:val="NormalWeb"/>
        <w:ind w:left="640" w:hanging="640"/>
        <w:divId w:val="700402019"/>
        <w:rPr>
          <w:noProof/>
        </w:rPr>
      </w:pPr>
      <w:r w:rsidRPr="00610A40">
        <w:rPr>
          <w:noProof/>
        </w:rPr>
        <w:t xml:space="preserve">(59) </w:t>
      </w:r>
      <w:r w:rsidRPr="00610A40">
        <w:rPr>
          <w:noProof/>
        </w:rPr>
        <w:tab/>
        <w:t xml:space="preserve">Motlagh, D.; Allen, J.; Hoshi, R.; Yang, J.; Lui, K.; Ameer, G. “Hemocompatibility Evaluation of Poly(diol Citrate) in Vitro for Vascular Tissue Engineering.” J. Biomed. Mater. Res. Part A 2007, </w:t>
      </w:r>
      <w:r w:rsidRPr="00610A40">
        <w:rPr>
          <w:i/>
          <w:iCs/>
          <w:noProof/>
        </w:rPr>
        <w:t>82A</w:t>
      </w:r>
      <w:r w:rsidRPr="00610A40">
        <w:rPr>
          <w:noProof/>
        </w:rPr>
        <w:t>, 907–916.</w:t>
      </w:r>
    </w:p>
    <w:p w14:paraId="2BCC5F6E" w14:textId="77777777" w:rsidR="00565E2A" w:rsidRPr="00610A40" w:rsidRDefault="00565E2A">
      <w:pPr>
        <w:pStyle w:val="NormalWeb"/>
        <w:ind w:left="640" w:hanging="640"/>
        <w:divId w:val="700402019"/>
        <w:rPr>
          <w:noProof/>
        </w:rPr>
      </w:pPr>
      <w:r w:rsidRPr="00610A40">
        <w:rPr>
          <w:noProof/>
        </w:rPr>
        <w:lastRenderedPageBreak/>
        <w:t xml:space="preserve">(60) </w:t>
      </w:r>
      <w:r w:rsidRPr="00610A40">
        <w:rPr>
          <w:noProof/>
        </w:rPr>
        <w:tab/>
        <w:t xml:space="preserve">Yang, J.; Webb, A. R.; Ameer, G. a. “Novel Citric Acid-Based Biodegradable Elastomers for Tissue Engineering.” Adv. Mater. 2004, </w:t>
      </w:r>
      <w:r w:rsidRPr="00610A40">
        <w:rPr>
          <w:i/>
          <w:iCs/>
          <w:noProof/>
        </w:rPr>
        <w:t>16</w:t>
      </w:r>
      <w:r w:rsidRPr="00610A40">
        <w:rPr>
          <w:noProof/>
        </w:rPr>
        <w:t>, 511–516.</w:t>
      </w:r>
    </w:p>
    <w:p w14:paraId="5A75BA14" w14:textId="77777777" w:rsidR="00565E2A" w:rsidRPr="00610A40" w:rsidRDefault="00565E2A">
      <w:pPr>
        <w:pStyle w:val="NormalWeb"/>
        <w:ind w:left="640" w:hanging="640"/>
        <w:divId w:val="700402019"/>
        <w:rPr>
          <w:noProof/>
        </w:rPr>
      </w:pPr>
      <w:r w:rsidRPr="00610A40">
        <w:rPr>
          <w:noProof/>
        </w:rPr>
        <w:t xml:space="preserve">(61) </w:t>
      </w:r>
      <w:r w:rsidRPr="00610A40">
        <w:rPr>
          <w:noProof/>
        </w:rPr>
        <w:tab/>
        <w:t xml:space="preserve">Serrano, M. C.; Gutiérrez, M. C.; Jiménez, R.; Ferrer, M. L.; Monte, F. Del. “Synthesis of Novel Lidocaine-Releasing Poly(diol-Co-Citrate) Elastomers by Using Deep Eutectic Solvents.” Chem. Commun. 2012, </w:t>
      </w:r>
      <w:r w:rsidRPr="00610A40">
        <w:rPr>
          <w:i/>
          <w:iCs/>
          <w:noProof/>
        </w:rPr>
        <w:t>48</w:t>
      </w:r>
      <w:r w:rsidRPr="00610A40">
        <w:rPr>
          <w:noProof/>
        </w:rPr>
        <w:t>, 579–581.</w:t>
      </w:r>
    </w:p>
    <w:p w14:paraId="7170772A" w14:textId="77777777" w:rsidR="00565E2A" w:rsidRPr="00610A40" w:rsidRDefault="00565E2A">
      <w:pPr>
        <w:pStyle w:val="NormalWeb"/>
        <w:ind w:left="640" w:hanging="640"/>
        <w:divId w:val="700402019"/>
        <w:rPr>
          <w:noProof/>
        </w:rPr>
      </w:pPr>
      <w:r w:rsidRPr="00610A40">
        <w:rPr>
          <w:noProof/>
        </w:rPr>
        <w:t xml:space="preserve">(62) </w:t>
      </w:r>
      <w:r w:rsidRPr="00610A40">
        <w:rPr>
          <w:noProof/>
        </w:rPr>
        <w:tab/>
        <w:t xml:space="preserve">Djordjevic, I.; Choudhury, N. R.; Dutta, N. K.; Kumar, S.; Szili, E. J.; Steele, D. A. “Polyoctanediol Citrate/Sebacate Bioelastomer Films: Surface Morphology, Chemistry and Functionality.” J. Biomater. Sci. Polym. Ed. 2010, </w:t>
      </w:r>
      <w:r w:rsidRPr="00610A40">
        <w:rPr>
          <w:i/>
          <w:iCs/>
          <w:noProof/>
        </w:rPr>
        <w:t>21</w:t>
      </w:r>
      <w:r w:rsidRPr="00610A40">
        <w:rPr>
          <w:noProof/>
        </w:rPr>
        <w:t>, 237–251.</w:t>
      </w:r>
    </w:p>
    <w:p w14:paraId="029887AA" w14:textId="77777777" w:rsidR="00565E2A" w:rsidRPr="00610A40" w:rsidRDefault="00565E2A">
      <w:pPr>
        <w:pStyle w:val="NormalWeb"/>
        <w:ind w:left="640" w:hanging="640"/>
        <w:divId w:val="700402019"/>
        <w:rPr>
          <w:noProof/>
        </w:rPr>
      </w:pPr>
      <w:r w:rsidRPr="00610A40">
        <w:rPr>
          <w:noProof/>
        </w:rPr>
        <w:t xml:space="preserve">(63) </w:t>
      </w:r>
      <w:r w:rsidRPr="00610A40">
        <w:rPr>
          <w:noProof/>
        </w:rPr>
        <w:tab/>
        <w:t xml:space="preserve">Djordjevic, I.; Choudhury, N. R.; Dutta, N. K.; Kumar, S. “Synthesis and Characterization of Novel Citric Acid-Based Polyester Elastomers.” Polymer (Guildf). 2009, </w:t>
      </w:r>
      <w:r w:rsidRPr="00610A40">
        <w:rPr>
          <w:i/>
          <w:iCs/>
          <w:noProof/>
        </w:rPr>
        <w:t>50</w:t>
      </w:r>
      <w:r w:rsidRPr="00610A40">
        <w:rPr>
          <w:noProof/>
        </w:rPr>
        <w:t>, 1682–1691.</w:t>
      </w:r>
    </w:p>
    <w:p w14:paraId="30992C8C" w14:textId="77777777" w:rsidR="00565E2A" w:rsidRPr="00610A40" w:rsidRDefault="00565E2A">
      <w:pPr>
        <w:pStyle w:val="NormalWeb"/>
        <w:ind w:left="640" w:hanging="640"/>
        <w:divId w:val="700402019"/>
        <w:rPr>
          <w:noProof/>
        </w:rPr>
      </w:pPr>
      <w:r w:rsidRPr="00610A40">
        <w:rPr>
          <w:noProof/>
        </w:rPr>
        <w:t xml:space="preserve">(64) </w:t>
      </w:r>
      <w:r w:rsidRPr="00610A40">
        <w:rPr>
          <w:noProof/>
        </w:rPr>
        <w:tab/>
        <w:t xml:space="preserve">Djordjevic, I.; Szili, E. J.; Choudhury, N. R.; Dutta, N.; Steele, D. A.; Kumar, S. “Osteoblast Biocompatibility on Poly(octanediol citrate)/Sebacate Elastomers with Controlled Wettability.” J. Biomater. Sci. Polym. Ed. 2010, </w:t>
      </w:r>
      <w:r w:rsidRPr="00610A40">
        <w:rPr>
          <w:i/>
          <w:iCs/>
          <w:noProof/>
        </w:rPr>
        <w:t>21</w:t>
      </w:r>
      <w:r w:rsidRPr="00610A40">
        <w:rPr>
          <w:noProof/>
        </w:rPr>
        <w:t>, 1039–1050.</w:t>
      </w:r>
    </w:p>
    <w:p w14:paraId="7F4EBBA4" w14:textId="77777777" w:rsidR="00565E2A" w:rsidRPr="00610A40" w:rsidRDefault="00565E2A">
      <w:pPr>
        <w:pStyle w:val="NormalWeb"/>
        <w:ind w:left="640" w:hanging="640"/>
        <w:divId w:val="700402019"/>
        <w:rPr>
          <w:noProof/>
        </w:rPr>
      </w:pPr>
      <w:r w:rsidRPr="00610A40">
        <w:rPr>
          <w:noProof/>
        </w:rPr>
        <w:t xml:space="preserve">(65) </w:t>
      </w:r>
      <w:r w:rsidRPr="00610A40">
        <w:rPr>
          <w:noProof/>
        </w:rPr>
        <w:tab/>
        <w:t xml:space="preserve">Pêgo, A. P.; Grijpma, D. W.; Feijen, J. “Enhanced Mechanical Properties of 1,3-Trimethylene Carbonate Polymers and Networks.” Polymer (Guildf). 2003, </w:t>
      </w:r>
      <w:r w:rsidRPr="00610A40">
        <w:rPr>
          <w:i/>
          <w:iCs/>
          <w:noProof/>
        </w:rPr>
        <w:t>44</w:t>
      </w:r>
      <w:r w:rsidRPr="00610A40">
        <w:rPr>
          <w:noProof/>
        </w:rPr>
        <w:t>, 6495–6504.</w:t>
      </w:r>
    </w:p>
    <w:p w14:paraId="0A81900C" w14:textId="77777777" w:rsidR="00565E2A" w:rsidRPr="00610A40" w:rsidRDefault="00565E2A">
      <w:pPr>
        <w:pStyle w:val="NormalWeb"/>
        <w:ind w:left="640" w:hanging="640"/>
        <w:divId w:val="700402019"/>
        <w:rPr>
          <w:noProof/>
        </w:rPr>
      </w:pPr>
      <w:r w:rsidRPr="00610A40">
        <w:rPr>
          <w:noProof/>
        </w:rPr>
        <w:t xml:space="preserve">(66) </w:t>
      </w:r>
      <w:r w:rsidRPr="00610A40">
        <w:rPr>
          <w:noProof/>
        </w:rPr>
        <w:tab/>
        <w:t xml:space="preserve">Yang, L. Q.; He, B.; Meng, S.; Zhang, J. Z.; Li, M.; Guo, J.; Guan, Y. M.; Li, J. X.; Gu, Z. W. “Biodegradable Cross-Linked Poly(trimethylene Carbonate) Networks for Implant Applications: Synthesis and Properties.” Polym. (United Kingdom) 2013, </w:t>
      </w:r>
      <w:r w:rsidRPr="00610A40">
        <w:rPr>
          <w:i/>
          <w:iCs/>
          <w:noProof/>
        </w:rPr>
        <w:t>54</w:t>
      </w:r>
      <w:r w:rsidRPr="00610A40">
        <w:rPr>
          <w:noProof/>
        </w:rPr>
        <w:t>, 2668–2675.</w:t>
      </w:r>
    </w:p>
    <w:p w14:paraId="277FCD70" w14:textId="77777777" w:rsidR="00565E2A" w:rsidRPr="00610A40" w:rsidRDefault="00565E2A">
      <w:pPr>
        <w:pStyle w:val="NormalWeb"/>
        <w:ind w:left="640" w:hanging="640"/>
        <w:divId w:val="700402019"/>
        <w:rPr>
          <w:noProof/>
        </w:rPr>
      </w:pPr>
      <w:r w:rsidRPr="00610A40">
        <w:rPr>
          <w:noProof/>
        </w:rPr>
        <w:t xml:space="preserve">(67) </w:t>
      </w:r>
      <w:r w:rsidRPr="00610A40">
        <w:rPr>
          <w:noProof/>
        </w:rPr>
        <w:tab/>
        <w:t xml:space="preserve">Bat, E.; van Kooten, T. G.; Feijen, J.; Grijpma, D. W. “Resorbable Elastomeric Networks Prepared by Photocrosslinking of High-Molecular-Weight Poly(trimethylene Carbonate) with Photoinitiators and Poly(trimethylene Carbonate) Macromers as Crosslinking Aids.” Acta Biomater. 2011, </w:t>
      </w:r>
      <w:r w:rsidRPr="00610A40">
        <w:rPr>
          <w:i/>
          <w:iCs/>
          <w:noProof/>
        </w:rPr>
        <w:t>7</w:t>
      </w:r>
      <w:r w:rsidRPr="00610A40">
        <w:rPr>
          <w:noProof/>
        </w:rPr>
        <w:t>, 1939–1948.</w:t>
      </w:r>
    </w:p>
    <w:p w14:paraId="6CF91A8D" w14:textId="77777777" w:rsidR="00565E2A" w:rsidRPr="00610A40" w:rsidRDefault="00565E2A">
      <w:pPr>
        <w:pStyle w:val="NormalWeb"/>
        <w:ind w:left="640" w:hanging="640"/>
        <w:divId w:val="700402019"/>
        <w:rPr>
          <w:noProof/>
        </w:rPr>
      </w:pPr>
      <w:r w:rsidRPr="00610A40">
        <w:rPr>
          <w:noProof/>
        </w:rPr>
        <w:t xml:space="preserve">(68) </w:t>
      </w:r>
      <w:r w:rsidRPr="00610A40">
        <w:rPr>
          <w:noProof/>
        </w:rPr>
        <w:tab/>
        <w:t xml:space="preserve">Bat, E.; Kothman, B. H. M.; Higuera, G. A.; van Blitterswijk, C. A.; Feijen, J.; Grijpma, D. W. “Ultraviolet Light Crosslinking of Poly(trimethylene Carbonate) for Elastomeric Tissue Engineering Scaffolds.” Biomaterials 2010, </w:t>
      </w:r>
      <w:r w:rsidRPr="00610A40">
        <w:rPr>
          <w:i/>
          <w:iCs/>
          <w:noProof/>
        </w:rPr>
        <w:t>31</w:t>
      </w:r>
      <w:r w:rsidRPr="00610A40">
        <w:rPr>
          <w:noProof/>
        </w:rPr>
        <w:t>, 8696–8705.</w:t>
      </w:r>
    </w:p>
    <w:p w14:paraId="2B7C7D66" w14:textId="77777777" w:rsidR="00565E2A" w:rsidRPr="00610A40" w:rsidRDefault="00565E2A">
      <w:pPr>
        <w:pStyle w:val="NormalWeb"/>
        <w:ind w:left="640" w:hanging="640"/>
        <w:divId w:val="700402019"/>
        <w:rPr>
          <w:noProof/>
        </w:rPr>
      </w:pPr>
      <w:r w:rsidRPr="00610A40">
        <w:rPr>
          <w:noProof/>
        </w:rPr>
        <w:t xml:space="preserve">(69) </w:t>
      </w:r>
      <w:r w:rsidRPr="00610A40">
        <w:rPr>
          <w:noProof/>
        </w:rPr>
        <w:tab/>
        <w:t xml:space="preserve">Dargaville, B. L.; Vaquette, C.; Peng, H.; Rasoul, F.; Chau, Y. Q.; Cooper-White, J. J.; Campbell, J. H.; Whittaker, A. K. “Cross-Linked Poly(trimethylene Carbonate-Co-L-Lactide) as a Biodegradable, Elastomeric Scaffold for Vascular Engineering Applications.” Biomacromolecules 2011, </w:t>
      </w:r>
      <w:r w:rsidRPr="00610A40">
        <w:rPr>
          <w:i/>
          <w:iCs/>
          <w:noProof/>
        </w:rPr>
        <w:t>12</w:t>
      </w:r>
      <w:r w:rsidRPr="00610A40">
        <w:rPr>
          <w:noProof/>
        </w:rPr>
        <w:t>, 3856–3869.</w:t>
      </w:r>
    </w:p>
    <w:p w14:paraId="61E3745D" w14:textId="77777777" w:rsidR="00565E2A" w:rsidRPr="00610A40" w:rsidRDefault="00565E2A">
      <w:pPr>
        <w:pStyle w:val="NormalWeb"/>
        <w:ind w:left="640" w:hanging="640"/>
        <w:divId w:val="700402019"/>
        <w:rPr>
          <w:noProof/>
        </w:rPr>
      </w:pPr>
      <w:r w:rsidRPr="00610A40">
        <w:rPr>
          <w:noProof/>
        </w:rPr>
        <w:t xml:space="preserve">(70) </w:t>
      </w:r>
      <w:r w:rsidRPr="00610A40">
        <w:rPr>
          <w:noProof/>
        </w:rPr>
        <w:tab/>
        <w:t xml:space="preserve">Song, Y.; Kamphuis, M. M. J.; Zhang, Z.; Sterk, L. M. T.; Vermes, I.; Poot, A. A.; Feijen, J.; Grijpma, D. W. “Flexible and Elastic Porous Poly(trimethylene Carbonate) Structures for Use in Vascular Tissue Engineering.” Acta Biomater. 2010, </w:t>
      </w:r>
      <w:r w:rsidRPr="00610A40">
        <w:rPr>
          <w:i/>
          <w:iCs/>
          <w:noProof/>
        </w:rPr>
        <w:t>6</w:t>
      </w:r>
      <w:r w:rsidRPr="00610A40">
        <w:rPr>
          <w:noProof/>
        </w:rPr>
        <w:t>, 1269–1277.</w:t>
      </w:r>
    </w:p>
    <w:p w14:paraId="6DF40A78" w14:textId="77777777" w:rsidR="00565E2A" w:rsidRPr="00610A40" w:rsidRDefault="00565E2A">
      <w:pPr>
        <w:pStyle w:val="NormalWeb"/>
        <w:ind w:left="640" w:hanging="640"/>
        <w:divId w:val="700402019"/>
        <w:rPr>
          <w:noProof/>
        </w:rPr>
      </w:pPr>
      <w:r w:rsidRPr="00610A40">
        <w:rPr>
          <w:noProof/>
        </w:rPr>
        <w:lastRenderedPageBreak/>
        <w:t xml:space="preserve">(71) </w:t>
      </w:r>
      <w:r w:rsidRPr="00610A40">
        <w:rPr>
          <w:noProof/>
        </w:rPr>
        <w:tab/>
        <w:t xml:space="preserve">Song, Y.; Wennink, J. W. H.; Kamphuis, M. M. J.; Sterk, L. M. T.; Vermes, I.; Poot, A. A.; Feijen, J.; Grijpma, D. W. “Dynamic Culturing of Smooth Muscle Cells in Tubular Poly(Trimethylene Carbonate) Scaffolds for Vascular Tissue Engineering.” Tissue Eng. Part A 2010, </w:t>
      </w:r>
      <w:r w:rsidRPr="00610A40">
        <w:rPr>
          <w:i/>
          <w:iCs/>
          <w:noProof/>
        </w:rPr>
        <w:t>17</w:t>
      </w:r>
      <w:r w:rsidRPr="00610A40">
        <w:rPr>
          <w:noProof/>
        </w:rPr>
        <w:t>, 381–387.</w:t>
      </w:r>
    </w:p>
    <w:p w14:paraId="46429302" w14:textId="77777777" w:rsidR="00565E2A" w:rsidRPr="00610A40" w:rsidRDefault="00565E2A">
      <w:pPr>
        <w:pStyle w:val="NormalWeb"/>
        <w:ind w:left="640" w:hanging="640"/>
        <w:divId w:val="700402019"/>
        <w:rPr>
          <w:noProof/>
        </w:rPr>
      </w:pPr>
      <w:r w:rsidRPr="00610A40">
        <w:rPr>
          <w:noProof/>
        </w:rPr>
        <w:t xml:space="preserve">(72) </w:t>
      </w:r>
      <w:r w:rsidRPr="00610A40">
        <w:rPr>
          <w:noProof/>
        </w:rPr>
        <w:tab/>
        <w:t xml:space="preserve">Bat, E.; Plantinga, J. A.; Harmsen, M. C.; van Luyn, M. J. A.; Zhang, Z.; Grijpma, D. W.; Feijen, J. “Trimethylene Carbonate and Ε-Caprolactone Based (co)Polymer Networks: Mechanical Properties and Enzymatic Degradation.” Biomacromolecules 2008, </w:t>
      </w:r>
      <w:r w:rsidRPr="00610A40">
        <w:rPr>
          <w:i/>
          <w:iCs/>
          <w:noProof/>
        </w:rPr>
        <w:t>9</w:t>
      </w:r>
      <w:r w:rsidRPr="00610A40">
        <w:rPr>
          <w:noProof/>
        </w:rPr>
        <w:t>, 3208–3215.</w:t>
      </w:r>
    </w:p>
    <w:p w14:paraId="030E7F7C" w14:textId="77777777" w:rsidR="00565E2A" w:rsidRPr="00610A40" w:rsidRDefault="00565E2A">
      <w:pPr>
        <w:pStyle w:val="NormalWeb"/>
        <w:ind w:left="640" w:hanging="640"/>
        <w:divId w:val="700402019"/>
        <w:rPr>
          <w:noProof/>
        </w:rPr>
      </w:pPr>
      <w:r w:rsidRPr="00610A40">
        <w:rPr>
          <w:noProof/>
        </w:rPr>
        <w:t xml:space="preserve">(73) </w:t>
      </w:r>
      <w:r w:rsidRPr="00610A40">
        <w:rPr>
          <w:noProof/>
        </w:rPr>
        <w:tab/>
        <w:t xml:space="preserve">Cork, J.; Whittaker, A. K.; Cooper-White, J. J.; Grøndahl, L.; Koning, C. E.; Diall, O.; Geerts, S.; Whittaker, A. K. “Tensile Properties and in Vitro Degradation of P(TMC-Co-LLA) Elastomers.” J. Mater. Chem. B 2015, </w:t>
      </w:r>
      <w:r w:rsidRPr="00610A40">
        <w:rPr>
          <w:i/>
          <w:iCs/>
          <w:noProof/>
        </w:rPr>
        <w:t>3</w:t>
      </w:r>
      <w:r w:rsidRPr="00610A40">
        <w:rPr>
          <w:noProof/>
        </w:rPr>
        <w:t>, 4406–4416.</w:t>
      </w:r>
    </w:p>
    <w:p w14:paraId="5E3D5DA9" w14:textId="77777777" w:rsidR="00565E2A" w:rsidRPr="00610A40" w:rsidRDefault="00565E2A">
      <w:pPr>
        <w:pStyle w:val="NormalWeb"/>
        <w:ind w:left="640" w:hanging="640"/>
        <w:divId w:val="700402019"/>
        <w:rPr>
          <w:noProof/>
        </w:rPr>
      </w:pPr>
      <w:r w:rsidRPr="00610A40">
        <w:rPr>
          <w:noProof/>
        </w:rPr>
        <w:t xml:space="preserve">(74) </w:t>
      </w:r>
      <w:r w:rsidRPr="00610A40">
        <w:rPr>
          <w:noProof/>
        </w:rPr>
        <w:tab/>
        <w:t xml:space="preserve">Yang, L.; Li, J.; Meng, S.; Jin, Y.; Zhang, J.; Li, M.; Guo, J.; Gu, Z. “The in Vitro and in Vivo Degradation Behavior of Poly (trimethylene Carbonate-Co-Ε-Caprolactone) Implants.” Polymer (Guildf). 2014, </w:t>
      </w:r>
      <w:r w:rsidRPr="00610A40">
        <w:rPr>
          <w:i/>
          <w:iCs/>
          <w:noProof/>
        </w:rPr>
        <w:t>55</w:t>
      </w:r>
      <w:r w:rsidRPr="00610A40">
        <w:rPr>
          <w:noProof/>
        </w:rPr>
        <w:t>, 5111–5124.</w:t>
      </w:r>
    </w:p>
    <w:p w14:paraId="733EFD47" w14:textId="77777777" w:rsidR="00565E2A" w:rsidRPr="00610A40" w:rsidRDefault="00565E2A">
      <w:pPr>
        <w:pStyle w:val="NormalWeb"/>
        <w:ind w:left="640" w:hanging="640"/>
        <w:divId w:val="700402019"/>
        <w:rPr>
          <w:noProof/>
        </w:rPr>
      </w:pPr>
      <w:r w:rsidRPr="00610A40">
        <w:rPr>
          <w:noProof/>
        </w:rPr>
        <w:t xml:space="preserve">(75) </w:t>
      </w:r>
      <w:r w:rsidRPr="00610A40">
        <w:rPr>
          <w:noProof/>
        </w:rPr>
        <w:tab/>
        <w:t xml:space="preserve">Bat, E.; Plantinga, J. A.; Harmsen, M. C.; van Luyn, M. J. A.; Feijen, J.; Grijpma, D. W. “In Vivo Behavior of Trimethylene Carbonate and Ε-Caprolactone-Based (co)polymer Networks: Degradation and Tissue Response.” J. Biomed. Mater. Res. Part A 2010, </w:t>
      </w:r>
      <w:r w:rsidRPr="00610A40">
        <w:rPr>
          <w:i/>
          <w:iCs/>
          <w:noProof/>
        </w:rPr>
        <w:t>95A</w:t>
      </w:r>
      <w:r w:rsidRPr="00610A40">
        <w:rPr>
          <w:noProof/>
        </w:rPr>
        <w:t>, 940–949.</w:t>
      </w:r>
    </w:p>
    <w:p w14:paraId="52877850" w14:textId="77777777" w:rsidR="00565E2A" w:rsidRPr="00610A40" w:rsidRDefault="00565E2A">
      <w:pPr>
        <w:pStyle w:val="NormalWeb"/>
        <w:ind w:left="640" w:hanging="640"/>
        <w:divId w:val="700402019"/>
        <w:rPr>
          <w:noProof/>
        </w:rPr>
      </w:pPr>
      <w:r w:rsidRPr="00610A40">
        <w:rPr>
          <w:noProof/>
        </w:rPr>
        <w:t xml:space="preserve">(76) </w:t>
      </w:r>
      <w:r w:rsidRPr="00610A40">
        <w:rPr>
          <w:noProof/>
        </w:rPr>
        <w:tab/>
        <w:t xml:space="preserve">Pêgo, A. P.; Van Luyn, M. J. A.; Brouwer, L. A.; van Wachem, P. B.; Poot, A. A.; Grijpma, D. W.; Feijen, J. “In Vivo Behavior of poly(1,3-Trimethylene Carbonate) and Copolymers of 1,3-Trimethylene Carbonate with D,L-Lactide or Ε-Caprolactone: Degradation and Tissue Response.” J. Biomed. Mater. Res. Part A 2003, </w:t>
      </w:r>
      <w:r w:rsidRPr="00610A40">
        <w:rPr>
          <w:i/>
          <w:iCs/>
          <w:noProof/>
        </w:rPr>
        <w:t>67A</w:t>
      </w:r>
      <w:r w:rsidRPr="00610A40">
        <w:rPr>
          <w:noProof/>
        </w:rPr>
        <w:t>, 1044–1054.</w:t>
      </w:r>
    </w:p>
    <w:p w14:paraId="321F8814" w14:textId="77777777" w:rsidR="00565E2A" w:rsidRPr="00610A40" w:rsidRDefault="00565E2A">
      <w:pPr>
        <w:pStyle w:val="NormalWeb"/>
        <w:ind w:left="640" w:hanging="640"/>
        <w:divId w:val="700402019"/>
        <w:rPr>
          <w:noProof/>
        </w:rPr>
      </w:pPr>
      <w:r w:rsidRPr="00610A40">
        <w:rPr>
          <w:noProof/>
        </w:rPr>
        <w:t xml:space="preserve">(77) </w:t>
      </w:r>
      <w:r w:rsidRPr="00610A40">
        <w:rPr>
          <w:noProof/>
        </w:rPr>
        <w:tab/>
        <w:t xml:space="preserve">Yang, J.; Liu, F.; Yang, L.; Li, S. “Hydrolytic and Enzymatic Degradation of Poly(trimethylene Carbonate-Co-D,l-Lactide) Random Copolymers with Shape Memory Behavior.” Eur. Polym. J. 2010, </w:t>
      </w:r>
      <w:r w:rsidRPr="00610A40">
        <w:rPr>
          <w:i/>
          <w:iCs/>
          <w:noProof/>
        </w:rPr>
        <w:t>46</w:t>
      </w:r>
      <w:r w:rsidRPr="00610A40">
        <w:rPr>
          <w:noProof/>
        </w:rPr>
        <w:t>, 783–791.</w:t>
      </w:r>
    </w:p>
    <w:p w14:paraId="7EB43A22" w14:textId="77777777" w:rsidR="00565E2A" w:rsidRPr="00610A40" w:rsidRDefault="00565E2A">
      <w:pPr>
        <w:pStyle w:val="NormalWeb"/>
        <w:ind w:left="640" w:hanging="640"/>
        <w:divId w:val="700402019"/>
        <w:rPr>
          <w:noProof/>
        </w:rPr>
      </w:pPr>
      <w:r w:rsidRPr="00610A40">
        <w:rPr>
          <w:noProof/>
        </w:rPr>
        <w:t xml:space="preserve">(78) </w:t>
      </w:r>
      <w:r w:rsidRPr="00610A40">
        <w:rPr>
          <w:noProof/>
        </w:rPr>
        <w:tab/>
        <w:t xml:space="preserve">Zini, E.; Scandola, M.; Dobrzynski, P.; Kasperczyk, J.; Bero, M. “Shape Memory Behavior of Novel (l-Lactide−Glycolide−Trimethylene Carbonate) Terpolymers.” Biomacromolecules 2007, </w:t>
      </w:r>
      <w:r w:rsidRPr="00610A40">
        <w:rPr>
          <w:i/>
          <w:iCs/>
          <w:noProof/>
        </w:rPr>
        <w:t>8</w:t>
      </w:r>
      <w:r w:rsidRPr="00610A40">
        <w:rPr>
          <w:noProof/>
        </w:rPr>
        <w:t>, 3661–3667.</w:t>
      </w:r>
    </w:p>
    <w:p w14:paraId="63272682" w14:textId="77777777" w:rsidR="00565E2A" w:rsidRPr="00610A40" w:rsidRDefault="00565E2A">
      <w:pPr>
        <w:pStyle w:val="NormalWeb"/>
        <w:ind w:left="640" w:hanging="640"/>
        <w:divId w:val="700402019"/>
        <w:rPr>
          <w:noProof/>
        </w:rPr>
      </w:pPr>
      <w:r w:rsidRPr="00610A40">
        <w:rPr>
          <w:noProof/>
        </w:rPr>
        <w:t xml:space="preserve">(79) </w:t>
      </w:r>
      <w:r w:rsidRPr="00610A40">
        <w:rPr>
          <w:noProof/>
        </w:rPr>
        <w:tab/>
        <w:t xml:space="preserve">Wang, S.; Kempen, D. H.; Simha, N. K.; Lewis, J. L.; Windebank, A. J.; Yaszemski, M. J.; Lu, L. “Photo-Cross-Linked Hybrid Polymer Networks Consisting of Poly(propylene Fumarate) and Poly(caprolactone Fumarate): Controlled Physical Properties and Regulated Bone and Nerve Cell Responses.” Biomacromolecules 2008, </w:t>
      </w:r>
      <w:r w:rsidRPr="00610A40">
        <w:rPr>
          <w:i/>
          <w:iCs/>
          <w:noProof/>
        </w:rPr>
        <w:t>9</w:t>
      </w:r>
      <w:r w:rsidRPr="00610A40">
        <w:rPr>
          <w:noProof/>
        </w:rPr>
        <w:t>, 1229–1241.</w:t>
      </w:r>
    </w:p>
    <w:p w14:paraId="6FFD2250" w14:textId="77777777" w:rsidR="00565E2A" w:rsidRPr="00610A40" w:rsidRDefault="00565E2A">
      <w:pPr>
        <w:pStyle w:val="NormalWeb"/>
        <w:ind w:left="640" w:hanging="640"/>
        <w:divId w:val="700402019"/>
        <w:rPr>
          <w:noProof/>
        </w:rPr>
      </w:pPr>
      <w:r w:rsidRPr="00610A40">
        <w:rPr>
          <w:noProof/>
        </w:rPr>
        <w:t xml:space="preserve">(80) </w:t>
      </w:r>
      <w:r w:rsidRPr="00610A40">
        <w:rPr>
          <w:noProof/>
        </w:rPr>
        <w:tab/>
        <w:t xml:space="preserve">Jabbari, E.; Wang, S.; Lu, L.; Gruetzmacher, J. a.; Ameenuddin, S.; Hefferan, T. E.; Currier, B. L.; Windebank, A. J.; Yaszemski, M. J. “Synthesis, Material Properties, and Biocompatibility of a Novel Self-Cross-Linkable Poly(caprolactone Fumarate) as an Injectable Tissue Engineering Scaffold.” Biomacromolecules 2005, </w:t>
      </w:r>
      <w:r w:rsidRPr="00610A40">
        <w:rPr>
          <w:i/>
          <w:iCs/>
          <w:noProof/>
        </w:rPr>
        <w:t>6</w:t>
      </w:r>
      <w:r w:rsidRPr="00610A40">
        <w:rPr>
          <w:noProof/>
        </w:rPr>
        <w:t>, 2503–2511.</w:t>
      </w:r>
    </w:p>
    <w:p w14:paraId="5D1A5624" w14:textId="77777777" w:rsidR="00565E2A" w:rsidRPr="00610A40" w:rsidRDefault="00565E2A">
      <w:pPr>
        <w:pStyle w:val="NormalWeb"/>
        <w:ind w:left="640" w:hanging="640"/>
        <w:divId w:val="700402019"/>
        <w:rPr>
          <w:noProof/>
        </w:rPr>
      </w:pPr>
      <w:r w:rsidRPr="00610A40">
        <w:rPr>
          <w:noProof/>
        </w:rPr>
        <w:lastRenderedPageBreak/>
        <w:t xml:space="preserve">(81) </w:t>
      </w:r>
      <w:r w:rsidRPr="00610A40">
        <w:rPr>
          <w:noProof/>
        </w:rPr>
        <w:tab/>
        <w:t xml:space="preserve">Wang, S.; Yaszemski, M. J.; Gruetzmacher, J. a.; Lu, L. “Photo-Crosslinked Poly(ɛ-Caprolactone Fumarate) Networks: Roles of Crystallinity and Crosslinking Density in Determining Mechanical Properties.” Polymer (Guildf). 2008, </w:t>
      </w:r>
      <w:r w:rsidRPr="00610A40">
        <w:rPr>
          <w:i/>
          <w:iCs/>
          <w:noProof/>
        </w:rPr>
        <w:t>49</w:t>
      </w:r>
      <w:r w:rsidRPr="00610A40">
        <w:rPr>
          <w:noProof/>
        </w:rPr>
        <w:t>, 5692–5699.</w:t>
      </w:r>
    </w:p>
    <w:p w14:paraId="56677F50" w14:textId="77777777" w:rsidR="00565E2A" w:rsidRPr="00610A40" w:rsidRDefault="00565E2A">
      <w:pPr>
        <w:pStyle w:val="NormalWeb"/>
        <w:ind w:left="640" w:hanging="640"/>
        <w:divId w:val="700402019"/>
        <w:rPr>
          <w:noProof/>
        </w:rPr>
      </w:pPr>
      <w:r w:rsidRPr="00610A40">
        <w:rPr>
          <w:noProof/>
        </w:rPr>
        <w:t xml:space="preserve">(82) </w:t>
      </w:r>
      <w:r w:rsidRPr="00610A40">
        <w:rPr>
          <w:noProof/>
        </w:rPr>
        <w:tab/>
        <w:t xml:space="preserve">Fernandez, J.; Etxeberria, A.; Sarasua, J. R. “Synthesis, Structure and Properties of poly(L-Lactide-Co-Epsilon-Caprolactone) Statistical Copolymers.” J Mech Behav Biomed Mater 2012, </w:t>
      </w:r>
      <w:r w:rsidRPr="00610A40">
        <w:rPr>
          <w:i/>
          <w:iCs/>
          <w:noProof/>
        </w:rPr>
        <w:t>9</w:t>
      </w:r>
      <w:r w:rsidRPr="00610A40">
        <w:rPr>
          <w:noProof/>
        </w:rPr>
        <w:t>, 100–112.</w:t>
      </w:r>
    </w:p>
    <w:p w14:paraId="5B8C10E7" w14:textId="77777777" w:rsidR="00565E2A" w:rsidRPr="00610A40" w:rsidRDefault="00565E2A">
      <w:pPr>
        <w:pStyle w:val="NormalWeb"/>
        <w:ind w:left="640" w:hanging="640"/>
        <w:divId w:val="700402019"/>
        <w:rPr>
          <w:noProof/>
        </w:rPr>
      </w:pPr>
      <w:r w:rsidRPr="00610A40">
        <w:rPr>
          <w:noProof/>
        </w:rPr>
        <w:t xml:space="preserve">(83) </w:t>
      </w:r>
      <w:r w:rsidRPr="00610A40">
        <w:rPr>
          <w:noProof/>
        </w:rPr>
        <w:tab/>
        <w:t xml:space="preserve">Jung, Y.; Kim, S. H.; You, H. J.; Kim, S.-H.; Ha Kim, Y.; Min, B. G. “Application of an Elastic Biodegradable Poly (L-Lactide-Co-Ε-Caprolactone) Scaffold for Cartilage Tissue Regeneration.” J. Biomater. Sci. Polym. Ed. 2008, </w:t>
      </w:r>
      <w:r w:rsidRPr="00610A40">
        <w:rPr>
          <w:i/>
          <w:iCs/>
          <w:noProof/>
        </w:rPr>
        <w:t>19</w:t>
      </w:r>
      <w:r w:rsidRPr="00610A40">
        <w:rPr>
          <w:noProof/>
        </w:rPr>
        <w:t>, 1073–1085.</w:t>
      </w:r>
    </w:p>
    <w:p w14:paraId="27715CE3" w14:textId="77777777" w:rsidR="00565E2A" w:rsidRPr="00610A40" w:rsidRDefault="00565E2A">
      <w:pPr>
        <w:pStyle w:val="NormalWeb"/>
        <w:ind w:left="640" w:hanging="640"/>
        <w:divId w:val="700402019"/>
        <w:rPr>
          <w:noProof/>
        </w:rPr>
      </w:pPr>
      <w:r w:rsidRPr="00610A40">
        <w:rPr>
          <w:noProof/>
        </w:rPr>
        <w:t xml:space="preserve">(84) </w:t>
      </w:r>
      <w:r w:rsidRPr="00610A40">
        <w:rPr>
          <w:noProof/>
        </w:rPr>
        <w:tab/>
        <w:t xml:space="preserve">Jeong, S. I.; Kim, B.-S.; Kang, S. W.; Kwon, J. H.; Lee, Y. M.; Kim, S. H.; Kim, Y. H. “In Vivo Biocompatibilty and Degradation Behavior of Elastic Poly(l-Lactide-Co-Ε-Caprolactone) Scaffolds.” Biomaterials 2004, </w:t>
      </w:r>
      <w:r w:rsidRPr="00610A40">
        <w:rPr>
          <w:i/>
          <w:iCs/>
          <w:noProof/>
        </w:rPr>
        <w:t>25</w:t>
      </w:r>
      <w:r w:rsidRPr="00610A40">
        <w:rPr>
          <w:noProof/>
        </w:rPr>
        <w:t>, 5939–5946.</w:t>
      </w:r>
    </w:p>
    <w:p w14:paraId="43054AAE" w14:textId="77777777" w:rsidR="00565E2A" w:rsidRPr="00610A40" w:rsidRDefault="00565E2A">
      <w:pPr>
        <w:pStyle w:val="NormalWeb"/>
        <w:ind w:left="640" w:hanging="640"/>
        <w:divId w:val="700402019"/>
        <w:rPr>
          <w:noProof/>
        </w:rPr>
      </w:pPr>
      <w:r w:rsidRPr="00610A40">
        <w:rPr>
          <w:noProof/>
        </w:rPr>
        <w:t xml:space="preserve">(85) </w:t>
      </w:r>
      <w:r w:rsidRPr="00610A40">
        <w:rPr>
          <w:noProof/>
        </w:rPr>
        <w:tab/>
        <w:t xml:space="preserve">Kwon, I. K.; Park, K. D.; Choi, S. W.; Lee, S.-H.; Lee, E. B.; Na, J. S.; Kim, S. H.; Kim, Y. H. “Fibroblast Culture on Surface-Modified Poly (glycolide-Co-Ε-Caprolactone) Scaffold for Soft Tissue Regeneration.” J. Biomater. Sci. Polym. Ed. 2001, </w:t>
      </w:r>
      <w:r w:rsidRPr="00610A40">
        <w:rPr>
          <w:i/>
          <w:iCs/>
          <w:noProof/>
        </w:rPr>
        <w:t>12</w:t>
      </w:r>
      <w:r w:rsidRPr="00610A40">
        <w:rPr>
          <w:noProof/>
        </w:rPr>
        <w:t>, 1147–1160.</w:t>
      </w:r>
    </w:p>
    <w:p w14:paraId="3D0EC35D" w14:textId="77777777" w:rsidR="00565E2A" w:rsidRPr="00610A40" w:rsidRDefault="00565E2A">
      <w:pPr>
        <w:pStyle w:val="NormalWeb"/>
        <w:ind w:left="640" w:hanging="640"/>
        <w:divId w:val="700402019"/>
        <w:rPr>
          <w:noProof/>
        </w:rPr>
      </w:pPr>
      <w:r w:rsidRPr="00610A40">
        <w:rPr>
          <w:noProof/>
        </w:rPr>
        <w:t xml:space="preserve">(86) </w:t>
      </w:r>
      <w:r w:rsidRPr="00610A40">
        <w:rPr>
          <w:noProof/>
        </w:rPr>
        <w:tab/>
        <w:t xml:space="preserve">Cai, Q.; Bei, J.; Wang, S. “Synthesis and Degradation of a Tri-Component Copolymer Derived from Glycolide, L-Lactide, and Ε-Caprolactone.” J. Biomater. Sci. Polym. Ed. 2000, </w:t>
      </w:r>
      <w:r w:rsidRPr="00610A40">
        <w:rPr>
          <w:i/>
          <w:iCs/>
          <w:noProof/>
        </w:rPr>
        <w:t>11</w:t>
      </w:r>
      <w:r w:rsidRPr="00610A40">
        <w:rPr>
          <w:noProof/>
        </w:rPr>
        <w:t>, 273–288.</w:t>
      </w:r>
    </w:p>
    <w:p w14:paraId="7A698B91" w14:textId="77777777" w:rsidR="00565E2A" w:rsidRPr="00610A40" w:rsidRDefault="00565E2A">
      <w:pPr>
        <w:pStyle w:val="NormalWeb"/>
        <w:ind w:left="640" w:hanging="640"/>
        <w:divId w:val="700402019"/>
        <w:rPr>
          <w:noProof/>
        </w:rPr>
      </w:pPr>
      <w:r w:rsidRPr="00610A40">
        <w:rPr>
          <w:noProof/>
        </w:rPr>
        <w:t xml:space="preserve">(87) </w:t>
      </w:r>
      <w:r w:rsidRPr="00610A40">
        <w:rPr>
          <w:noProof/>
        </w:rPr>
        <w:tab/>
        <w:t xml:space="preserve">Jung, Y.; Lee, S.-H.; Kim, S.-H.; Lim, J. C.; Kim, S. H. “Synthesis and Characterization of the Biodegradable and Elastic Terpolymer Poly (glycolide-Co-L-Lactide-Co-Ε-Caprolactone) for Mechano-Active Tissue Engineering.” J. Biomater. Sci. Polym. Ed. 2013, </w:t>
      </w:r>
      <w:r w:rsidRPr="00610A40">
        <w:rPr>
          <w:i/>
          <w:iCs/>
          <w:noProof/>
        </w:rPr>
        <w:t>24</w:t>
      </w:r>
      <w:r w:rsidRPr="00610A40">
        <w:rPr>
          <w:noProof/>
        </w:rPr>
        <w:t>, 386–397.</w:t>
      </w:r>
    </w:p>
    <w:p w14:paraId="3E1C3023" w14:textId="77777777" w:rsidR="00565E2A" w:rsidRPr="00610A40" w:rsidRDefault="00565E2A">
      <w:pPr>
        <w:pStyle w:val="NormalWeb"/>
        <w:ind w:left="640" w:hanging="640"/>
        <w:divId w:val="700402019"/>
        <w:rPr>
          <w:noProof/>
        </w:rPr>
      </w:pPr>
      <w:r w:rsidRPr="00610A40">
        <w:rPr>
          <w:noProof/>
        </w:rPr>
        <w:t xml:space="preserve">(88) </w:t>
      </w:r>
      <w:r w:rsidRPr="00610A40">
        <w:rPr>
          <w:noProof/>
        </w:rPr>
        <w:tab/>
        <w:t xml:space="preserve">Jikei, M.; Suga, T.; Yamadoi, Y.; Matsumoto, K. “Synthesis and Properties of Poly (L-Lactide-Co-Glycolide)-B-Poly (ϵ-Caprolactone) Multiblock Copolymers Formed by Self-Polycondensation of Diblock Macromonomers.” Polym. J. 2017, </w:t>
      </w:r>
      <w:r w:rsidRPr="00610A40">
        <w:rPr>
          <w:i/>
          <w:iCs/>
          <w:noProof/>
        </w:rPr>
        <w:t>49</w:t>
      </w:r>
      <w:r w:rsidRPr="00610A40">
        <w:rPr>
          <w:noProof/>
        </w:rPr>
        <w:t>, 369–375.</w:t>
      </w:r>
    </w:p>
    <w:p w14:paraId="5A6F8F4C" w14:textId="77777777" w:rsidR="00565E2A" w:rsidRPr="00610A40" w:rsidRDefault="00565E2A">
      <w:pPr>
        <w:pStyle w:val="NormalWeb"/>
        <w:ind w:left="640" w:hanging="640"/>
        <w:divId w:val="700402019"/>
        <w:rPr>
          <w:noProof/>
        </w:rPr>
      </w:pPr>
      <w:r w:rsidRPr="00610A40">
        <w:rPr>
          <w:noProof/>
        </w:rPr>
        <w:t xml:space="preserve">(89) </w:t>
      </w:r>
      <w:r w:rsidRPr="00610A40">
        <w:rPr>
          <w:noProof/>
        </w:rPr>
        <w:tab/>
        <w:t xml:space="preserve">Martin, D. P.; Williams, S. F. “Medical Applications of Poly-4-Hydroxybutyrate: A Strong Flexible Absorbable Biomaterial.” Biochem. Eng. J. 2003, </w:t>
      </w:r>
      <w:r w:rsidRPr="00610A40">
        <w:rPr>
          <w:i/>
          <w:iCs/>
          <w:noProof/>
        </w:rPr>
        <w:t>16</w:t>
      </w:r>
      <w:r w:rsidRPr="00610A40">
        <w:rPr>
          <w:noProof/>
        </w:rPr>
        <w:t>, 97–105.</w:t>
      </w:r>
    </w:p>
    <w:p w14:paraId="04D9359F" w14:textId="77777777" w:rsidR="00565E2A" w:rsidRPr="00610A40" w:rsidRDefault="00565E2A">
      <w:pPr>
        <w:pStyle w:val="NormalWeb"/>
        <w:ind w:left="640" w:hanging="640"/>
        <w:divId w:val="700402019"/>
        <w:rPr>
          <w:noProof/>
        </w:rPr>
      </w:pPr>
      <w:r w:rsidRPr="00610A40">
        <w:rPr>
          <w:noProof/>
        </w:rPr>
        <w:t xml:space="preserve">(90) </w:t>
      </w:r>
      <w:r w:rsidRPr="00610A40">
        <w:rPr>
          <w:noProof/>
        </w:rPr>
        <w:tab/>
        <w:t xml:space="preserve">Sodian, R.; Loebe, M.; Hein, A.; Martin, D. P.; Hoerstrup, S. P.; Potapov, E. V; Hausmann, H.; Lueth, T.; Hetzer, R. “Application of Stereolithography for Scaffold Fabrication for Tissue Engineered Heart Valves.” Asaio J. 2002, </w:t>
      </w:r>
      <w:r w:rsidRPr="00610A40">
        <w:rPr>
          <w:i/>
          <w:iCs/>
          <w:noProof/>
        </w:rPr>
        <w:t>48</w:t>
      </w:r>
      <w:r w:rsidRPr="00610A40">
        <w:rPr>
          <w:noProof/>
        </w:rPr>
        <w:t>, 12–16.</w:t>
      </w:r>
    </w:p>
    <w:p w14:paraId="1BEAD487" w14:textId="77777777" w:rsidR="00565E2A" w:rsidRPr="00610A40" w:rsidRDefault="00565E2A">
      <w:pPr>
        <w:pStyle w:val="NormalWeb"/>
        <w:ind w:left="640" w:hanging="640"/>
        <w:divId w:val="700402019"/>
        <w:rPr>
          <w:noProof/>
        </w:rPr>
      </w:pPr>
      <w:r w:rsidRPr="00610A40">
        <w:rPr>
          <w:noProof/>
        </w:rPr>
        <w:t xml:space="preserve">(91) </w:t>
      </w:r>
      <w:r w:rsidRPr="00610A40">
        <w:rPr>
          <w:noProof/>
        </w:rPr>
        <w:tab/>
        <w:t xml:space="preserve">Sudesh, K.; Abe, H.; Doi, Y. “Synthesis, Structure and Properties of Polyhydroxyalkanoates: Biological Polyesters.” Prog. Polym. Sci. 2000, </w:t>
      </w:r>
      <w:r w:rsidRPr="00610A40">
        <w:rPr>
          <w:i/>
          <w:iCs/>
          <w:noProof/>
        </w:rPr>
        <w:t>25</w:t>
      </w:r>
      <w:r w:rsidRPr="00610A40">
        <w:rPr>
          <w:noProof/>
        </w:rPr>
        <w:t>, 1503–1555.</w:t>
      </w:r>
    </w:p>
    <w:p w14:paraId="1AE808A0" w14:textId="77777777" w:rsidR="00565E2A" w:rsidRPr="00610A40" w:rsidRDefault="00565E2A">
      <w:pPr>
        <w:pStyle w:val="NormalWeb"/>
        <w:ind w:left="640" w:hanging="640"/>
        <w:divId w:val="700402019"/>
        <w:rPr>
          <w:noProof/>
        </w:rPr>
      </w:pPr>
      <w:r w:rsidRPr="00610A40">
        <w:rPr>
          <w:noProof/>
        </w:rPr>
        <w:t xml:space="preserve">(92) </w:t>
      </w:r>
      <w:r w:rsidRPr="00610A40">
        <w:rPr>
          <w:noProof/>
        </w:rPr>
        <w:tab/>
        <w:t xml:space="preserve">Zhao, W.; Chen, G.-Q. “Production and Characterization of Terpolyester Poly (3-Hydroxybutyrate-Co-3-Hydroxyvalerate-Co-3-Hydroxyhexanoate) by Recombinant </w:t>
      </w:r>
      <w:r w:rsidRPr="00610A40">
        <w:rPr>
          <w:noProof/>
        </w:rPr>
        <w:lastRenderedPageBreak/>
        <w:t xml:space="preserve">Aeromonas Hydrophila 4AK4 Harboring Genes phaAB.” Process Biochem. 2007, </w:t>
      </w:r>
      <w:r w:rsidRPr="00610A40">
        <w:rPr>
          <w:i/>
          <w:iCs/>
          <w:noProof/>
        </w:rPr>
        <w:t>42</w:t>
      </w:r>
      <w:r w:rsidRPr="00610A40">
        <w:rPr>
          <w:noProof/>
        </w:rPr>
        <w:t>, 1342–1347.</w:t>
      </w:r>
    </w:p>
    <w:p w14:paraId="529FA3D6" w14:textId="77777777" w:rsidR="00565E2A" w:rsidRPr="00610A40" w:rsidRDefault="00565E2A">
      <w:pPr>
        <w:pStyle w:val="NormalWeb"/>
        <w:ind w:left="640" w:hanging="640"/>
        <w:divId w:val="700402019"/>
        <w:rPr>
          <w:noProof/>
        </w:rPr>
      </w:pPr>
      <w:r w:rsidRPr="00610A40">
        <w:rPr>
          <w:noProof/>
        </w:rPr>
        <w:t xml:space="preserve">(93) </w:t>
      </w:r>
      <w:r w:rsidRPr="00610A40">
        <w:rPr>
          <w:noProof/>
        </w:rPr>
        <w:tab/>
        <w:t xml:space="preserve">Qu, X.-H.; Wu, Q.; Liang, J.; Zou, B.; Chen, G.-Q. “Effect of 3-Hydroxyhexanoate Content in Poly (3-Hydroxybutyrate-Co-3-Hydroxyhexanoate) on in Vitro Growth and Differentiation of Smooth Muscle Cells.” Biomaterials 2006, </w:t>
      </w:r>
      <w:r w:rsidRPr="00610A40">
        <w:rPr>
          <w:i/>
          <w:iCs/>
          <w:noProof/>
        </w:rPr>
        <w:t>27</w:t>
      </w:r>
      <w:r w:rsidRPr="00610A40">
        <w:rPr>
          <w:noProof/>
        </w:rPr>
        <w:t>, 2944–2950.</w:t>
      </w:r>
    </w:p>
    <w:p w14:paraId="515D2E0B" w14:textId="77777777" w:rsidR="00565E2A" w:rsidRPr="00610A40" w:rsidRDefault="00565E2A">
      <w:pPr>
        <w:pStyle w:val="NormalWeb"/>
        <w:ind w:left="640" w:hanging="640"/>
        <w:divId w:val="700402019"/>
        <w:rPr>
          <w:noProof/>
        </w:rPr>
      </w:pPr>
      <w:r w:rsidRPr="00610A40">
        <w:rPr>
          <w:noProof/>
        </w:rPr>
        <w:t xml:space="preserve">(94) </w:t>
      </w:r>
      <w:r w:rsidRPr="00610A40">
        <w:rPr>
          <w:noProof/>
        </w:rPr>
        <w:tab/>
        <w:t xml:space="preserve">Hazer, D. B.; Kılıçay, E.; Hazer, B. “Poly(3-Hydroxyalkanoate)s: Diversification and Biomedical Applications.” Mater. Sci. Eng. C 2012, </w:t>
      </w:r>
      <w:r w:rsidRPr="00610A40">
        <w:rPr>
          <w:i/>
          <w:iCs/>
          <w:noProof/>
        </w:rPr>
        <w:t>32</w:t>
      </w:r>
      <w:r w:rsidRPr="00610A40">
        <w:rPr>
          <w:noProof/>
        </w:rPr>
        <w:t>, 637–647.</w:t>
      </w:r>
    </w:p>
    <w:p w14:paraId="7EBC4C03" w14:textId="77777777" w:rsidR="00565E2A" w:rsidRPr="00610A40" w:rsidRDefault="00565E2A">
      <w:pPr>
        <w:pStyle w:val="NormalWeb"/>
        <w:ind w:left="640" w:hanging="640"/>
        <w:divId w:val="700402019"/>
        <w:rPr>
          <w:noProof/>
        </w:rPr>
      </w:pPr>
      <w:r w:rsidRPr="00610A40">
        <w:rPr>
          <w:noProof/>
        </w:rPr>
        <w:t xml:space="preserve">(95) </w:t>
      </w:r>
      <w:r w:rsidRPr="00610A40">
        <w:rPr>
          <w:noProof/>
        </w:rPr>
        <w:tab/>
        <w:t xml:space="preserve">Wang, Y.-W.; Wu, Q.; Chen, G.-Q. “Attachment, Proliferation and Differentiation of Osteoblasts on Random Biopolyester poly(3-Hydroxybutyrate-Co-3-Hydroxyhexanoate) Scaffolds.” Biomaterials 2004, </w:t>
      </w:r>
      <w:r w:rsidRPr="00610A40">
        <w:rPr>
          <w:i/>
          <w:iCs/>
          <w:noProof/>
        </w:rPr>
        <w:t>25</w:t>
      </w:r>
      <w:r w:rsidRPr="00610A40">
        <w:rPr>
          <w:noProof/>
        </w:rPr>
        <w:t>, 669–675.</w:t>
      </w:r>
    </w:p>
    <w:p w14:paraId="18BCFE23" w14:textId="77777777" w:rsidR="00565E2A" w:rsidRPr="00610A40" w:rsidRDefault="00565E2A">
      <w:pPr>
        <w:pStyle w:val="NormalWeb"/>
        <w:ind w:left="640" w:hanging="640"/>
        <w:divId w:val="700402019"/>
        <w:rPr>
          <w:noProof/>
        </w:rPr>
      </w:pPr>
      <w:r w:rsidRPr="00610A40">
        <w:rPr>
          <w:noProof/>
        </w:rPr>
        <w:t xml:space="preserve">(96) </w:t>
      </w:r>
      <w:r w:rsidRPr="00610A40">
        <w:rPr>
          <w:noProof/>
        </w:rPr>
        <w:tab/>
        <w:t xml:space="preserve">Stock, U. A.; Nagashima, M.; Khalil, P. N.; Nollert, G. D.; Herdena, T.; Sperling, J. S.; Moran, A.; Lien, J.; Martin, D. P.; Schoen, F. J. “Tissue-Engineered Valved Conduits in the Pulmonary Circulation.” J. Thorac. Cardiovasc. Surg. 2000, </w:t>
      </w:r>
      <w:r w:rsidRPr="00610A40">
        <w:rPr>
          <w:i/>
          <w:iCs/>
          <w:noProof/>
        </w:rPr>
        <w:t>119</w:t>
      </w:r>
      <w:r w:rsidRPr="00610A40">
        <w:rPr>
          <w:noProof/>
        </w:rPr>
        <w:t>, 732–740.</w:t>
      </w:r>
    </w:p>
    <w:p w14:paraId="256E3FAF" w14:textId="77777777" w:rsidR="00565E2A" w:rsidRPr="00610A40" w:rsidRDefault="00565E2A">
      <w:pPr>
        <w:pStyle w:val="NormalWeb"/>
        <w:ind w:left="640" w:hanging="640"/>
        <w:divId w:val="700402019"/>
        <w:rPr>
          <w:noProof/>
        </w:rPr>
      </w:pPr>
      <w:r w:rsidRPr="00610A40">
        <w:rPr>
          <w:noProof/>
        </w:rPr>
        <w:t xml:space="preserve">(97) </w:t>
      </w:r>
      <w:r w:rsidRPr="00610A40">
        <w:rPr>
          <w:noProof/>
        </w:rPr>
        <w:tab/>
        <w:t xml:space="preserve">Rai, R.; Keshavarz, T.; Roether, J. A.; Boccaccini, A. R.; Roy, I. “Medium Chain Length Polyhydroxyalkanoates, Promising New Biomedical Materials for the Future.” Mater. Sci. Eng. R Reports 2011, </w:t>
      </w:r>
      <w:r w:rsidRPr="00610A40">
        <w:rPr>
          <w:i/>
          <w:iCs/>
          <w:noProof/>
        </w:rPr>
        <w:t>72</w:t>
      </w:r>
      <w:r w:rsidRPr="00610A40">
        <w:rPr>
          <w:noProof/>
        </w:rPr>
        <w:t>, 29–47.</w:t>
      </w:r>
    </w:p>
    <w:p w14:paraId="118DF48B" w14:textId="77777777" w:rsidR="00565E2A" w:rsidRPr="00610A40" w:rsidRDefault="00565E2A">
      <w:pPr>
        <w:pStyle w:val="NormalWeb"/>
        <w:ind w:left="640" w:hanging="640"/>
        <w:divId w:val="700402019"/>
        <w:rPr>
          <w:noProof/>
        </w:rPr>
      </w:pPr>
      <w:r w:rsidRPr="00610A40">
        <w:rPr>
          <w:noProof/>
        </w:rPr>
        <w:t xml:space="preserve">(98) </w:t>
      </w:r>
      <w:r w:rsidRPr="00610A40">
        <w:rPr>
          <w:noProof/>
        </w:rPr>
        <w:tab/>
        <w:t xml:space="preserve">Sodian, R.; Hoerstrup, S. P.; Sperling, J. S.; Daebritz, S.; Martin, D. P.; Moran, A. M.; Kim, B. S.; Schoen, F. J.; Vacanti, J. P.; Mayer, J. E. “Early in Vivo Experience with Tissue-Engineered Trileaflet Heart Valves.” Circulation 2000, </w:t>
      </w:r>
      <w:r w:rsidRPr="00610A40">
        <w:rPr>
          <w:i/>
          <w:iCs/>
          <w:noProof/>
        </w:rPr>
        <w:t>102</w:t>
      </w:r>
      <w:r w:rsidRPr="00610A40">
        <w:rPr>
          <w:noProof/>
        </w:rPr>
        <w:t>, III22–III29.</w:t>
      </w:r>
    </w:p>
    <w:p w14:paraId="0DEB356B" w14:textId="77777777" w:rsidR="00565E2A" w:rsidRPr="00610A40" w:rsidRDefault="00565E2A">
      <w:pPr>
        <w:pStyle w:val="NormalWeb"/>
        <w:ind w:left="640" w:hanging="640"/>
        <w:divId w:val="700402019"/>
        <w:rPr>
          <w:noProof/>
        </w:rPr>
      </w:pPr>
      <w:r w:rsidRPr="00610A40">
        <w:rPr>
          <w:noProof/>
        </w:rPr>
        <w:t xml:space="preserve">(99) </w:t>
      </w:r>
      <w:r w:rsidRPr="00610A40">
        <w:rPr>
          <w:noProof/>
        </w:rPr>
        <w:tab/>
        <w:t xml:space="preserve">Hazer, D. B.; Hazer, B.; Kaymaz, F. “Synthesis of Microbial Elastomers Based on Soybean Oily Acids. Biocompatibility Studies.” Biomed. Mater. 2009, </w:t>
      </w:r>
      <w:r w:rsidRPr="00610A40">
        <w:rPr>
          <w:i/>
          <w:iCs/>
          <w:noProof/>
        </w:rPr>
        <w:t>4</w:t>
      </w:r>
      <w:r w:rsidRPr="00610A40">
        <w:rPr>
          <w:noProof/>
        </w:rPr>
        <w:t>, 35011.</w:t>
      </w:r>
    </w:p>
    <w:p w14:paraId="136CF0D6" w14:textId="77777777" w:rsidR="00565E2A" w:rsidRPr="00610A40" w:rsidRDefault="00565E2A">
      <w:pPr>
        <w:pStyle w:val="NormalWeb"/>
        <w:ind w:left="640" w:hanging="640"/>
        <w:divId w:val="700402019"/>
        <w:rPr>
          <w:noProof/>
        </w:rPr>
      </w:pPr>
      <w:r w:rsidRPr="00610A40">
        <w:rPr>
          <w:noProof/>
        </w:rPr>
        <w:t xml:space="preserve">(100) </w:t>
      </w:r>
      <w:r w:rsidRPr="00610A40">
        <w:rPr>
          <w:noProof/>
        </w:rPr>
        <w:tab/>
        <w:t xml:space="preserve">Pomerantseva, I.; Krebs, N.; Hart, A.; Neville, C. M.; Huang, A. Y.; Sundback, C. A. “Degradation Behavior of Poly (glycerol Sebacate).” J. Biomed. Mater. Res. Part A 2009, </w:t>
      </w:r>
      <w:r w:rsidRPr="00610A40">
        <w:rPr>
          <w:i/>
          <w:iCs/>
          <w:noProof/>
        </w:rPr>
        <w:t>91</w:t>
      </w:r>
      <w:r w:rsidRPr="00610A40">
        <w:rPr>
          <w:noProof/>
        </w:rPr>
        <w:t>, 1038–1047.</w:t>
      </w:r>
    </w:p>
    <w:p w14:paraId="5560069A" w14:textId="77777777" w:rsidR="00565E2A" w:rsidRPr="00610A40" w:rsidRDefault="00565E2A">
      <w:pPr>
        <w:pStyle w:val="NormalWeb"/>
        <w:ind w:left="640" w:hanging="640"/>
        <w:divId w:val="700402019"/>
        <w:rPr>
          <w:noProof/>
        </w:rPr>
      </w:pPr>
      <w:r w:rsidRPr="00610A40">
        <w:rPr>
          <w:noProof/>
        </w:rPr>
        <w:t xml:space="preserve">(101) </w:t>
      </w:r>
      <w:r w:rsidRPr="00610A40">
        <w:rPr>
          <w:noProof/>
        </w:rPr>
        <w:tab/>
        <w:t xml:space="preserve">Bruggeman, J. P.; de Bruin, B.-J.; Bettinger, C. J.; Langer, R. “Biodegradable Poly (polyol Sebacate) Polymers.” Biomaterials 2008, </w:t>
      </w:r>
      <w:r w:rsidRPr="00610A40">
        <w:rPr>
          <w:i/>
          <w:iCs/>
          <w:noProof/>
        </w:rPr>
        <w:t>29</w:t>
      </w:r>
      <w:r w:rsidRPr="00610A40">
        <w:rPr>
          <w:noProof/>
        </w:rPr>
        <w:t>, 4726–4735.</w:t>
      </w:r>
    </w:p>
    <w:p w14:paraId="5FEA1903" w14:textId="77777777" w:rsidR="00565E2A" w:rsidRPr="00610A40" w:rsidRDefault="00565E2A">
      <w:pPr>
        <w:pStyle w:val="NormalWeb"/>
        <w:ind w:left="640" w:hanging="640"/>
        <w:divId w:val="700402019"/>
        <w:rPr>
          <w:noProof/>
        </w:rPr>
      </w:pPr>
      <w:r w:rsidRPr="00610A40">
        <w:rPr>
          <w:noProof/>
        </w:rPr>
        <w:t xml:space="preserve">(102) </w:t>
      </w:r>
      <w:r w:rsidRPr="00610A40">
        <w:rPr>
          <w:noProof/>
        </w:rPr>
        <w:tab/>
        <w:t xml:space="preserve">Rai, R.; Tallawi, M.; Grigore, A.; Boccaccini, A. R. “Synthesis, Properties and Biomedical Applications of Poly (glycerol sebacate)(PGS): A Review.” Prog. Polym. Sci. 2012, </w:t>
      </w:r>
      <w:r w:rsidRPr="00610A40">
        <w:rPr>
          <w:i/>
          <w:iCs/>
          <w:noProof/>
        </w:rPr>
        <w:t>37</w:t>
      </w:r>
      <w:r w:rsidRPr="00610A40">
        <w:rPr>
          <w:noProof/>
        </w:rPr>
        <w:t>, 1051–1078.</w:t>
      </w:r>
    </w:p>
    <w:p w14:paraId="32CE647A" w14:textId="77777777" w:rsidR="00565E2A" w:rsidRPr="00610A40" w:rsidRDefault="00565E2A">
      <w:pPr>
        <w:pStyle w:val="NormalWeb"/>
        <w:ind w:left="640" w:hanging="640"/>
        <w:divId w:val="700402019"/>
        <w:rPr>
          <w:noProof/>
        </w:rPr>
      </w:pPr>
      <w:r w:rsidRPr="00610A40">
        <w:rPr>
          <w:noProof/>
        </w:rPr>
        <w:t xml:space="preserve">(103) </w:t>
      </w:r>
      <w:r w:rsidRPr="00610A40">
        <w:rPr>
          <w:noProof/>
        </w:rPr>
        <w:tab/>
        <w:t xml:space="preserve">Zhao, H.; Ameer, G. A. “Modulating the Mechanical Properties of Poly (diol Citrates) via the Incorporation of a Second Type of Crosslink Network.” J. Appl. Polym. Sci. 2009, </w:t>
      </w:r>
      <w:r w:rsidRPr="00610A40">
        <w:rPr>
          <w:i/>
          <w:iCs/>
          <w:noProof/>
        </w:rPr>
        <w:t>114</w:t>
      </w:r>
      <w:r w:rsidRPr="00610A40">
        <w:rPr>
          <w:noProof/>
        </w:rPr>
        <w:t>, 1464–1470.</w:t>
      </w:r>
    </w:p>
    <w:p w14:paraId="32F174BD" w14:textId="77777777" w:rsidR="00565E2A" w:rsidRPr="00610A40" w:rsidRDefault="00565E2A">
      <w:pPr>
        <w:pStyle w:val="NormalWeb"/>
        <w:ind w:left="640" w:hanging="640"/>
        <w:divId w:val="700402019"/>
        <w:rPr>
          <w:noProof/>
        </w:rPr>
      </w:pPr>
      <w:r w:rsidRPr="00610A40">
        <w:rPr>
          <w:noProof/>
        </w:rPr>
        <w:lastRenderedPageBreak/>
        <w:t xml:space="preserve">(104) </w:t>
      </w:r>
      <w:r w:rsidRPr="00610A40">
        <w:rPr>
          <w:noProof/>
        </w:rPr>
        <w:tab/>
        <w:t xml:space="preserve">Yang, J.; Webb, A. R.; Pickerill, S. J.; Hageman, G.; Ameer, G. A. “Synthesis and Evaluation of Poly (diol Citrate) Biodegradable Elastomers.” Biomaterials 2006, </w:t>
      </w:r>
      <w:r w:rsidRPr="00610A40">
        <w:rPr>
          <w:i/>
          <w:iCs/>
          <w:noProof/>
        </w:rPr>
        <w:t>27</w:t>
      </w:r>
      <w:r w:rsidRPr="00610A40">
        <w:rPr>
          <w:noProof/>
        </w:rPr>
        <w:t>, 1889–1898.</w:t>
      </w:r>
    </w:p>
    <w:p w14:paraId="74183705" w14:textId="77777777" w:rsidR="00565E2A" w:rsidRPr="00610A40" w:rsidRDefault="00565E2A">
      <w:pPr>
        <w:pStyle w:val="NormalWeb"/>
        <w:ind w:left="640" w:hanging="640"/>
        <w:divId w:val="700402019"/>
        <w:rPr>
          <w:noProof/>
        </w:rPr>
      </w:pPr>
      <w:r w:rsidRPr="00610A40">
        <w:rPr>
          <w:noProof/>
        </w:rPr>
        <w:t xml:space="preserve">(105) </w:t>
      </w:r>
      <w:r w:rsidRPr="00610A40">
        <w:rPr>
          <w:noProof/>
        </w:rPr>
        <w:tab/>
        <w:t>Djordjevic, I.; Choudhury, N. R.; Dutta, N. K.; Kumar, S. “Poly [octanediol</w:t>
      </w:r>
      <w:r w:rsidRPr="00610A40">
        <w:rPr>
          <w:rFonts w:ascii="Cambria Math" w:hAnsi="Cambria Math" w:cs="Cambria Math"/>
          <w:noProof/>
        </w:rPr>
        <w:t>‐</w:t>
      </w:r>
      <w:r w:rsidRPr="00610A40">
        <w:rPr>
          <w:noProof/>
        </w:rPr>
        <w:t>co</w:t>
      </w:r>
      <w:r w:rsidRPr="00610A40">
        <w:rPr>
          <w:rFonts w:ascii="Cambria Math" w:hAnsi="Cambria Math" w:cs="Cambria Math"/>
          <w:noProof/>
        </w:rPr>
        <w:t>‐</w:t>
      </w:r>
      <w:r w:rsidRPr="00610A40">
        <w:rPr>
          <w:noProof/>
        </w:rPr>
        <w:t>(citric Acid)</w:t>
      </w:r>
      <w:r w:rsidRPr="00610A40">
        <w:rPr>
          <w:rFonts w:ascii="Cambria Math" w:hAnsi="Cambria Math" w:cs="Cambria Math"/>
          <w:noProof/>
        </w:rPr>
        <w:t>‐</w:t>
      </w:r>
      <w:r w:rsidRPr="00610A40">
        <w:rPr>
          <w:noProof/>
        </w:rPr>
        <w:t>co</w:t>
      </w:r>
      <w:r w:rsidRPr="00610A40">
        <w:rPr>
          <w:rFonts w:ascii="Cambria Math" w:hAnsi="Cambria Math" w:cs="Cambria Math"/>
          <w:noProof/>
        </w:rPr>
        <w:t>‐</w:t>
      </w:r>
      <w:r w:rsidRPr="00610A40">
        <w:rPr>
          <w:noProof/>
        </w:rPr>
        <w:t>(sebacic Acid)] Elastomers: Novel Bio</w:t>
      </w:r>
      <w:r w:rsidRPr="00610A40">
        <w:rPr>
          <w:rFonts w:ascii="Cambria Math" w:hAnsi="Cambria Math" w:cs="Cambria Math"/>
          <w:noProof/>
        </w:rPr>
        <w:t>‐</w:t>
      </w:r>
      <w:r w:rsidRPr="00610A40">
        <w:rPr>
          <w:noProof/>
        </w:rPr>
        <w:t xml:space="preserve">elastomers for Tissue Engineering.” Polym. Int. 2011, </w:t>
      </w:r>
      <w:r w:rsidRPr="00610A40">
        <w:rPr>
          <w:i/>
          <w:iCs/>
          <w:noProof/>
        </w:rPr>
        <w:t>60</w:t>
      </w:r>
      <w:r w:rsidRPr="00610A40">
        <w:rPr>
          <w:noProof/>
        </w:rPr>
        <w:t>, 333–343.</w:t>
      </w:r>
    </w:p>
    <w:p w14:paraId="6003BC24" w14:textId="77777777" w:rsidR="00565E2A" w:rsidRPr="00610A40" w:rsidRDefault="00565E2A">
      <w:pPr>
        <w:pStyle w:val="NormalWeb"/>
        <w:ind w:left="640" w:hanging="640"/>
        <w:divId w:val="700402019"/>
        <w:rPr>
          <w:noProof/>
        </w:rPr>
      </w:pPr>
      <w:r w:rsidRPr="00610A40">
        <w:rPr>
          <w:noProof/>
        </w:rPr>
        <w:t xml:space="preserve">(106) </w:t>
      </w:r>
      <w:r w:rsidRPr="00610A40">
        <w:rPr>
          <w:noProof/>
        </w:rPr>
        <w:tab/>
        <w:t xml:space="preserve">Yang, L.-Q.; He, B.; Meng, S.; Zhang, J.-Z.; Li, M.; Guo, J.; Guan, Y.-M.; Li, J.-X.; Gu, Z.-W. “Biodegradable Cross-Linked Poly (trimethylene Carbonate) Networks for Implant Applications: Synthesis and Properties.” Polymer (Guildf). 2013, </w:t>
      </w:r>
      <w:r w:rsidRPr="00610A40">
        <w:rPr>
          <w:i/>
          <w:iCs/>
          <w:noProof/>
        </w:rPr>
        <w:t>54</w:t>
      </w:r>
      <w:r w:rsidRPr="00610A40">
        <w:rPr>
          <w:noProof/>
        </w:rPr>
        <w:t>, 2668–2675.</w:t>
      </w:r>
    </w:p>
    <w:p w14:paraId="0A559EB4" w14:textId="77777777" w:rsidR="00565E2A" w:rsidRPr="00610A40" w:rsidRDefault="00565E2A">
      <w:pPr>
        <w:pStyle w:val="NormalWeb"/>
        <w:ind w:left="640" w:hanging="640"/>
        <w:divId w:val="700402019"/>
        <w:rPr>
          <w:noProof/>
        </w:rPr>
      </w:pPr>
      <w:r w:rsidRPr="00610A40">
        <w:rPr>
          <w:noProof/>
        </w:rPr>
        <w:t xml:space="preserve">(107) </w:t>
      </w:r>
      <w:r w:rsidRPr="00610A40">
        <w:rPr>
          <w:noProof/>
        </w:rPr>
        <w:tab/>
        <w:t xml:space="preserve">Wang, S.; Yaszemski, M. J.; Knight, A. M.; Gruetzmacher, J. A.; Windebank, A. J.; Lu, L. “Photo-Crosslinked Poly(ε-Caprolactone Fumarate) Networks for Guided Peripheral Nerve Regeneration: Material Properties and Preliminary Biological Evaluations.” Acta Biomater. 2009, </w:t>
      </w:r>
      <w:r w:rsidRPr="00610A40">
        <w:rPr>
          <w:i/>
          <w:iCs/>
          <w:noProof/>
        </w:rPr>
        <w:t>5</w:t>
      </w:r>
      <w:r w:rsidRPr="00610A40">
        <w:rPr>
          <w:noProof/>
        </w:rPr>
        <w:t>, 1531–1542.</w:t>
      </w:r>
    </w:p>
    <w:p w14:paraId="11B608E7" w14:textId="77777777" w:rsidR="00565E2A" w:rsidRPr="00610A40" w:rsidRDefault="00565E2A">
      <w:pPr>
        <w:pStyle w:val="NormalWeb"/>
        <w:ind w:left="640" w:hanging="640"/>
        <w:divId w:val="700402019"/>
        <w:rPr>
          <w:noProof/>
        </w:rPr>
      </w:pPr>
      <w:r w:rsidRPr="00610A40">
        <w:rPr>
          <w:noProof/>
        </w:rPr>
        <w:t xml:space="preserve">(108) </w:t>
      </w:r>
      <w:r w:rsidRPr="00610A40">
        <w:rPr>
          <w:noProof/>
        </w:rPr>
        <w:tab/>
        <w:t xml:space="preserve">Gao, J.; Crapo, P.; Wang, Y. “Macroporous Elastomeric Scaffolds with Extensive Micropores for Soft Tissue Engineering.” Tissue Eng. 2006, </w:t>
      </w:r>
      <w:r w:rsidRPr="00610A40">
        <w:rPr>
          <w:i/>
          <w:iCs/>
          <w:noProof/>
        </w:rPr>
        <w:t>12</w:t>
      </w:r>
      <w:r w:rsidRPr="00610A40">
        <w:rPr>
          <w:noProof/>
        </w:rPr>
        <w:t>, 917–925.</w:t>
      </w:r>
    </w:p>
    <w:p w14:paraId="0F805186" w14:textId="77777777" w:rsidR="00565E2A" w:rsidRPr="00610A40" w:rsidRDefault="00565E2A">
      <w:pPr>
        <w:pStyle w:val="NormalWeb"/>
        <w:ind w:left="640" w:hanging="640"/>
        <w:divId w:val="700402019"/>
        <w:rPr>
          <w:noProof/>
        </w:rPr>
      </w:pPr>
      <w:r w:rsidRPr="00610A40">
        <w:rPr>
          <w:noProof/>
        </w:rPr>
        <w:t xml:space="preserve">(109) </w:t>
      </w:r>
      <w:r w:rsidRPr="00610A40">
        <w:rPr>
          <w:noProof/>
        </w:rPr>
        <w:tab/>
        <w:t xml:space="preserve">Hoshi, R. a.; Behl, S.; Ameer, G. a. “Nanoporous Biodegradable Elastomers.” Adv. Mater. 2009, </w:t>
      </w:r>
      <w:r w:rsidRPr="00610A40">
        <w:rPr>
          <w:i/>
          <w:iCs/>
          <w:noProof/>
        </w:rPr>
        <w:t>21</w:t>
      </w:r>
      <w:r w:rsidRPr="00610A40">
        <w:rPr>
          <w:noProof/>
        </w:rPr>
        <w:t>, 188–192.</w:t>
      </w:r>
    </w:p>
    <w:p w14:paraId="48C43FB8" w14:textId="77777777" w:rsidR="00565E2A" w:rsidRPr="00610A40" w:rsidRDefault="00565E2A">
      <w:pPr>
        <w:pStyle w:val="NormalWeb"/>
        <w:ind w:left="640" w:hanging="640"/>
        <w:divId w:val="700402019"/>
        <w:rPr>
          <w:noProof/>
        </w:rPr>
      </w:pPr>
      <w:r w:rsidRPr="00610A40">
        <w:rPr>
          <w:noProof/>
        </w:rPr>
        <w:t xml:space="preserve">(110) </w:t>
      </w:r>
      <w:r w:rsidRPr="00610A40">
        <w:rPr>
          <w:noProof/>
        </w:rPr>
        <w:tab/>
        <w:t xml:space="preserve">Makadia, H. K.; Siegel, S. J. “Poly Lactic-Co-Glycolic Acid (PLGA) as Biodegradable Controlled Drug Delivery Carrier.” Polymers (Basel). 2011, </w:t>
      </w:r>
      <w:r w:rsidRPr="00610A40">
        <w:rPr>
          <w:i/>
          <w:iCs/>
          <w:noProof/>
        </w:rPr>
        <w:t>3</w:t>
      </w:r>
      <w:r w:rsidRPr="00610A40">
        <w:rPr>
          <w:noProof/>
        </w:rPr>
        <w:t>, 1377–1397.</w:t>
      </w:r>
    </w:p>
    <w:p w14:paraId="2BCD5EF8" w14:textId="77777777" w:rsidR="00565E2A" w:rsidRPr="00610A40" w:rsidRDefault="00565E2A">
      <w:pPr>
        <w:pStyle w:val="NormalWeb"/>
        <w:ind w:left="640" w:hanging="640"/>
        <w:divId w:val="700402019"/>
        <w:rPr>
          <w:noProof/>
        </w:rPr>
      </w:pPr>
      <w:r w:rsidRPr="00610A40">
        <w:rPr>
          <w:noProof/>
        </w:rPr>
        <w:t xml:space="preserve">(111) </w:t>
      </w:r>
      <w:r w:rsidRPr="00610A40">
        <w:rPr>
          <w:noProof/>
        </w:rPr>
        <w:tab/>
        <w:t xml:space="preserve">Pan, Z.; Ding, J. “Poly (lactide-Co-Glycolide) Porous Scaffolds for Tissue Engineering and Regenerative Medicine.” Interface Focus 2012, </w:t>
      </w:r>
      <w:r w:rsidRPr="00610A40">
        <w:rPr>
          <w:i/>
          <w:iCs/>
          <w:noProof/>
        </w:rPr>
        <w:t>2</w:t>
      </w:r>
      <w:r w:rsidRPr="00610A40">
        <w:rPr>
          <w:noProof/>
        </w:rPr>
        <w:t>, 366–377.</w:t>
      </w:r>
    </w:p>
    <w:p w14:paraId="00C123DE" w14:textId="77777777" w:rsidR="00565E2A" w:rsidRPr="00610A40" w:rsidRDefault="00565E2A">
      <w:pPr>
        <w:pStyle w:val="NormalWeb"/>
        <w:ind w:left="640" w:hanging="640"/>
        <w:divId w:val="700402019"/>
        <w:rPr>
          <w:noProof/>
        </w:rPr>
      </w:pPr>
      <w:r w:rsidRPr="00610A40">
        <w:rPr>
          <w:noProof/>
        </w:rPr>
        <w:t xml:space="preserve">(112) </w:t>
      </w:r>
      <w:r w:rsidRPr="00610A40">
        <w:rPr>
          <w:noProof/>
        </w:rPr>
        <w:tab/>
        <w:t xml:space="preserve">Wu, L.; Zhang, H.; Zhang, J.; Ding, J. “Fabrication of Three-Dimensional Porous Scaffolds of Complicated Shape for Tissue Engineering. I. Compression Molding Based on Flexible–Rigid Combined Mold.” Tissue Eng. 2005, </w:t>
      </w:r>
      <w:r w:rsidRPr="00610A40">
        <w:rPr>
          <w:i/>
          <w:iCs/>
          <w:noProof/>
        </w:rPr>
        <w:t>11</w:t>
      </w:r>
      <w:r w:rsidRPr="00610A40">
        <w:rPr>
          <w:noProof/>
        </w:rPr>
        <w:t>, 1105–1114.</w:t>
      </w:r>
    </w:p>
    <w:p w14:paraId="0C89B1FA" w14:textId="77777777" w:rsidR="00565E2A" w:rsidRPr="00610A40" w:rsidRDefault="00565E2A">
      <w:pPr>
        <w:pStyle w:val="NormalWeb"/>
        <w:ind w:left="640" w:hanging="640"/>
        <w:divId w:val="700402019"/>
        <w:rPr>
          <w:noProof/>
        </w:rPr>
      </w:pPr>
      <w:r w:rsidRPr="00610A40">
        <w:rPr>
          <w:noProof/>
        </w:rPr>
        <w:t xml:space="preserve">(113) </w:t>
      </w:r>
      <w:r w:rsidRPr="00610A40">
        <w:rPr>
          <w:noProof/>
        </w:rPr>
        <w:tab/>
        <w:t xml:space="preserve">Jing, D.; Wu, L.; Ding, J. “Solvent-Assisted Room-Temperature Compression Molding Approach to Fabricate Porous Scaffolds for Tissue Engineering.” Macromol. Biosci. 2006, </w:t>
      </w:r>
      <w:r w:rsidRPr="00610A40">
        <w:rPr>
          <w:i/>
          <w:iCs/>
          <w:noProof/>
        </w:rPr>
        <w:t>6</w:t>
      </w:r>
      <w:r w:rsidRPr="00610A40">
        <w:rPr>
          <w:noProof/>
        </w:rPr>
        <w:t>, 747–757.</w:t>
      </w:r>
    </w:p>
    <w:p w14:paraId="197D6B63" w14:textId="77777777" w:rsidR="00565E2A" w:rsidRPr="00610A40" w:rsidRDefault="00565E2A">
      <w:pPr>
        <w:pStyle w:val="NormalWeb"/>
        <w:ind w:left="640" w:hanging="640"/>
        <w:divId w:val="700402019"/>
        <w:rPr>
          <w:noProof/>
        </w:rPr>
      </w:pPr>
      <w:r w:rsidRPr="00610A40">
        <w:rPr>
          <w:noProof/>
        </w:rPr>
        <w:t xml:space="preserve">(114) </w:t>
      </w:r>
      <w:r w:rsidRPr="00610A40">
        <w:rPr>
          <w:noProof/>
        </w:rPr>
        <w:tab/>
        <w:t xml:space="preserve">Lee, K.; Wang, S.; Lu, L.; Jabbari, E.; Currier, B. L.; Yaszemski, M. J. “Fabrication and Characterization of Poly(Propylene Fumarate) Scaffolds with Controlled Pore Structures Using 3-Dimensional Printing and Injection Molding.” Tissue Eng. 2006, </w:t>
      </w:r>
      <w:r w:rsidRPr="00610A40">
        <w:rPr>
          <w:i/>
          <w:iCs/>
          <w:noProof/>
        </w:rPr>
        <w:t>12</w:t>
      </w:r>
      <w:r w:rsidRPr="00610A40">
        <w:rPr>
          <w:noProof/>
        </w:rPr>
        <w:t>, 2801–2811.</w:t>
      </w:r>
    </w:p>
    <w:p w14:paraId="7B8D7058" w14:textId="77777777" w:rsidR="00565E2A" w:rsidRPr="00610A40" w:rsidRDefault="00565E2A">
      <w:pPr>
        <w:pStyle w:val="NormalWeb"/>
        <w:ind w:left="640" w:hanging="640"/>
        <w:divId w:val="700402019"/>
        <w:rPr>
          <w:noProof/>
        </w:rPr>
      </w:pPr>
      <w:r w:rsidRPr="00610A40">
        <w:rPr>
          <w:noProof/>
        </w:rPr>
        <w:t xml:space="preserve">(115) </w:t>
      </w:r>
      <w:r w:rsidRPr="00610A40">
        <w:rPr>
          <w:noProof/>
        </w:rPr>
        <w:tab/>
        <w:t xml:space="preserve">Bettinger, C. J.; Orrick, B.; Misra, A.; Langer, R.; Borenstein, J. T. “Microfabrication of Poly (glycerol-Sebacate) for Contact Guidance Applications.” Biomaterials 2006, </w:t>
      </w:r>
      <w:r w:rsidRPr="00610A40">
        <w:rPr>
          <w:i/>
          <w:iCs/>
          <w:noProof/>
        </w:rPr>
        <w:t>27</w:t>
      </w:r>
      <w:r w:rsidRPr="00610A40">
        <w:rPr>
          <w:noProof/>
        </w:rPr>
        <w:t>, 2558–2565.</w:t>
      </w:r>
    </w:p>
    <w:p w14:paraId="7C1BCB13" w14:textId="77777777" w:rsidR="00565E2A" w:rsidRPr="00610A40" w:rsidRDefault="00565E2A">
      <w:pPr>
        <w:pStyle w:val="NormalWeb"/>
        <w:ind w:left="640" w:hanging="640"/>
        <w:divId w:val="700402019"/>
        <w:rPr>
          <w:noProof/>
        </w:rPr>
      </w:pPr>
      <w:r w:rsidRPr="00610A40">
        <w:rPr>
          <w:noProof/>
        </w:rPr>
        <w:lastRenderedPageBreak/>
        <w:t xml:space="preserve">(116) </w:t>
      </w:r>
      <w:r w:rsidRPr="00610A40">
        <w:rPr>
          <w:noProof/>
        </w:rPr>
        <w:tab/>
        <w:t xml:space="preserve">Bettinger, C. J.; Kulig, K. M.; Vacanti, J. P.; Langer, R.; Borenstein, J. T. “Nanofabricated Collagen-Inspired Synthetic Elastomers for Primary Rat Hepatocyte Culture.” Tissue Eng. Part A 2009, </w:t>
      </w:r>
      <w:r w:rsidRPr="00610A40">
        <w:rPr>
          <w:i/>
          <w:iCs/>
          <w:noProof/>
        </w:rPr>
        <w:t>15</w:t>
      </w:r>
      <w:r w:rsidRPr="00610A40">
        <w:rPr>
          <w:noProof/>
        </w:rPr>
        <w:t>, 1321–1329.</w:t>
      </w:r>
    </w:p>
    <w:p w14:paraId="514A9E19" w14:textId="77777777" w:rsidR="00565E2A" w:rsidRPr="00610A40" w:rsidRDefault="00565E2A">
      <w:pPr>
        <w:pStyle w:val="NormalWeb"/>
        <w:ind w:left="640" w:hanging="640"/>
        <w:divId w:val="700402019"/>
        <w:rPr>
          <w:noProof/>
        </w:rPr>
      </w:pPr>
      <w:r w:rsidRPr="00610A40">
        <w:rPr>
          <w:noProof/>
        </w:rPr>
        <w:t xml:space="preserve">(117) </w:t>
      </w:r>
      <w:r w:rsidRPr="00610A40">
        <w:rPr>
          <w:noProof/>
        </w:rPr>
        <w:tab/>
        <w:t xml:space="preserve">Neeley, W. L.; Redenti, S.; Klassen, H.; Tao, S.; Desai, T.; Young, M. J.; Langer, R. “A Microfabricated Scaffold for Retinal Progenitor Cell Grafting.” Biomaterials 2008, </w:t>
      </w:r>
      <w:r w:rsidRPr="00610A40">
        <w:rPr>
          <w:i/>
          <w:iCs/>
          <w:noProof/>
        </w:rPr>
        <w:t>29</w:t>
      </w:r>
      <w:r w:rsidRPr="00610A40">
        <w:rPr>
          <w:noProof/>
        </w:rPr>
        <w:t>, 418–426.</w:t>
      </w:r>
    </w:p>
    <w:p w14:paraId="36A00B36" w14:textId="77777777" w:rsidR="00565E2A" w:rsidRPr="00610A40" w:rsidRDefault="00565E2A">
      <w:pPr>
        <w:pStyle w:val="NormalWeb"/>
        <w:ind w:left="640" w:hanging="640"/>
        <w:divId w:val="700402019"/>
        <w:rPr>
          <w:noProof/>
        </w:rPr>
      </w:pPr>
      <w:r w:rsidRPr="00610A40">
        <w:rPr>
          <w:noProof/>
        </w:rPr>
        <w:t xml:space="preserve">(118) </w:t>
      </w:r>
      <w:r w:rsidRPr="00610A40">
        <w:rPr>
          <w:noProof/>
        </w:rPr>
        <w:tab/>
        <w:t xml:space="preserve">Bettinger, C. J.; Weinberg, E. J.; Kulig, K. M.; Vacanti, J. P.; Wang, Y.; Borenstein, J. T.; Langer, R. “Three-Dimensional Microfluidic Tissue-Engineering Scaffolds Using a Flexible Biodegradable Polymer.” Adv. Mater. 2005, </w:t>
      </w:r>
      <w:r w:rsidRPr="00610A40">
        <w:rPr>
          <w:i/>
          <w:iCs/>
          <w:noProof/>
        </w:rPr>
        <w:t>18</w:t>
      </w:r>
      <w:r w:rsidRPr="00610A40">
        <w:rPr>
          <w:noProof/>
        </w:rPr>
        <w:t>, 165–169.</w:t>
      </w:r>
    </w:p>
    <w:p w14:paraId="34DAE033" w14:textId="77777777" w:rsidR="00565E2A" w:rsidRPr="00610A40" w:rsidRDefault="00565E2A">
      <w:pPr>
        <w:pStyle w:val="NormalWeb"/>
        <w:ind w:left="640" w:hanging="640"/>
        <w:divId w:val="700402019"/>
        <w:rPr>
          <w:noProof/>
        </w:rPr>
      </w:pPr>
      <w:r w:rsidRPr="00610A40">
        <w:rPr>
          <w:noProof/>
        </w:rPr>
        <w:t xml:space="preserve">(119) </w:t>
      </w:r>
      <w:r w:rsidRPr="00610A40">
        <w:rPr>
          <w:noProof/>
        </w:rPr>
        <w:tab/>
        <w:t xml:space="preserve">Murugan, R.; Ramakrishna, S. “Design Strategies of Tissue Engineering Scaffolds with Controlled Fiber Orientation.” Tissue Eng. 2007, </w:t>
      </w:r>
      <w:r w:rsidRPr="00610A40">
        <w:rPr>
          <w:i/>
          <w:iCs/>
          <w:noProof/>
        </w:rPr>
        <w:t>13</w:t>
      </w:r>
      <w:r w:rsidRPr="00610A40">
        <w:rPr>
          <w:noProof/>
        </w:rPr>
        <w:t>, 1845–1866.</w:t>
      </w:r>
    </w:p>
    <w:p w14:paraId="4BD7C63D" w14:textId="77777777" w:rsidR="00565E2A" w:rsidRPr="00610A40" w:rsidRDefault="00565E2A">
      <w:pPr>
        <w:pStyle w:val="NormalWeb"/>
        <w:ind w:left="640" w:hanging="640"/>
        <w:divId w:val="700402019"/>
        <w:rPr>
          <w:noProof/>
        </w:rPr>
      </w:pPr>
      <w:r w:rsidRPr="00610A40">
        <w:rPr>
          <w:noProof/>
        </w:rPr>
        <w:t xml:space="preserve">(120) </w:t>
      </w:r>
      <w:r w:rsidRPr="00610A40">
        <w:rPr>
          <w:noProof/>
        </w:rPr>
        <w:tab/>
        <w:t xml:space="preserve">Lee, I. S.; Kwon, O. H.; Meng, W.; Kang, I.-K.; Ito, Y. “Nanofabrication of Microbial Polyester by Electrospinning Promotes Cell Attachment.” Macromol. Res. </w:t>
      </w:r>
      <w:r w:rsidRPr="00610A40">
        <w:rPr>
          <w:i/>
          <w:iCs/>
          <w:noProof/>
        </w:rPr>
        <w:t>12</w:t>
      </w:r>
      <w:r w:rsidRPr="00610A40">
        <w:rPr>
          <w:noProof/>
        </w:rPr>
        <w:t>, 374–378.</w:t>
      </w:r>
    </w:p>
    <w:p w14:paraId="2FDCF777" w14:textId="77777777" w:rsidR="00565E2A" w:rsidRPr="00610A40" w:rsidRDefault="00565E2A">
      <w:pPr>
        <w:pStyle w:val="NormalWeb"/>
        <w:ind w:left="640" w:hanging="640"/>
        <w:divId w:val="700402019"/>
        <w:rPr>
          <w:noProof/>
        </w:rPr>
      </w:pPr>
      <w:r w:rsidRPr="00610A40">
        <w:rPr>
          <w:noProof/>
        </w:rPr>
        <w:t xml:space="preserve">(121) </w:t>
      </w:r>
      <w:r w:rsidRPr="00610A40">
        <w:rPr>
          <w:noProof/>
        </w:rPr>
        <w:tab/>
        <w:t xml:space="preserve">Cunha, C.; Panseri, S.; Antonini, S. “Emerging Nanotechnology Approaches in Tissue Engineering for Peripheral Nerve Regeneration.” Nanomedicine Nanotechnology, Biol. Med. 2011, </w:t>
      </w:r>
      <w:r w:rsidRPr="00610A40">
        <w:rPr>
          <w:i/>
          <w:iCs/>
          <w:noProof/>
        </w:rPr>
        <w:t>7</w:t>
      </w:r>
      <w:r w:rsidRPr="00610A40">
        <w:rPr>
          <w:noProof/>
        </w:rPr>
        <w:t>, 50–59.</w:t>
      </w:r>
    </w:p>
    <w:p w14:paraId="4B0E59E2" w14:textId="77777777" w:rsidR="00565E2A" w:rsidRPr="00610A40" w:rsidRDefault="00565E2A">
      <w:pPr>
        <w:pStyle w:val="NormalWeb"/>
        <w:ind w:left="640" w:hanging="640"/>
        <w:divId w:val="700402019"/>
        <w:rPr>
          <w:noProof/>
        </w:rPr>
      </w:pPr>
      <w:r w:rsidRPr="00610A40">
        <w:rPr>
          <w:noProof/>
        </w:rPr>
        <w:t xml:space="preserve">(122) </w:t>
      </w:r>
      <w:r w:rsidRPr="00610A40">
        <w:rPr>
          <w:noProof/>
        </w:rPr>
        <w:tab/>
        <w:t xml:space="preserve">Do, A.; Khorsand, B.; Geary, S. M.; Salem, A. K. “3D Printing of Scaffolds for Tissue Regeneration Applications.” Adv Heal. Mater 2015, </w:t>
      </w:r>
      <w:r w:rsidRPr="00610A40">
        <w:rPr>
          <w:i/>
          <w:iCs/>
          <w:noProof/>
        </w:rPr>
        <w:t>4</w:t>
      </w:r>
      <w:r w:rsidRPr="00610A40">
        <w:rPr>
          <w:noProof/>
        </w:rPr>
        <w:t>, 1742–1762.</w:t>
      </w:r>
    </w:p>
    <w:p w14:paraId="009B2226" w14:textId="77777777" w:rsidR="00565E2A" w:rsidRPr="00610A40" w:rsidRDefault="00565E2A">
      <w:pPr>
        <w:pStyle w:val="NormalWeb"/>
        <w:ind w:left="640" w:hanging="640"/>
        <w:divId w:val="700402019"/>
        <w:rPr>
          <w:noProof/>
        </w:rPr>
      </w:pPr>
      <w:r w:rsidRPr="00610A40">
        <w:rPr>
          <w:noProof/>
        </w:rPr>
        <w:t xml:space="preserve">(123) </w:t>
      </w:r>
      <w:r w:rsidRPr="00610A40">
        <w:rPr>
          <w:noProof/>
        </w:rPr>
        <w:tab/>
        <w:t xml:space="preserve">Kemppainen, J. M.; Hollister, S. J. “Tailoring the Mechanical Properties of 3D-Designed Poly(glycerol Sebacate) Scaffolds for Cartilage Applications.” J. Biomed. Mater. Res. - Part A 2010, </w:t>
      </w:r>
      <w:r w:rsidRPr="00610A40">
        <w:rPr>
          <w:i/>
          <w:iCs/>
          <w:noProof/>
        </w:rPr>
        <w:t>94</w:t>
      </w:r>
      <w:r w:rsidRPr="00610A40">
        <w:rPr>
          <w:noProof/>
        </w:rPr>
        <w:t>, 9–18.</w:t>
      </w:r>
    </w:p>
    <w:p w14:paraId="5A79C69F" w14:textId="77777777" w:rsidR="00565E2A" w:rsidRPr="00610A40" w:rsidRDefault="00565E2A">
      <w:pPr>
        <w:pStyle w:val="NormalWeb"/>
        <w:ind w:left="640" w:hanging="640"/>
        <w:divId w:val="700402019"/>
        <w:rPr>
          <w:noProof/>
        </w:rPr>
      </w:pPr>
      <w:r w:rsidRPr="00610A40">
        <w:rPr>
          <w:noProof/>
        </w:rPr>
        <w:t xml:space="preserve">(124) </w:t>
      </w:r>
      <w:r w:rsidRPr="00610A40">
        <w:rPr>
          <w:noProof/>
        </w:rPr>
        <w:tab/>
        <w:t>Types of 3D printers or 3D printing technologies overview | 3D Printing from scratch.</w:t>
      </w:r>
    </w:p>
    <w:p w14:paraId="0CC5B229" w14:textId="77777777" w:rsidR="00565E2A" w:rsidRPr="00610A40" w:rsidRDefault="00565E2A">
      <w:pPr>
        <w:pStyle w:val="NormalWeb"/>
        <w:ind w:left="640" w:hanging="640"/>
        <w:divId w:val="700402019"/>
        <w:rPr>
          <w:noProof/>
        </w:rPr>
      </w:pPr>
      <w:r w:rsidRPr="00610A40">
        <w:rPr>
          <w:noProof/>
        </w:rPr>
        <w:t xml:space="preserve">(125) </w:t>
      </w:r>
      <w:r w:rsidRPr="00610A40">
        <w:rPr>
          <w:noProof/>
        </w:rPr>
        <w:tab/>
        <w:t xml:space="preserve">Cooke, M. N.; Fisher, J. P.; Dean, D.; Rimnac, C.; Mikos, A. G. “Use of Stereolithography to Manufacture Critical-Sized 3D Biodegradable Scaffolds for Bone Ingrowth.” J. Biomed. Mater. Res. 2003, </w:t>
      </w:r>
      <w:r w:rsidRPr="00610A40">
        <w:rPr>
          <w:i/>
          <w:iCs/>
          <w:noProof/>
        </w:rPr>
        <w:t>64B</w:t>
      </w:r>
      <w:r w:rsidRPr="00610A40">
        <w:rPr>
          <w:noProof/>
        </w:rPr>
        <w:t>, 65–69.</w:t>
      </w:r>
    </w:p>
    <w:p w14:paraId="17507928" w14:textId="77777777" w:rsidR="00565E2A" w:rsidRPr="00610A40" w:rsidRDefault="00565E2A">
      <w:pPr>
        <w:pStyle w:val="NormalWeb"/>
        <w:ind w:left="640" w:hanging="640"/>
        <w:divId w:val="700402019"/>
        <w:rPr>
          <w:noProof/>
        </w:rPr>
      </w:pPr>
      <w:r w:rsidRPr="00610A40">
        <w:rPr>
          <w:noProof/>
        </w:rPr>
        <w:t xml:space="preserve">(126) </w:t>
      </w:r>
      <w:r w:rsidRPr="00610A40">
        <w:rPr>
          <w:noProof/>
        </w:rPr>
        <w:tab/>
        <w:t xml:space="preserve">Melchiorri, A. J.; Hibino, N.; Best, C. A.; Yi, T.; Lee, Y. U.; Kraynak, C. A.; Kimerer, L. K.; Krieger, A.; Kim, P.; Breuer, C. K.; </w:t>
      </w:r>
      <w:r w:rsidRPr="00610A40">
        <w:rPr>
          <w:i/>
          <w:iCs/>
          <w:noProof/>
        </w:rPr>
        <w:t>et al.</w:t>
      </w:r>
      <w:r w:rsidRPr="00610A40">
        <w:rPr>
          <w:noProof/>
        </w:rPr>
        <w:t xml:space="preserve"> “3D-Printed Biodegradable Polymeric Vascular Grafts.” Adv. Healthc. Mater. 2016, </w:t>
      </w:r>
      <w:r w:rsidRPr="00610A40">
        <w:rPr>
          <w:i/>
          <w:iCs/>
          <w:noProof/>
        </w:rPr>
        <w:t>5</w:t>
      </w:r>
      <w:r w:rsidRPr="00610A40">
        <w:rPr>
          <w:noProof/>
        </w:rPr>
        <w:t>, 319–325.</w:t>
      </w:r>
    </w:p>
    <w:p w14:paraId="0544B818" w14:textId="77777777" w:rsidR="00565E2A" w:rsidRPr="00610A40" w:rsidRDefault="00565E2A">
      <w:pPr>
        <w:pStyle w:val="NormalWeb"/>
        <w:ind w:left="640" w:hanging="640"/>
        <w:divId w:val="700402019"/>
        <w:rPr>
          <w:noProof/>
        </w:rPr>
      </w:pPr>
      <w:r w:rsidRPr="00610A40">
        <w:rPr>
          <w:noProof/>
        </w:rPr>
        <w:t xml:space="preserve">(127) </w:t>
      </w:r>
      <w:r w:rsidRPr="00610A40">
        <w:rPr>
          <w:noProof/>
        </w:rPr>
        <w:tab/>
        <w:t xml:space="preserve">Duan, B.; Cheung, W. L.; Wang, M. “Optimized Fabrication of Ca–P/PHBV Nanocomposite Scaffolds via Selective Laser Sintering for Bone Tissue Engineering.” Biofabrication 2011, </w:t>
      </w:r>
      <w:r w:rsidRPr="00610A40">
        <w:rPr>
          <w:i/>
          <w:iCs/>
          <w:noProof/>
        </w:rPr>
        <w:t>3</w:t>
      </w:r>
      <w:r w:rsidRPr="00610A40">
        <w:rPr>
          <w:noProof/>
        </w:rPr>
        <w:t>, 015001.</w:t>
      </w:r>
    </w:p>
    <w:p w14:paraId="38572BEA" w14:textId="77777777" w:rsidR="00565E2A" w:rsidRPr="00610A40" w:rsidRDefault="00565E2A">
      <w:pPr>
        <w:pStyle w:val="NormalWeb"/>
        <w:ind w:left="640" w:hanging="640"/>
        <w:divId w:val="700402019"/>
        <w:rPr>
          <w:noProof/>
        </w:rPr>
      </w:pPr>
      <w:r w:rsidRPr="00610A40">
        <w:rPr>
          <w:noProof/>
        </w:rPr>
        <w:t xml:space="preserve">(128) </w:t>
      </w:r>
      <w:r w:rsidRPr="00610A40">
        <w:rPr>
          <w:noProof/>
        </w:rPr>
        <w:tab/>
        <w:t xml:space="preserve">Mahdavi, A.; Ferreira, L.; Sundback, C.; Nichol, J. W.; Chan, E. P.; Carter, D. J. D.; Bettinger, C. J.; Patanavanich, S.; Chignozha, L.; Ben-Joseph, E.; </w:t>
      </w:r>
      <w:r w:rsidRPr="00610A40">
        <w:rPr>
          <w:i/>
          <w:iCs/>
          <w:noProof/>
        </w:rPr>
        <w:t>et al.</w:t>
      </w:r>
      <w:r w:rsidRPr="00610A40">
        <w:rPr>
          <w:noProof/>
        </w:rPr>
        <w:t xml:space="preserve"> “A Biodegradable </w:t>
      </w:r>
      <w:r w:rsidRPr="00610A40">
        <w:rPr>
          <w:noProof/>
        </w:rPr>
        <w:lastRenderedPageBreak/>
        <w:t xml:space="preserve">and Biocompatible Gecko-Inspired Tissue Adhesive.” Proc. Natl. Acad. Sci. U. S. A. 2008, </w:t>
      </w:r>
      <w:r w:rsidRPr="00610A40">
        <w:rPr>
          <w:i/>
          <w:iCs/>
          <w:noProof/>
        </w:rPr>
        <w:t>105</w:t>
      </w:r>
      <w:r w:rsidRPr="00610A40">
        <w:rPr>
          <w:noProof/>
        </w:rPr>
        <w:t>, 2307–2312.</w:t>
      </w:r>
    </w:p>
    <w:p w14:paraId="033C7685" w14:textId="77777777" w:rsidR="00565E2A" w:rsidRPr="00610A40" w:rsidRDefault="00565E2A">
      <w:pPr>
        <w:pStyle w:val="NormalWeb"/>
        <w:ind w:left="640" w:hanging="640"/>
        <w:divId w:val="700402019"/>
        <w:rPr>
          <w:noProof/>
        </w:rPr>
      </w:pPr>
      <w:r w:rsidRPr="00610A40">
        <w:rPr>
          <w:noProof/>
        </w:rPr>
        <w:t xml:space="preserve">(129) </w:t>
      </w:r>
      <w:r w:rsidRPr="00610A40">
        <w:rPr>
          <w:noProof/>
        </w:rPr>
        <w:tab/>
        <w:t xml:space="preserve">Guillemette, M. D.; Park, H.; Hsiao, J. C.; Jain, S. R.; Larson, B. L.; Langer, R.; Freed, L. E. “Combined Technologies for Microfabricating Elastomeric Cardiac Tissue Engineering Scaffolds.” Macromol. Biosci. 2010, </w:t>
      </w:r>
      <w:r w:rsidRPr="00610A40">
        <w:rPr>
          <w:i/>
          <w:iCs/>
          <w:noProof/>
        </w:rPr>
        <w:t>10</w:t>
      </w:r>
      <w:r w:rsidRPr="00610A40">
        <w:rPr>
          <w:noProof/>
        </w:rPr>
        <w:t>, 1330–1337.</w:t>
      </w:r>
    </w:p>
    <w:p w14:paraId="419B7CDF" w14:textId="77777777" w:rsidR="00565E2A" w:rsidRPr="00610A40" w:rsidRDefault="00565E2A">
      <w:pPr>
        <w:pStyle w:val="NormalWeb"/>
        <w:ind w:left="640" w:hanging="640"/>
        <w:divId w:val="700402019"/>
        <w:rPr>
          <w:noProof/>
        </w:rPr>
      </w:pPr>
      <w:r w:rsidRPr="00610A40">
        <w:rPr>
          <w:noProof/>
        </w:rPr>
        <w:t xml:space="preserve">(130) </w:t>
      </w:r>
      <w:r w:rsidRPr="00610A40">
        <w:rPr>
          <w:noProof/>
        </w:rPr>
        <w:tab/>
        <w:t xml:space="preserve">Engelmayr, G. C.; Cheng, M.; Bettinger, C. J.; Borenstein, J. T.; Langer, R.; Freed, L. E. “Accordion-like Honeycombs for Tissue Engineering of Cardiac Anisotropy.” Nat. Mater. 2008, </w:t>
      </w:r>
      <w:r w:rsidRPr="00610A40">
        <w:rPr>
          <w:i/>
          <w:iCs/>
          <w:noProof/>
        </w:rPr>
        <w:t>7</w:t>
      </w:r>
      <w:r w:rsidRPr="00610A40">
        <w:rPr>
          <w:noProof/>
        </w:rPr>
        <w:t>, 1003–1010.</w:t>
      </w:r>
    </w:p>
    <w:p w14:paraId="05124578" w14:textId="77777777" w:rsidR="00565E2A" w:rsidRPr="00610A40" w:rsidRDefault="00565E2A">
      <w:pPr>
        <w:pStyle w:val="NormalWeb"/>
        <w:ind w:left="640" w:hanging="640"/>
        <w:divId w:val="700402019"/>
        <w:rPr>
          <w:noProof/>
        </w:rPr>
      </w:pPr>
      <w:r w:rsidRPr="00610A40">
        <w:rPr>
          <w:noProof/>
        </w:rPr>
        <w:t xml:space="preserve">(131) </w:t>
      </w:r>
      <w:r w:rsidRPr="00610A40">
        <w:rPr>
          <w:noProof/>
        </w:rPr>
        <w:tab/>
        <w:t xml:space="preserve">Treharne, A. J.; Grossel, M. C.; Lotery, A. J.; Thomson, H. A. “The Chemistry of Retinal Transplantation: The Influence of Polymer Scaffold Properties on Retinal Cell Adhesion and Control.” Br. J. Ophthalmol. 2011, </w:t>
      </w:r>
      <w:r w:rsidRPr="00610A40">
        <w:rPr>
          <w:i/>
          <w:iCs/>
          <w:noProof/>
        </w:rPr>
        <w:t>95</w:t>
      </w:r>
      <w:r w:rsidRPr="00610A40">
        <w:rPr>
          <w:noProof/>
        </w:rPr>
        <w:t>, 768–773.</w:t>
      </w:r>
    </w:p>
    <w:p w14:paraId="28FFB788" w14:textId="77777777" w:rsidR="00565E2A" w:rsidRPr="00610A40" w:rsidRDefault="00565E2A">
      <w:pPr>
        <w:pStyle w:val="NormalWeb"/>
        <w:ind w:left="640" w:hanging="640"/>
        <w:divId w:val="700402019"/>
        <w:rPr>
          <w:noProof/>
        </w:rPr>
      </w:pPr>
      <w:r w:rsidRPr="00610A40">
        <w:rPr>
          <w:noProof/>
        </w:rPr>
        <w:t xml:space="preserve">(132) </w:t>
      </w:r>
      <w:r w:rsidRPr="00610A40">
        <w:rPr>
          <w:noProof/>
        </w:rPr>
        <w:tab/>
        <w:t xml:space="preserve">Redenti, S.; Neeley, W. L.; Rompani, S.; Saigal, S.; Yang, J.; Klassen, H.; Langer, R.; Young, M. J. “Engineering Retinal Progenitor Cell and Scrollable Poly(glycerol-Sebacate) Composites for Expansion and Subretinal Transplantation.” Biomaterials 2009, </w:t>
      </w:r>
      <w:r w:rsidRPr="00610A40">
        <w:rPr>
          <w:i/>
          <w:iCs/>
          <w:noProof/>
        </w:rPr>
        <w:t>30</w:t>
      </w:r>
      <w:r w:rsidRPr="00610A40">
        <w:rPr>
          <w:noProof/>
        </w:rPr>
        <w:t>, 3405–3414.</w:t>
      </w:r>
    </w:p>
    <w:p w14:paraId="753092F3" w14:textId="77777777" w:rsidR="00565E2A" w:rsidRPr="00610A40" w:rsidRDefault="00565E2A">
      <w:pPr>
        <w:pStyle w:val="NormalWeb"/>
        <w:ind w:left="640" w:hanging="640"/>
        <w:divId w:val="700402019"/>
        <w:rPr>
          <w:noProof/>
        </w:rPr>
      </w:pPr>
      <w:r w:rsidRPr="00610A40">
        <w:rPr>
          <w:noProof/>
        </w:rPr>
        <w:t xml:space="preserve">(133) </w:t>
      </w:r>
      <w:r w:rsidRPr="00610A40">
        <w:rPr>
          <w:noProof/>
        </w:rPr>
        <w:tab/>
        <w:t xml:space="preserve">Pritchard, C. D.; Arn??r, K. M.; Neal, R. a.; Neeley, W. L.; Bojo, P.; Bachelder, E.; Holz, J.; Watson, N.; Botchwey, E. a.; Langer, R. S.; </w:t>
      </w:r>
      <w:r w:rsidRPr="00610A40">
        <w:rPr>
          <w:i/>
          <w:iCs/>
          <w:noProof/>
        </w:rPr>
        <w:t>et al.</w:t>
      </w:r>
      <w:r w:rsidRPr="00610A40">
        <w:rPr>
          <w:noProof/>
        </w:rPr>
        <w:t xml:space="preserve"> “The Use of Surface Modified Poly(glycerol-Co-Sebacic Acid) in Retinal Transplantation.” Biomaterials 2010, </w:t>
      </w:r>
      <w:r w:rsidRPr="00610A40">
        <w:rPr>
          <w:i/>
          <w:iCs/>
          <w:noProof/>
        </w:rPr>
        <w:t>31</w:t>
      </w:r>
      <w:r w:rsidRPr="00610A40">
        <w:rPr>
          <w:noProof/>
        </w:rPr>
        <w:t>, 2153–2162.</w:t>
      </w:r>
    </w:p>
    <w:p w14:paraId="63827D78" w14:textId="77777777" w:rsidR="00565E2A" w:rsidRPr="00610A40" w:rsidRDefault="00565E2A">
      <w:pPr>
        <w:pStyle w:val="NormalWeb"/>
        <w:ind w:left="640" w:hanging="640"/>
        <w:divId w:val="700402019"/>
        <w:rPr>
          <w:noProof/>
        </w:rPr>
      </w:pPr>
      <w:r w:rsidRPr="00610A40">
        <w:rPr>
          <w:noProof/>
        </w:rPr>
        <w:t xml:space="preserve">(134) </w:t>
      </w:r>
      <w:r w:rsidRPr="00610A40">
        <w:rPr>
          <w:noProof/>
        </w:rPr>
        <w:tab/>
        <w:t xml:space="preserve">Pritchard, C. D.; Arnér, K. M.; Langer, R. S.; Ghosh, F. K. “Retinal Transplantation Using Surface Modified Poly(glycerol-Co-Sebacic Acid) Membranes.” Biomaterials 2010, </w:t>
      </w:r>
      <w:r w:rsidRPr="00610A40">
        <w:rPr>
          <w:i/>
          <w:iCs/>
          <w:noProof/>
        </w:rPr>
        <w:t>31</w:t>
      </w:r>
      <w:r w:rsidRPr="00610A40">
        <w:rPr>
          <w:noProof/>
        </w:rPr>
        <w:t>, 7978–7984.</w:t>
      </w:r>
    </w:p>
    <w:p w14:paraId="201454EA" w14:textId="77777777" w:rsidR="00565E2A" w:rsidRPr="00610A40" w:rsidRDefault="00565E2A">
      <w:pPr>
        <w:pStyle w:val="NormalWeb"/>
        <w:ind w:left="640" w:hanging="640"/>
        <w:divId w:val="700402019"/>
        <w:rPr>
          <w:noProof/>
        </w:rPr>
      </w:pPr>
      <w:r w:rsidRPr="00610A40">
        <w:rPr>
          <w:noProof/>
        </w:rPr>
        <w:t xml:space="preserve">(135) </w:t>
      </w:r>
      <w:r w:rsidRPr="00610A40">
        <w:rPr>
          <w:noProof/>
        </w:rPr>
        <w:tab/>
        <w:t xml:space="preserve">Ghosh, F.; Neeley, W. L.; Arnér, K.; Langer, R. “Selective Removal of Photoreceptor Cells in Vivo Using the Biodegradable Elastomer Poly(glycerol Sebacate).” Tissue Eng. Part A 2011, </w:t>
      </w:r>
      <w:r w:rsidRPr="00610A40">
        <w:rPr>
          <w:i/>
          <w:iCs/>
          <w:noProof/>
        </w:rPr>
        <w:t>17</w:t>
      </w:r>
      <w:r w:rsidRPr="00610A40">
        <w:rPr>
          <w:noProof/>
        </w:rPr>
        <w:t>, 1675–1682.</w:t>
      </w:r>
    </w:p>
    <w:p w14:paraId="470A5333" w14:textId="77777777" w:rsidR="00565E2A" w:rsidRPr="00610A40" w:rsidRDefault="00565E2A">
      <w:pPr>
        <w:pStyle w:val="NormalWeb"/>
        <w:ind w:left="640" w:hanging="640"/>
        <w:divId w:val="700402019"/>
        <w:rPr>
          <w:noProof/>
        </w:rPr>
      </w:pPr>
      <w:r w:rsidRPr="00610A40">
        <w:rPr>
          <w:noProof/>
        </w:rPr>
        <w:t xml:space="preserve">(136) </w:t>
      </w:r>
      <w:r w:rsidRPr="00610A40">
        <w:rPr>
          <w:noProof/>
        </w:rPr>
        <w:tab/>
        <w:t xml:space="preserve">Ueda, H.; Hacker, M. C.; Haesslein, A.; Jo, S.; Ammon, D. M.; Borazjani, R. N.; Kunzler, J. F.; Salamone, J. C.; Mikos, A. G. “Injectable, in Situ Forming Poly(propylene Fumarate)-Based Ocular Drug Delivery Systems.” J. Biomed. Mater. Res. Part A 2007, </w:t>
      </w:r>
      <w:r w:rsidRPr="00610A40">
        <w:rPr>
          <w:i/>
          <w:iCs/>
          <w:noProof/>
        </w:rPr>
        <w:t>83A</w:t>
      </w:r>
      <w:r w:rsidRPr="00610A40">
        <w:rPr>
          <w:noProof/>
        </w:rPr>
        <w:t>, 656–666.</w:t>
      </w:r>
    </w:p>
    <w:p w14:paraId="72269C39" w14:textId="77777777" w:rsidR="00565E2A" w:rsidRPr="00610A40" w:rsidRDefault="00565E2A">
      <w:pPr>
        <w:pStyle w:val="NormalWeb"/>
        <w:ind w:left="640" w:hanging="640"/>
        <w:divId w:val="700402019"/>
        <w:rPr>
          <w:noProof/>
        </w:rPr>
      </w:pPr>
      <w:r w:rsidRPr="00610A40">
        <w:rPr>
          <w:noProof/>
        </w:rPr>
        <w:t xml:space="preserve">(137) </w:t>
      </w:r>
      <w:r w:rsidRPr="00610A40">
        <w:rPr>
          <w:noProof/>
        </w:rPr>
        <w:tab/>
        <w:t xml:space="preserve">Hacker, M. C.; Haesslein, A.; Ueda, H.; Foster, W. J.; Garcia, C. A.; Ammon, D. M.; Borazjani, R. N.; Kunzler, J. F.; Salamone, J. C.; Mikos, A. G. “Biodegradable Fumarate-Based Drug-Delivery Systems for Ophthalmic Applications.” J. Biomed. Mater. Res. Part A 2009, </w:t>
      </w:r>
      <w:r w:rsidRPr="00610A40">
        <w:rPr>
          <w:i/>
          <w:iCs/>
          <w:noProof/>
        </w:rPr>
        <w:t>88A</w:t>
      </w:r>
      <w:r w:rsidRPr="00610A40">
        <w:rPr>
          <w:noProof/>
        </w:rPr>
        <w:t>, 976–989.</w:t>
      </w:r>
    </w:p>
    <w:p w14:paraId="4E442899" w14:textId="77777777" w:rsidR="00565E2A" w:rsidRPr="00610A40" w:rsidRDefault="00565E2A">
      <w:pPr>
        <w:pStyle w:val="NormalWeb"/>
        <w:ind w:left="640" w:hanging="640"/>
        <w:divId w:val="700402019"/>
        <w:rPr>
          <w:noProof/>
        </w:rPr>
      </w:pPr>
      <w:r w:rsidRPr="00610A40">
        <w:rPr>
          <w:noProof/>
        </w:rPr>
        <w:t xml:space="preserve">(138) </w:t>
      </w:r>
      <w:r w:rsidRPr="00610A40">
        <w:rPr>
          <w:noProof/>
        </w:rPr>
        <w:tab/>
        <w:t xml:space="preserve">Haesslein, A.; Hacker, M. C.; Ueda, H.; Ammon, D. M.; Borazjani, R. N.; Kunzler, J. F.; Salamone, J. C.; Mikos, A. G. “Matrix Modifications Modulate Ophthalmic Drug </w:t>
      </w:r>
      <w:r w:rsidRPr="00610A40">
        <w:rPr>
          <w:noProof/>
        </w:rPr>
        <w:lastRenderedPageBreak/>
        <w:t xml:space="preserve">Delivery From Photo-Cross-Linked Poly(propylene Fumarate)-Based Networks.” J. Biomater. Sci. Polym. Ed. 2009, </w:t>
      </w:r>
      <w:r w:rsidRPr="00610A40">
        <w:rPr>
          <w:i/>
          <w:iCs/>
          <w:noProof/>
        </w:rPr>
        <w:t>20</w:t>
      </w:r>
      <w:r w:rsidRPr="00610A40">
        <w:rPr>
          <w:noProof/>
        </w:rPr>
        <w:t>, 49–69.</w:t>
      </w:r>
    </w:p>
    <w:p w14:paraId="27D65305" w14:textId="77777777" w:rsidR="00565E2A" w:rsidRPr="00610A40" w:rsidRDefault="00565E2A">
      <w:pPr>
        <w:pStyle w:val="NormalWeb"/>
        <w:ind w:left="640" w:hanging="640"/>
        <w:divId w:val="700402019"/>
        <w:rPr>
          <w:noProof/>
        </w:rPr>
      </w:pPr>
      <w:r w:rsidRPr="00610A40">
        <w:rPr>
          <w:noProof/>
        </w:rPr>
        <w:t xml:space="preserve">(139) </w:t>
      </w:r>
      <w:r w:rsidRPr="00610A40">
        <w:rPr>
          <w:noProof/>
        </w:rPr>
        <w:tab/>
        <w:t xml:space="preserve">Gao, Q.; Hu, B.; Ning, Q.; Ye, C.; Xie, J.; Ye, J.; Gao, C. “A Primary Study of Poly(propylene Fumarate)-2-Hydroxyethyl Methacrylate Copolymer Scaffolds for Tarsal Plate Repair and Reconstruction in Rabbit Eyelids.” J. Mater. Chem. B 2015, </w:t>
      </w:r>
      <w:r w:rsidRPr="00610A40">
        <w:rPr>
          <w:i/>
          <w:iCs/>
          <w:noProof/>
        </w:rPr>
        <w:t>3</w:t>
      </w:r>
      <w:r w:rsidRPr="00610A40">
        <w:rPr>
          <w:noProof/>
        </w:rPr>
        <w:t>, 4052–4062.</w:t>
      </w:r>
    </w:p>
    <w:p w14:paraId="643BADB2" w14:textId="77777777" w:rsidR="00565E2A" w:rsidRPr="00610A40" w:rsidRDefault="00565E2A">
      <w:pPr>
        <w:pStyle w:val="NormalWeb"/>
        <w:ind w:left="640" w:hanging="640"/>
        <w:divId w:val="700402019"/>
        <w:rPr>
          <w:noProof/>
        </w:rPr>
      </w:pPr>
      <w:r w:rsidRPr="00610A40">
        <w:rPr>
          <w:noProof/>
        </w:rPr>
        <w:t xml:space="preserve">(140) </w:t>
      </w:r>
      <w:r w:rsidRPr="00610A40">
        <w:rPr>
          <w:noProof/>
        </w:rPr>
        <w:tab/>
      </w:r>
      <w:r w:rsidRPr="00610A40">
        <w:rPr>
          <w:i/>
          <w:iCs/>
          <w:noProof/>
        </w:rPr>
        <w:t>Heart Disease, Stroke and Research Statistics at-a-Glance</w:t>
      </w:r>
      <w:r w:rsidRPr="00610A40">
        <w:rPr>
          <w:noProof/>
        </w:rPr>
        <w:t>; 2016.</w:t>
      </w:r>
    </w:p>
    <w:p w14:paraId="60837F6C" w14:textId="77777777" w:rsidR="00565E2A" w:rsidRPr="00610A40" w:rsidRDefault="00565E2A">
      <w:pPr>
        <w:pStyle w:val="NormalWeb"/>
        <w:ind w:left="640" w:hanging="640"/>
        <w:divId w:val="700402019"/>
        <w:rPr>
          <w:noProof/>
        </w:rPr>
      </w:pPr>
      <w:r w:rsidRPr="00610A40">
        <w:rPr>
          <w:noProof/>
        </w:rPr>
        <w:t xml:space="preserve">(141) </w:t>
      </w:r>
      <w:r w:rsidRPr="00610A40">
        <w:rPr>
          <w:noProof/>
        </w:rPr>
        <w:tab/>
        <w:t xml:space="preserve">Chen, Q. Z.; Harding, S. E.; Ali, N. N.; Lyon, a. R.; Boccaccini, a. R. “Biomaterials in Cardiac Tissue Engineering : Ten Years of Research Survey.” Mater. Sci. Eng. R 2008, </w:t>
      </w:r>
      <w:r w:rsidRPr="00610A40">
        <w:rPr>
          <w:i/>
          <w:iCs/>
          <w:noProof/>
        </w:rPr>
        <w:t>59</w:t>
      </w:r>
      <w:r w:rsidRPr="00610A40">
        <w:rPr>
          <w:noProof/>
        </w:rPr>
        <w:t>, 1–37.</w:t>
      </w:r>
    </w:p>
    <w:p w14:paraId="2FBC3272" w14:textId="77777777" w:rsidR="00565E2A" w:rsidRPr="00610A40" w:rsidRDefault="00565E2A">
      <w:pPr>
        <w:pStyle w:val="NormalWeb"/>
        <w:ind w:left="640" w:hanging="640"/>
        <w:divId w:val="700402019"/>
        <w:rPr>
          <w:noProof/>
        </w:rPr>
      </w:pPr>
      <w:r w:rsidRPr="00610A40">
        <w:rPr>
          <w:noProof/>
        </w:rPr>
        <w:t xml:space="preserve">(142) </w:t>
      </w:r>
      <w:r w:rsidRPr="00610A40">
        <w:rPr>
          <w:noProof/>
        </w:rPr>
        <w:tab/>
        <w:t xml:space="preserve">Chen, Q. Z.; Ishii, H.; Thouas, G. A.; Lyon, A. R.; Wright, J. S.; Blaker, J. J.; Chrzanowski, W.; Boccaccini, A. R.; Ali, N. N.; Knowles, J. C.; </w:t>
      </w:r>
      <w:r w:rsidRPr="00610A40">
        <w:rPr>
          <w:i/>
          <w:iCs/>
          <w:noProof/>
        </w:rPr>
        <w:t>et al.</w:t>
      </w:r>
      <w:r w:rsidRPr="00610A40">
        <w:rPr>
          <w:noProof/>
        </w:rPr>
        <w:t xml:space="preserve"> “An Elastomeric Patch Derived from Poly(glycerol Sebacate) for Delivery of Embryonic Stem Cells to the Heart.” Biomaterials 2010, </w:t>
      </w:r>
      <w:r w:rsidRPr="00610A40">
        <w:rPr>
          <w:i/>
          <w:iCs/>
          <w:noProof/>
        </w:rPr>
        <w:t>31</w:t>
      </w:r>
      <w:r w:rsidRPr="00610A40">
        <w:rPr>
          <w:noProof/>
        </w:rPr>
        <w:t>, 3885–3893.</w:t>
      </w:r>
    </w:p>
    <w:p w14:paraId="61E7FB94" w14:textId="77777777" w:rsidR="00565E2A" w:rsidRPr="00610A40" w:rsidRDefault="00565E2A">
      <w:pPr>
        <w:pStyle w:val="NormalWeb"/>
        <w:ind w:left="640" w:hanging="640"/>
        <w:divId w:val="700402019"/>
        <w:rPr>
          <w:noProof/>
        </w:rPr>
      </w:pPr>
      <w:r w:rsidRPr="00610A40">
        <w:rPr>
          <w:noProof/>
        </w:rPr>
        <w:t xml:space="preserve">(143) </w:t>
      </w:r>
      <w:r w:rsidRPr="00610A40">
        <w:rPr>
          <w:noProof/>
        </w:rPr>
        <w:tab/>
        <w:t xml:space="preserve">Lakshmanan, R.; Krishnan, U. M.; Sethuraman, S. “Living Cardiac Patch: The Elixir for Cardiac Regeneration.” Expert Opin. Biol. Ther. 2012, </w:t>
      </w:r>
      <w:r w:rsidRPr="00610A40">
        <w:rPr>
          <w:i/>
          <w:iCs/>
          <w:noProof/>
        </w:rPr>
        <w:t>2598</w:t>
      </w:r>
      <w:r w:rsidRPr="00610A40">
        <w:rPr>
          <w:noProof/>
        </w:rPr>
        <w:t>, 1–18.</w:t>
      </w:r>
    </w:p>
    <w:p w14:paraId="1BAB5780" w14:textId="77777777" w:rsidR="00565E2A" w:rsidRPr="00610A40" w:rsidRDefault="00565E2A">
      <w:pPr>
        <w:pStyle w:val="NormalWeb"/>
        <w:ind w:left="640" w:hanging="640"/>
        <w:divId w:val="700402019"/>
        <w:rPr>
          <w:noProof/>
        </w:rPr>
      </w:pPr>
      <w:r w:rsidRPr="00610A40">
        <w:rPr>
          <w:noProof/>
        </w:rPr>
        <w:t xml:space="preserve">(144) </w:t>
      </w:r>
      <w:r w:rsidRPr="00610A40">
        <w:rPr>
          <w:noProof/>
        </w:rPr>
        <w:tab/>
        <w:t xml:space="preserve">Verheggen, R.; Schulte-Baumann, W. J.; Hahm, G.; Lang, J.; Freudenthaler, S.; Schaake, T.; Markakis, E. “A New Technique of Dural Closure ? Experience with a Vicryl Mesh.” Acta Neurochir. (Wien). 1997, </w:t>
      </w:r>
      <w:r w:rsidRPr="00610A40">
        <w:rPr>
          <w:i/>
          <w:iCs/>
          <w:noProof/>
        </w:rPr>
        <w:t>139</w:t>
      </w:r>
      <w:r w:rsidRPr="00610A40">
        <w:rPr>
          <w:noProof/>
        </w:rPr>
        <w:t>, 1074–1079.</w:t>
      </w:r>
    </w:p>
    <w:p w14:paraId="17489136" w14:textId="77777777" w:rsidR="00565E2A" w:rsidRPr="00610A40" w:rsidRDefault="00565E2A">
      <w:pPr>
        <w:pStyle w:val="NormalWeb"/>
        <w:ind w:left="640" w:hanging="640"/>
        <w:divId w:val="700402019"/>
        <w:rPr>
          <w:noProof/>
        </w:rPr>
      </w:pPr>
      <w:r w:rsidRPr="00610A40">
        <w:rPr>
          <w:noProof/>
        </w:rPr>
        <w:t xml:space="preserve">(145) </w:t>
      </w:r>
      <w:r w:rsidRPr="00610A40">
        <w:rPr>
          <w:noProof/>
        </w:rPr>
        <w:tab/>
        <w:t xml:space="preserve">Weis, S. M.; Emery, J. L.; Becker, K. D.; McBride, D. J.; Omens, J. H.; McCulloch, A. D. “Myocardial Mechanics and Collagen Structure in the Osteogenesis Imperfecta Murine (oim).” Circ. Res. 2000, </w:t>
      </w:r>
      <w:r w:rsidRPr="00610A40">
        <w:rPr>
          <w:i/>
          <w:iCs/>
          <w:noProof/>
        </w:rPr>
        <w:t>87</w:t>
      </w:r>
      <w:r w:rsidRPr="00610A40">
        <w:rPr>
          <w:noProof/>
        </w:rPr>
        <w:t>, 663–669.</w:t>
      </w:r>
    </w:p>
    <w:p w14:paraId="55F77193" w14:textId="77777777" w:rsidR="00565E2A" w:rsidRPr="00610A40" w:rsidRDefault="00565E2A">
      <w:pPr>
        <w:pStyle w:val="NormalWeb"/>
        <w:ind w:left="640" w:hanging="640"/>
        <w:divId w:val="700402019"/>
        <w:rPr>
          <w:noProof/>
        </w:rPr>
      </w:pPr>
      <w:r w:rsidRPr="00610A40">
        <w:rPr>
          <w:noProof/>
        </w:rPr>
        <w:t xml:space="preserve">(146) </w:t>
      </w:r>
      <w:r w:rsidRPr="00610A40">
        <w:rPr>
          <w:noProof/>
        </w:rPr>
        <w:tab/>
        <w:t xml:space="preserve">Omens, J. H. “Stress and Strain as Regulators of Myocardial Growth.” Prog. Biophys. Mol. Biol. 1998, </w:t>
      </w:r>
      <w:r w:rsidRPr="00610A40">
        <w:rPr>
          <w:i/>
          <w:iCs/>
          <w:noProof/>
        </w:rPr>
        <w:t>69</w:t>
      </w:r>
      <w:r w:rsidRPr="00610A40">
        <w:rPr>
          <w:noProof/>
        </w:rPr>
        <w:t>, 559–572.</w:t>
      </w:r>
    </w:p>
    <w:p w14:paraId="10CCEDA5" w14:textId="77777777" w:rsidR="00565E2A" w:rsidRPr="00610A40" w:rsidRDefault="00565E2A">
      <w:pPr>
        <w:pStyle w:val="NormalWeb"/>
        <w:ind w:left="640" w:hanging="640"/>
        <w:divId w:val="700402019"/>
        <w:rPr>
          <w:noProof/>
        </w:rPr>
      </w:pPr>
      <w:r w:rsidRPr="00610A40">
        <w:rPr>
          <w:noProof/>
        </w:rPr>
        <w:t xml:space="preserve">(147) </w:t>
      </w:r>
      <w:r w:rsidRPr="00610A40">
        <w:rPr>
          <w:noProof/>
        </w:rPr>
        <w:tab/>
        <w:t xml:space="preserve">Coirault, C.; Samuel, J. L.; Chemla, D.; Pourny, J. C.; Lambert, F.; Marotte, F.; Lecarpentier, Y. “Increased Compliance in Diaphragm Muscle of the Cardiomyopathic Syrian Hamster.” J. Appl. Physiol. 1998, </w:t>
      </w:r>
      <w:r w:rsidRPr="00610A40">
        <w:rPr>
          <w:i/>
          <w:iCs/>
          <w:noProof/>
        </w:rPr>
        <w:t>85</w:t>
      </w:r>
      <w:r w:rsidRPr="00610A40">
        <w:rPr>
          <w:noProof/>
        </w:rPr>
        <w:t>, 1762–1769.</w:t>
      </w:r>
    </w:p>
    <w:p w14:paraId="20C5933B" w14:textId="77777777" w:rsidR="00565E2A" w:rsidRPr="00610A40" w:rsidRDefault="00565E2A">
      <w:pPr>
        <w:pStyle w:val="NormalWeb"/>
        <w:ind w:left="640" w:hanging="640"/>
        <w:divId w:val="700402019"/>
        <w:rPr>
          <w:noProof/>
        </w:rPr>
      </w:pPr>
      <w:r w:rsidRPr="00610A40">
        <w:rPr>
          <w:noProof/>
        </w:rPr>
        <w:t xml:space="preserve">(148) </w:t>
      </w:r>
      <w:r w:rsidRPr="00610A40">
        <w:rPr>
          <w:noProof/>
        </w:rPr>
        <w:tab/>
        <w:t xml:space="preserve">Nagueh, S. F.; Shah, G.; Wu, Y.; Torre-Amione, G.; King, N. M. P.; Lahmers, S.; Witt, C. C.; Becker, K.; Labeit, S.; Granzier, H. L. “Altered Titin Expression, Myocardial Stiffness, and Left Ventricular Function in Patients with Dilated Cardiomyopathy.” Circulation 2004, </w:t>
      </w:r>
      <w:r w:rsidRPr="00610A40">
        <w:rPr>
          <w:i/>
          <w:iCs/>
          <w:noProof/>
        </w:rPr>
        <w:t>110</w:t>
      </w:r>
      <w:r w:rsidRPr="00610A40">
        <w:rPr>
          <w:noProof/>
        </w:rPr>
        <w:t>, 155–162.</w:t>
      </w:r>
    </w:p>
    <w:p w14:paraId="56AE126D" w14:textId="77777777" w:rsidR="00565E2A" w:rsidRPr="00610A40" w:rsidRDefault="00565E2A">
      <w:pPr>
        <w:pStyle w:val="NormalWeb"/>
        <w:ind w:left="640" w:hanging="640"/>
        <w:divId w:val="700402019"/>
        <w:rPr>
          <w:noProof/>
        </w:rPr>
      </w:pPr>
      <w:r w:rsidRPr="00610A40">
        <w:rPr>
          <w:noProof/>
        </w:rPr>
        <w:t xml:space="preserve">(149) </w:t>
      </w:r>
      <w:r w:rsidRPr="00610A40">
        <w:rPr>
          <w:noProof/>
        </w:rPr>
        <w:tab/>
        <w:t xml:space="preserve">Chen, Q. Z.; Bismarck, A.; Hansen, U.; Junaid, S.; Tran, M. Q.; Harding, S. E.; Ali, N. N.; Boccaccini, A. R. “Characterisation of a Soft Elastomer Poly(glycerol Sebacate) Designed to Match the Mechanical Properties of Myocardial Tissue.” Biomaterials 2008, </w:t>
      </w:r>
      <w:r w:rsidRPr="00610A40">
        <w:rPr>
          <w:i/>
          <w:iCs/>
          <w:noProof/>
        </w:rPr>
        <w:t>29</w:t>
      </w:r>
      <w:r w:rsidRPr="00610A40">
        <w:rPr>
          <w:noProof/>
        </w:rPr>
        <w:t>, 47–57.</w:t>
      </w:r>
    </w:p>
    <w:p w14:paraId="6F05D130" w14:textId="77777777" w:rsidR="00565E2A" w:rsidRPr="00610A40" w:rsidRDefault="00565E2A">
      <w:pPr>
        <w:pStyle w:val="NormalWeb"/>
        <w:ind w:left="640" w:hanging="640"/>
        <w:divId w:val="700402019"/>
        <w:rPr>
          <w:noProof/>
        </w:rPr>
      </w:pPr>
      <w:r w:rsidRPr="00610A40">
        <w:rPr>
          <w:noProof/>
        </w:rPr>
        <w:lastRenderedPageBreak/>
        <w:t xml:space="preserve">(150) </w:t>
      </w:r>
      <w:r w:rsidRPr="00610A40">
        <w:rPr>
          <w:noProof/>
        </w:rPr>
        <w:tab/>
        <w:t xml:space="preserve">Saraf, H.; Ramesh, K. T.; Lennon, A. M.; Merkle, A. C.; Roberts, J. C. “Mechanical Properties of Soft Human Tissues under Dynamic Loading.” J. Biomech. 2007, </w:t>
      </w:r>
      <w:r w:rsidRPr="00610A40">
        <w:rPr>
          <w:i/>
          <w:iCs/>
          <w:noProof/>
        </w:rPr>
        <w:t>40</w:t>
      </w:r>
      <w:r w:rsidRPr="00610A40">
        <w:rPr>
          <w:noProof/>
        </w:rPr>
        <w:t>, 1960–1967.</w:t>
      </w:r>
    </w:p>
    <w:p w14:paraId="4D37065D" w14:textId="77777777" w:rsidR="00565E2A" w:rsidRPr="00610A40" w:rsidRDefault="00565E2A">
      <w:pPr>
        <w:pStyle w:val="NormalWeb"/>
        <w:ind w:left="640" w:hanging="640"/>
        <w:divId w:val="700402019"/>
        <w:rPr>
          <w:noProof/>
        </w:rPr>
      </w:pPr>
      <w:r w:rsidRPr="00610A40">
        <w:rPr>
          <w:noProof/>
        </w:rPr>
        <w:t xml:space="preserve">(151) </w:t>
      </w:r>
      <w:r w:rsidRPr="00610A40">
        <w:rPr>
          <w:noProof/>
        </w:rPr>
        <w:tab/>
        <w:t xml:space="preserve">Davenport Huyer, L.; Zhang, B.; Korolj, A.; Montgomery, M.; Drecun, S.; Conant, G.; Zhao, Y.; Reis, L.; Radisic, M. “Highly Elastic and Moldable Polyester Biomaterial for Cardiac Tissue Engineering Applications.” ACS Biomater. Sci. Eng. 2016, </w:t>
      </w:r>
      <w:r w:rsidRPr="00610A40">
        <w:rPr>
          <w:i/>
          <w:iCs/>
          <w:noProof/>
        </w:rPr>
        <w:t>2</w:t>
      </w:r>
      <w:r w:rsidRPr="00610A40">
        <w:rPr>
          <w:noProof/>
        </w:rPr>
        <w:t>, 780–788.</w:t>
      </w:r>
    </w:p>
    <w:p w14:paraId="52FBF53A" w14:textId="77777777" w:rsidR="00565E2A" w:rsidRPr="00610A40" w:rsidRDefault="00565E2A">
      <w:pPr>
        <w:pStyle w:val="NormalWeb"/>
        <w:ind w:left="640" w:hanging="640"/>
        <w:divId w:val="700402019"/>
        <w:rPr>
          <w:noProof/>
        </w:rPr>
      </w:pPr>
      <w:r w:rsidRPr="00610A40">
        <w:rPr>
          <w:noProof/>
        </w:rPr>
        <w:t xml:space="preserve">(152) </w:t>
      </w:r>
      <w:r w:rsidRPr="00610A40">
        <w:rPr>
          <w:noProof/>
        </w:rPr>
        <w:tab/>
        <w:t xml:space="preserve">Vunjak-novakovic, G.; Tandon, N.; Godier, A.; Maidhof, R.; Marsano, A.; Martens, T. P.; Radisic, M. “Challenges in Cardiac Tissue Engineering.” 2010, </w:t>
      </w:r>
      <w:r w:rsidRPr="00610A40">
        <w:rPr>
          <w:i/>
          <w:iCs/>
          <w:noProof/>
        </w:rPr>
        <w:t>16</w:t>
      </w:r>
      <w:r w:rsidRPr="00610A40">
        <w:rPr>
          <w:noProof/>
        </w:rPr>
        <w:t>.</w:t>
      </w:r>
    </w:p>
    <w:p w14:paraId="26FB8AF0" w14:textId="77777777" w:rsidR="00565E2A" w:rsidRPr="00610A40" w:rsidRDefault="00565E2A">
      <w:pPr>
        <w:pStyle w:val="NormalWeb"/>
        <w:ind w:left="640" w:hanging="640"/>
        <w:divId w:val="700402019"/>
        <w:rPr>
          <w:noProof/>
        </w:rPr>
      </w:pPr>
      <w:r w:rsidRPr="00610A40">
        <w:rPr>
          <w:noProof/>
        </w:rPr>
        <w:t xml:space="preserve">(153) </w:t>
      </w:r>
      <w:r w:rsidRPr="00610A40">
        <w:rPr>
          <w:noProof/>
        </w:rPr>
        <w:tab/>
        <w:t xml:space="preserve">Jr, G. C. E.; Cheng, M.; Bettinger, C. J.; T, J.; Langer, R.; Freed, L. E. “Accordion-Like Honeycombs for Tissue Engineering of Cardiac Anisotropy.” 2009, </w:t>
      </w:r>
      <w:r w:rsidRPr="00610A40">
        <w:rPr>
          <w:i/>
          <w:iCs/>
          <w:noProof/>
        </w:rPr>
        <w:t>7</w:t>
      </w:r>
      <w:r w:rsidRPr="00610A40">
        <w:rPr>
          <w:noProof/>
        </w:rPr>
        <w:t>, 1003–1010.</w:t>
      </w:r>
    </w:p>
    <w:p w14:paraId="1B0DDD00" w14:textId="77777777" w:rsidR="00565E2A" w:rsidRPr="00610A40" w:rsidRDefault="00565E2A">
      <w:pPr>
        <w:pStyle w:val="NormalWeb"/>
        <w:ind w:left="640" w:hanging="640"/>
        <w:divId w:val="700402019"/>
        <w:rPr>
          <w:noProof/>
        </w:rPr>
      </w:pPr>
      <w:r w:rsidRPr="00610A40">
        <w:rPr>
          <w:noProof/>
        </w:rPr>
        <w:t xml:space="preserve">(154) </w:t>
      </w:r>
      <w:r w:rsidRPr="00610A40">
        <w:rPr>
          <w:noProof/>
        </w:rPr>
        <w:tab/>
        <w:t xml:space="preserve">Zhang, B.; Montgomery, M.; Davenport-Huyer, L.; Korolj, A.; Radisic, M. “Platform Technology for Scalable Assembly of Instantaneously Functional Mosaic Tissues.” Sci. Adv. 2015, </w:t>
      </w:r>
      <w:r w:rsidRPr="00610A40">
        <w:rPr>
          <w:i/>
          <w:iCs/>
          <w:noProof/>
        </w:rPr>
        <w:t>1</w:t>
      </w:r>
      <w:r w:rsidRPr="00610A40">
        <w:rPr>
          <w:noProof/>
        </w:rPr>
        <w:t>, e1500423–e1500423.</w:t>
      </w:r>
    </w:p>
    <w:p w14:paraId="7DE40B3C" w14:textId="77777777" w:rsidR="00565E2A" w:rsidRPr="00610A40" w:rsidRDefault="00565E2A">
      <w:pPr>
        <w:pStyle w:val="NormalWeb"/>
        <w:ind w:left="640" w:hanging="640"/>
        <w:divId w:val="700402019"/>
        <w:rPr>
          <w:noProof/>
        </w:rPr>
      </w:pPr>
      <w:r w:rsidRPr="00610A40">
        <w:rPr>
          <w:noProof/>
        </w:rPr>
        <w:t xml:space="preserve">(155) </w:t>
      </w:r>
      <w:r w:rsidRPr="00610A40">
        <w:rPr>
          <w:noProof/>
        </w:rPr>
        <w:tab/>
        <w:t xml:space="preserve">Brennan, A. B.; Kirschner, C. M.; Society for Biomaterials. </w:t>
      </w:r>
      <w:r w:rsidRPr="00610A40">
        <w:rPr>
          <w:i/>
          <w:iCs/>
          <w:noProof/>
        </w:rPr>
        <w:t>Bio-Inspired Materials for Biomedical Engineering</w:t>
      </w:r>
      <w:r w:rsidRPr="00610A40">
        <w:rPr>
          <w:noProof/>
        </w:rPr>
        <w:t>.</w:t>
      </w:r>
    </w:p>
    <w:p w14:paraId="308FEC84" w14:textId="77777777" w:rsidR="00565E2A" w:rsidRPr="00610A40" w:rsidRDefault="00565E2A">
      <w:pPr>
        <w:pStyle w:val="NormalWeb"/>
        <w:ind w:left="640" w:hanging="640"/>
        <w:divId w:val="700402019"/>
        <w:rPr>
          <w:noProof/>
        </w:rPr>
      </w:pPr>
      <w:r w:rsidRPr="00610A40">
        <w:rPr>
          <w:noProof/>
        </w:rPr>
        <w:t xml:space="preserve">(156) </w:t>
      </w:r>
      <w:r w:rsidRPr="00610A40">
        <w:rPr>
          <w:noProof/>
        </w:rPr>
        <w:tab/>
        <w:t xml:space="preserve">Patel, N. M.; Tao, Z.-W.; Mohamed, M. A.; Hogan, M. K.; Gutierrez, L.; Birla, R. K. “Engineering 3D Bio-Artificial Heart Muscle: The Acellular Ventricular Extracellular Matrix Model.” ASAIO J. 2015, </w:t>
      </w:r>
      <w:r w:rsidRPr="00610A40">
        <w:rPr>
          <w:i/>
          <w:iCs/>
          <w:noProof/>
        </w:rPr>
        <w:t>61</w:t>
      </w:r>
      <w:r w:rsidRPr="00610A40">
        <w:rPr>
          <w:noProof/>
        </w:rPr>
        <w:t>, 61–70.</w:t>
      </w:r>
    </w:p>
    <w:p w14:paraId="1C715733" w14:textId="77777777" w:rsidR="00565E2A" w:rsidRPr="00610A40" w:rsidRDefault="00565E2A">
      <w:pPr>
        <w:pStyle w:val="NormalWeb"/>
        <w:ind w:left="640" w:hanging="640"/>
        <w:divId w:val="700402019"/>
        <w:rPr>
          <w:noProof/>
        </w:rPr>
      </w:pPr>
      <w:r w:rsidRPr="00610A40">
        <w:rPr>
          <w:noProof/>
        </w:rPr>
        <w:t xml:space="preserve">(157) </w:t>
      </w:r>
      <w:r w:rsidRPr="00610A40">
        <w:rPr>
          <w:noProof/>
        </w:rPr>
        <w:tab/>
        <w:t xml:space="preserve">Levine, A. C.; Sparano, A.; Twigg, F. F.; Numata, K.; Nomura, C. T. “Influence of Cross-Linking on the Physical Properties and Cytotoxicity of Polyhydroxyalkanoate (PHA) Scaffolds for Tissue Engineering.” ACS Biomater. Sci. Eng. 2015, </w:t>
      </w:r>
      <w:r w:rsidRPr="00610A40">
        <w:rPr>
          <w:i/>
          <w:iCs/>
          <w:noProof/>
        </w:rPr>
        <w:t>1</w:t>
      </w:r>
      <w:r w:rsidRPr="00610A40">
        <w:rPr>
          <w:noProof/>
        </w:rPr>
        <w:t>, 567–576.</w:t>
      </w:r>
    </w:p>
    <w:p w14:paraId="432B11CC" w14:textId="77777777" w:rsidR="00565E2A" w:rsidRPr="00610A40" w:rsidRDefault="00565E2A">
      <w:pPr>
        <w:pStyle w:val="NormalWeb"/>
        <w:ind w:left="640" w:hanging="640"/>
        <w:divId w:val="700402019"/>
        <w:rPr>
          <w:noProof/>
        </w:rPr>
      </w:pPr>
      <w:r w:rsidRPr="00610A40">
        <w:rPr>
          <w:noProof/>
        </w:rPr>
        <w:t xml:space="preserve">(158) </w:t>
      </w:r>
      <w:r w:rsidRPr="00610A40">
        <w:rPr>
          <w:noProof/>
        </w:rPr>
        <w:tab/>
        <w:t xml:space="preserve">Keun Kwon, I.; Kidoaki, S.; Matsuda, T. “Electrospun Nano- to Microfiber Fabrics Made of Biodegradable Copolyesters: Structural Characteristics, Mechanical Properties and Cell Adhesion Potential.” Biomaterials 2005, </w:t>
      </w:r>
      <w:r w:rsidRPr="00610A40">
        <w:rPr>
          <w:i/>
          <w:iCs/>
          <w:noProof/>
        </w:rPr>
        <w:t>26</w:t>
      </w:r>
      <w:r w:rsidRPr="00610A40">
        <w:rPr>
          <w:noProof/>
        </w:rPr>
        <w:t>, 3929–3939.</w:t>
      </w:r>
    </w:p>
    <w:p w14:paraId="6656A9E1" w14:textId="77777777" w:rsidR="00565E2A" w:rsidRPr="00610A40" w:rsidRDefault="00565E2A">
      <w:pPr>
        <w:pStyle w:val="NormalWeb"/>
        <w:ind w:left="640" w:hanging="640"/>
        <w:divId w:val="700402019"/>
        <w:rPr>
          <w:noProof/>
        </w:rPr>
      </w:pPr>
      <w:r w:rsidRPr="00610A40">
        <w:rPr>
          <w:noProof/>
        </w:rPr>
        <w:t xml:space="preserve">(159) </w:t>
      </w:r>
      <w:r w:rsidRPr="00610A40">
        <w:rPr>
          <w:noProof/>
        </w:rPr>
        <w:tab/>
        <w:t xml:space="preserve">Jin, J.; Jeong, S. I.; Shin, Y. M.; Lim, K. S.; Shin, H. S.; Lee, Y. M.; Koh, H. C.; Kim, K.-S. “Transplantation of Mesenchymal Stem Cells within a Poly(lactide-Co-Epsilon-Caprolactone) Scaffold Improves Cardiac Function in a Rat Myocardial Infarction Model.” Eur. J. Heart Fail. 2009, </w:t>
      </w:r>
      <w:r w:rsidRPr="00610A40">
        <w:rPr>
          <w:i/>
          <w:iCs/>
          <w:noProof/>
        </w:rPr>
        <w:t>11</w:t>
      </w:r>
      <w:r w:rsidRPr="00610A40">
        <w:rPr>
          <w:noProof/>
        </w:rPr>
        <w:t>, 147–153.</w:t>
      </w:r>
    </w:p>
    <w:p w14:paraId="25C016B9" w14:textId="77777777" w:rsidR="00565E2A" w:rsidRPr="00610A40" w:rsidRDefault="00565E2A">
      <w:pPr>
        <w:pStyle w:val="NormalWeb"/>
        <w:ind w:left="640" w:hanging="640"/>
        <w:divId w:val="700402019"/>
        <w:rPr>
          <w:noProof/>
        </w:rPr>
      </w:pPr>
      <w:r w:rsidRPr="00610A40">
        <w:rPr>
          <w:noProof/>
        </w:rPr>
        <w:t xml:space="preserve">(160) </w:t>
      </w:r>
      <w:r w:rsidRPr="00610A40">
        <w:rPr>
          <w:noProof/>
        </w:rPr>
        <w:tab/>
        <w:t xml:space="preserve">Mukherjee, S.; Gualandi, C.; Focarete, M. L.; Ravichandran, R.; Venugopal, J. R.; Raghunath, M.; Ramakrishna, S. “Elastomeric Electrospun Scaffolds of Poly(l-Lactide-Co-Trimethylene Carbonate) for Myocardial Tissue Engineering.” J. Mater. Sci. Mater. Med. 2011, </w:t>
      </w:r>
      <w:r w:rsidRPr="00610A40">
        <w:rPr>
          <w:i/>
          <w:iCs/>
          <w:noProof/>
        </w:rPr>
        <w:t>22</w:t>
      </w:r>
      <w:r w:rsidRPr="00610A40">
        <w:rPr>
          <w:noProof/>
        </w:rPr>
        <w:t>, 1689–1699.</w:t>
      </w:r>
    </w:p>
    <w:p w14:paraId="553485F5" w14:textId="77777777" w:rsidR="00565E2A" w:rsidRPr="00610A40" w:rsidRDefault="00565E2A">
      <w:pPr>
        <w:pStyle w:val="NormalWeb"/>
        <w:ind w:left="640" w:hanging="640"/>
        <w:divId w:val="700402019"/>
        <w:rPr>
          <w:noProof/>
        </w:rPr>
      </w:pPr>
      <w:r w:rsidRPr="00610A40">
        <w:rPr>
          <w:noProof/>
        </w:rPr>
        <w:t xml:space="preserve">(161) </w:t>
      </w:r>
      <w:r w:rsidRPr="00610A40">
        <w:rPr>
          <w:noProof/>
        </w:rPr>
        <w:tab/>
        <w:t xml:space="preserve">Sireesha, M.; Jagadeesh Babu, V.; Ramakrishna, S. “Biocompatible and Biodegradable Elastomer/fibrinogen Composite Electrospun Scaffolds for Cardiac Tissue Regeneration.” RSC Adv. 2015, </w:t>
      </w:r>
      <w:r w:rsidRPr="00610A40">
        <w:rPr>
          <w:i/>
          <w:iCs/>
          <w:noProof/>
        </w:rPr>
        <w:t>5</w:t>
      </w:r>
      <w:r w:rsidRPr="00610A40">
        <w:rPr>
          <w:noProof/>
        </w:rPr>
        <w:t>, 103308–103314.</w:t>
      </w:r>
    </w:p>
    <w:p w14:paraId="5B03DE2C" w14:textId="77777777" w:rsidR="00565E2A" w:rsidRPr="00610A40" w:rsidRDefault="00565E2A">
      <w:pPr>
        <w:pStyle w:val="NormalWeb"/>
        <w:ind w:left="640" w:hanging="640"/>
        <w:divId w:val="700402019"/>
        <w:rPr>
          <w:noProof/>
        </w:rPr>
      </w:pPr>
      <w:r w:rsidRPr="00610A40">
        <w:rPr>
          <w:noProof/>
        </w:rPr>
        <w:lastRenderedPageBreak/>
        <w:t xml:space="preserve">(162) </w:t>
      </w:r>
      <w:r w:rsidRPr="00610A40">
        <w:rPr>
          <w:noProof/>
        </w:rPr>
        <w:tab/>
        <w:t xml:space="preserve">Janmey, P. a.; Miller, R. T. “Mechanisms of Mechanical Signaling in Development and Disease.” J. Cell Sci. 2011, </w:t>
      </w:r>
      <w:r w:rsidRPr="00610A40">
        <w:rPr>
          <w:i/>
          <w:iCs/>
          <w:noProof/>
        </w:rPr>
        <w:t>124</w:t>
      </w:r>
      <w:r w:rsidRPr="00610A40">
        <w:rPr>
          <w:noProof/>
        </w:rPr>
        <w:t>, 9–18.</w:t>
      </w:r>
    </w:p>
    <w:p w14:paraId="3E6F137A" w14:textId="77777777" w:rsidR="00565E2A" w:rsidRPr="00610A40" w:rsidRDefault="00565E2A">
      <w:pPr>
        <w:pStyle w:val="NormalWeb"/>
        <w:ind w:left="640" w:hanging="640"/>
        <w:divId w:val="700402019"/>
        <w:rPr>
          <w:noProof/>
        </w:rPr>
      </w:pPr>
      <w:r w:rsidRPr="00610A40">
        <w:rPr>
          <w:noProof/>
        </w:rPr>
        <w:t xml:space="preserve">(163) </w:t>
      </w:r>
      <w:r w:rsidRPr="00610A40">
        <w:rPr>
          <w:noProof/>
        </w:rPr>
        <w:tab/>
        <w:t xml:space="preserve">Taramasso, M.; Pozzoli, A.; Latib, A.; La Canna, G.; Colombo, A.; Maisano, F.; Alfieri, O. “New Devices for TAVI: Technologies and Initial Clinical Experiences.” Nat. Rev. Cardiol. 2014, </w:t>
      </w:r>
      <w:r w:rsidRPr="00610A40">
        <w:rPr>
          <w:i/>
          <w:iCs/>
          <w:noProof/>
        </w:rPr>
        <w:t>11</w:t>
      </w:r>
      <w:r w:rsidRPr="00610A40">
        <w:rPr>
          <w:noProof/>
        </w:rPr>
        <w:t>, 157–167.</w:t>
      </w:r>
    </w:p>
    <w:p w14:paraId="464B12D3" w14:textId="77777777" w:rsidR="00565E2A" w:rsidRPr="00610A40" w:rsidRDefault="00565E2A">
      <w:pPr>
        <w:pStyle w:val="NormalWeb"/>
        <w:ind w:left="640" w:hanging="640"/>
        <w:divId w:val="700402019"/>
        <w:rPr>
          <w:noProof/>
        </w:rPr>
      </w:pPr>
      <w:r w:rsidRPr="00610A40">
        <w:rPr>
          <w:noProof/>
        </w:rPr>
        <w:t xml:space="preserve">(164) </w:t>
      </w:r>
      <w:r w:rsidRPr="00610A40">
        <w:rPr>
          <w:noProof/>
        </w:rPr>
        <w:tab/>
        <w:t xml:space="preserve">Hoerstrup, S. P.; Sodian, R.; Daebritz, S.; Wang, J.; Bacha, E. A.; Martin, D. P.; Moran, A. M.; Guleserian, K. J.; Sperling, J. S.; Kaushal, S.; </w:t>
      </w:r>
      <w:r w:rsidRPr="00610A40">
        <w:rPr>
          <w:i/>
          <w:iCs/>
          <w:noProof/>
        </w:rPr>
        <w:t>et al.</w:t>
      </w:r>
      <w:r w:rsidRPr="00610A40">
        <w:rPr>
          <w:noProof/>
        </w:rPr>
        <w:t xml:space="preserve"> “Functional Living Trileaflet Heart Valves Grown in Vitro.” Circulation 2000, </w:t>
      </w:r>
      <w:r w:rsidRPr="00610A40">
        <w:rPr>
          <w:i/>
          <w:iCs/>
          <w:noProof/>
        </w:rPr>
        <w:t>102</w:t>
      </w:r>
      <w:r w:rsidRPr="00610A40">
        <w:rPr>
          <w:noProof/>
        </w:rPr>
        <w:t>, III44–III49.</w:t>
      </w:r>
    </w:p>
    <w:p w14:paraId="491E0AE2" w14:textId="77777777" w:rsidR="00565E2A" w:rsidRPr="00610A40" w:rsidRDefault="00565E2A">
      <w:pPr>
        <w:pStyle w:val="NormalWeb"/>
        <w:ind w:left="640" w:hanging="640"/>
        <w:divId w:val="700402019"/>
        <w:rPr>
          <w:noProof/>
        </w:rPr>
      </w:pPr>
      <w:r w:rsidRPr="00610A40">
        <w:rPr>
          <w:noProof/>
        </w:rPr>
        <w:t xml:space="preserve">(165) </w:t>
      </w:r>
      <w:r w:rsidRPr="00610A40">
        <w:rPr>
          <w:noProof/>
        </w:rPr>
        <w:tab/>
        <w:t xml:space="preserve">Sung, H. W.; Chang, Y.; Chiu, C. T.; Chen, C. N.; Liang, H. C. “Mechanical Properties of a Porcine Aortic Valve Fixed with a Naturally Occurring Crosslinking Agent.” Biomaterials 1999, </w:t>
      </w:r>
      <w:r w:rsidRPr="00610A40">
        <w:rPr>
          <w:i/>
          <w:iCs/>
          <w:noProof/>
        </w:rPr>
        <w:t>20</w:t>
      </w:r>
      <w:r w:rsidRPr="00610A40">
        <w:rPr>
          <w:noProof/>
        </w:rPr>
        <w:t>, 1759–1772.</w:t>
      </w:r>
    </w:p>
    <w:p w14:paraId="20945EF7" w14:textId="77777777" w:rsidR="00565E2A" w:rsidRPr="00610A40" w:rsidRDefault="00565E2A">
      <w:pPr>
        <w:pStyle w:val="NormalWeb"/>
        <w:ind w:left="640" w:hanging="640"/>
        <w:divId w:val="700402019"/>
        <w:rPr>
          <w:noProof/>
        </w:rPr>
      </w:pPr>
      <w:r w:rsidRPr="00610A40">
        <w:rPr>
          <w:noProof/>
        </w:rPr>
        <w:t xml:space="preserve">(166) </w:t>
      </w:r>
      <w:r w:rsidRPr="00610A40">
        <w:rPr>
          <w:noProof/>
        </w:rPr>
        <w:tab/>
        <w:t xml:space="preserve">Sodian, R.; Hoerstrup, S. P.; Sperling, J. S.; Martin, D. P.; Daebritz, S.; Mayer, J. E.; Vacanti, J. P. “Evaluation of Biodegradable, Three-Dimensional Matrices for Tissue Engineering of Heart Valves.” ASAIO J. (American Soc. Artif. Intern. Organs) 1992, </w:t>
      </w:r>
      <w:r w:rsidRPr="00610A40">
        <w:rPr>
          <w:i/>
          <w:iCs/>
          <w:noProof/>
        </w:rPr>
        <w:t>46</w:t>
      </w:r>
      <w:r w:rsidRPr="00610A40">
        <w:rPr>
          <w:noProof/>
        </w:rPr>
        <w:t>, 107–110.</w:t>
      </w:r>
    </w:p>
    <w:p w14:paraId="770BDB8E" w14:textId="77777777" w:rsidR="00565E2A" w:rsidRPr="00610A40" w:rsidRDefault="00565E2A">
      <w:pPr>
        <w:pStyle w:val="NormalWeb"/>
        <w:ind w:left="640" w:hanging="640"/>
        <w:divId w:val="700402019"/>
        <w:rPr>
          <w:noProof/>
        </w:rPr>
      </w:pPr>
      <w:r w:rsidRPr="00610A40">
        <w:rPr>
          <w:noProof/>
        </w:rPr>
        <w:t xml:space="preserve">(167) </w:t>
      </w:r>
      <w:r w:rsidRPr="00610A40">
        <w:rPr>
          <w:noProof/>
        </w:rPr>
        <w:tab/>
        <w:t xml:space="preserve">Sodian, R.; Sperling, J. S.; Martin, D. P.; Egozy, A.; Stock, U.; Mayer, J. E.; Vacanti, J. P. “Technical Report: Fabrication of a Trileaflet Heart Valve Scaffold from a Polyhydroxyalkanoate Biopolyester for Use in Tissue Engineering.” Tissue Eng. 2000, </w:t>
      </w:r>
      <w:r w:rsidRPr="00610A40">
        <w:rPr>
          <w:i/>
          <w:iCs/>
          <w:noProof/>
        </w:rPr>
        <w:t>6</w:t>
      </w:r>
      <w:r w:rsidRPr="00610A40">
        <w:rPr>
          <w:noProof/>
        </w:rPr>
        <w:t>, 183–188.</w:t>
      </w:r>
    </w:p>
    <w:p w14:paraId="1CF2CEC6" w14:textId="77777777" w:rsidR="00565E2A" w:rsidRPr="00610A40" w:rsidRDefault="00565E2A">
      <w:pPr>
        <w:pStyle w:val="NormalWeb"/>
        <w:ind w:left="640" w:hanging="640"/>
        <w:divId w:val="700402019"/>
        <w:rPr>
          <w:noProof/>
        </w:rPr>
      </w:pPr>
      <w:r w:rsidRPr="00610A40">
        <w:rPr>
          <w:noProof/>
        </w:rPr>
        <w:t xml:space="preserve">(168) </w:t>
      </w:r>
      <w:r w:rsidRPr="00610A40">
        <w:rPr>
          <w:noProof/>
        </w:rPr>
        <w:tab/>
        <w:t xml:space="preserve">Stamm, C.; Khosravi, A.; Grabow, N.; Schmohl, K.; Treckmann, N.; Drechsel, A.; Nan, M.; Schmitz, K.-P.; Haubold, A.; Steinhoff, G. “Biomatrix/Polymer Composite Material for Heart Valve Tissue Engineering.” Ann. Thorac. Surg. 2004, </w:t>
      </w:r>
      <w:r w:rsidRPr="00610A40">
        <w:rPr>
          <w:i/>
          <w:iCs/>
          <w:noProof/>
        </w:rPr>
        <w:t>78</w:t>
      </w:r>
      <w:r w:rsidRPr="00610A40">
        <w:rPr>
          <w:noProof/>
        </w:rPr>
        <w:t>, 2084–2093.</w:t>
      </w:r>
    </w:p>
    <w:p w14:paraId="29F342E5" w14:textId="77777777" w:rsidR="00565E2A" w:rsidRPr="00610A40" w:rsidRDefault="00565E2A">
      <w:pPr>
        <w:pStyle w:val="NormalWeb"/>
        <w:ind w:left="640" w:hanging="640"/>
        <w:divId w:val="700402019"/>
        <w:rPr>
          <w:noProof/>
        </w:rPr>
      </w:pPr>
      <w:r w:rsidRPr="00610A40">
        <w:rPr>
          <w:noProof/>
        </w:rPr>
        <w:t xml:space="preserve">(169) </w:t>
      </w:r>
      <w:r w:rsidRPr="00610A40">
        <w:rPr>
          <w:noProof/>
        </w:rPr>
        <w:tab/>
        <w:t xml:space="preserve">Masoumi, N.; Annabi, N.; Assmann, A.; Larson, B. L.; Hjortnaes, J.; Alemdar, N.; Kharaziha, M.; Manning, K. B.; Mayer, J. E.; Khademhosseini, A. “Tri-Layered Elastomeric Scaffolds for Engineering Heart Valve Leaflets.” Biomaterials 2014, </w:t>
      </w:r>
      <w:r w:rsidRPr="00610A40">
        <w:rPr>
          <w:i/>
          <w:iCs/>
          <w:noProof/>
        </w:rPr>
        <w:t>35</w:t>
      </w:r>
      <w:r w:rsidRPr="00610A40">
        <w:rPr>
          <w:noProof/>
        </w:rPr>
        <w:t>, 7774–7785.</w:t>
      </w:r>
    </w:p>
    <w:p w14:paraId="745A112C" w14:textId="77777777" w:rsidR="00565E2A" w:rsidRPr="00610A40" w:rsidRDefault="00565E2A">
      <w:pPr>
        <w:pStyle w:val="NormalWeb"/>
        <w:ind w:left="640" w:hanging="640"/>
        <w:divId w:val="700402019"/>
        <w:rPr>
          <w:noProof/>
        </w:rPr>
      </w:pPr>
      <w:r w:rsidRPr="00610A40">
        <w:rPr>
          <w:noProof/>
        </w:rPr>
        <w:t xml:space="preserve">(170) </w:t>
      </w:r>
      <w:r w:rsidRPr="00610A40">
        <w:rPr>
          <w:noProof/>
        </w:rPr>
        <w:tab/>
        <w:t xml:space="preserve">Masoumi, N.; Johnson, K. L.; Howell, M. C.; Engelmayr, G. C. “Valvular Interstitial Cell Seeded Poly(glycerol Sebacate) Scaffolds: Toward a Biomimetic in Vitro Model for Heart Valve Tissue Engineering.” Acta Biomater. 2013, </w:t>
      </w:r>
      <w:r w:rsidRPr="00610A40">
        <w:rPr>
          <w:i/>
          <w:iCs/>
          <w:noProof/>
        </w:rPr>
        <w:t>9</w:t>
      </w:r>
      <w:r w:rsidRPr="00610A40">
        <w:rPr>
          <w:noProof/>
        </w:rPr>
        <w:t>, 5974–5988.</w:t>
      </w:r>
    </w:p>
    <w:p w14:paraId="3E51B7DA" w14:textId="77777777" w:rsidR="00565E2A" w:rsidRPr="00610A40" w:rsidRDefault="00565E2A">
      <w:pPr>
        <w:pStyle w:val="NormalWeb"/>
        <w:ind w:left="640" w:hanging="640"/>
        <w:divId w:val="700402019"/>
        <w:rPr>
          <w:noProof/>
        </w:rPr>
      </w:pPr>
      <w:r w:rsidRPr="00610A40">
        <w:rPr>
          <w:noProof/>
        </w:rPr>
        <w:t xml:space="preserve">(171) </w:t>
      </w:r>
      <w:r w:rsidRPr="00610A40">
        <w:rPr>
          <w:noProof/>
        </w:rPr>
        <w:tab/>
        <w:t xml:space="preserve">Singh, C.; Wong, C.; Wang, X. “Medical Textiles as Vascular Implants and Their Success to Mimic Natural Arteries.” J. Funct. Biomater. 2015, </w:t>
      </w:r>
      <w:r w:rsidRPr="00610A40">
        <w:rPr>
          <w:i/>
          <w:iCs/>
          <w:noProof/>
        </w:rPr>
        <w:t>6</w:t>
      </w:r>
      <w:r w:rsidRPr="00610A40">
        <w:rPr>
          <w:noProof/>
        </w:rPr>
        <w:t>, 500–525.</w:t>
      </w:r>
    </w:p>
    <w:p w14:paraId="6006EB34" w14:textId="77777777" w:rsidR="00565E2A" w:rsidRPr="00610A40" w:rsidRDefault="00565E2A">
      <w:pPr>
        <w:pStyle w:val="NormalWeb"/>
        <w:ind w:left="640" w:hanging="640"/>
        <w:divId w:val="700402019"/>
        <w:rPr>
          <w:noProof/>
        </w:rPr>
      </w:pPr>
      <w:r w:rsidRPr="00610A40">
        <w:rPr>
          <w:noProof/>
        </w:rPr>
        <w:t xml:space="preserve">(172) </w:t>
      </w:r>
      <w:r w:rsidRPr="00610A40">
        <w:rPr>
          <w:noProof/>
        </w:rPr>
        <w:tab/>
        <w:t xml:space="preserve">Holzapfel, G. a; Sommer, G.; Gasser, C. T.; Regitnig, P. “Determination of Layer-Specific Mechanical Properties of Human Coronary Arteries with Nonatherosclerotic Intimal Thickening and Related Constitutive Modeling.” Hear. Circ. Physiol. 2005, </w:t>
      </w:r>
      <w:r w:rsidRPr="00610A40">
        <w:rPr>
          <w:i/>
          <w:iCs/>
          <w:noProof/>
        </w:rPr>
        <w:t>289</w:t>
      </w:r>
      <w:r w:rsidRPr="00610A40">
        <w:rPr>
          <w:noProof/>
        </w:rPr>
        <w:t>, 2048–2058.</w:t>
      </w:r>
    </w:p>
    <w:p w14:paraId="047A0EE6" w14:textId="77777777" w:rsidR="00565E2A" w:rsidRPr="00610A40" w:rsidRDefault="00565E2A">
      <w:pPr>
        <w:pStyle w:val="NormalWeb"/>
        <w:ind w:left="640" w:hanging="640"/>
        <w:divId w:val="700402019"/>
        <w:rPr>
          <w:noProof/>
        </w:rPr>
      </w:pPr>
      <w:r w:rsidRPr="00610A40">
        <w:rPr>
          <w:noProof/>
        </w:rPr>
        <w:lastRenderedPageBreak/>
        <w:t xml:space="preserve">(173) </w:t>
      </w:r>
      <w:r w:rsidRPr="00610A40">
        <w:rPr>
          <w:noProof/>
        </w:rPr>
        <w:tab/>
        <w:t>Claes, E.; Atienza, J. M.; Guinea, G. V; Rojo, F. J.; Bernal, J. M.; Revuelta, J. M.; Elices, M. “Mechanical Properties of Human Coronary Arteries.” 2010 Annu. Int. Conf. IEEE Eng. Med. Biol. 2010, 3792–3795.</w:t>
      </w:r>
    </w:p>
    <w:p w14:paraId="599A3B56" w14:textId="77777777" w:rsidR="00565E2A" w:rsidRPr="00610A40" w:rsidRDefault="00565E2A">
      <w:pPr>
        <w:pStyle w:val="NormalWeb"/>
        <w:ind w:left="640" w:hanging="640"/>
        <w:divId w:val="700402019"/>
        <w:rPr>
          <w:noProof/>
        </w:rPr>
      </w:pPr>
      <w:r w:rsidRPr="00610A40">
        <w:rPr>
          <w:noProof/>
        </w:rPr>
        <w:t xml:space="preserve">(174) </w:t>
      </w:r>
      <w:r w:rsidRPr="00610A40">
        <w:rPr>
          <w:noProof/>
        </w:rPr>
        <w:tab/>
        <w:t xml:space="preserve">Iliopoulos, D. C.; Kritharis, E. P.; Giagini, A. T.; Papadodima, S. A.; Sokolis, D. P. “Ascending Thoracic Aortic Aneurysms Are Associated with Compositional Remodeling and Vessel Stiffening but Not Weakening in Age-Matched Subjects.” J. Thorac. Cardiovasc. Surg. 2009, </w:t>
      </w:r>
      <w:r w:rsidRPr="00610A40">
        <w:rPr>
          <w:i/>
          <w:iCs/>
          <w:noProof/>
        </w:rPr>
        <w:t>137</w:t>
      </w:r>
      <w:r w:rsidRPr="00610A40">
        <w:rPr>
          <w:noProof/>
        </w:rPr>
        <w:t>, 101–109.</w:t>
      </w:r>
    </w:p>
    <w:p w14:paraId="0CE32B69" w14:textId="77777777" w:rsidR="00565E2A" w:rsidRPr="00610A40" w:rsidRDefault="00565E2A">
      <w:pPr>
        <w:pStyle w:val="NormalWeb"/>
        <w:ind w:left="640" w:hanging="640"/>
        <w:divId w:val="700402019"/>
        <w:rPr>
          <w:noProof/>
        </w:rPr>
      </w:pPr>
      <w:r w:rsidRPr="00610A40">
        <w:rPr>
          <w:noProof/>
        </w:rPr>
        <w:t xml:space="preserve">(175) </w:t>
      </w:r>
      <w:r w:rsidRPr="00610A40">
        <w:rPr>
          <w:noProof/>
        </w:rPr>
        <w:tab/>
        <w:t xml:space="preserve">Vorp, D. A.; Schiro, B. J.; Ehrlich, M. P.; Juvonen, T. S.; Ergin, M. A.; Griffith, B. P. “Effect of Aneurysm on the Tensile Strength and Biomechanical Behavior of the Ascending Thoracic Aorta.” Ann. Thorac. Surg. 2003, </w:t>
      </w:r>
      <w:r w:rsidRPr="00610A40">
        <w:rPr>
          <w:i/>
          <w:iCs/>
          <w:noProof/>
        </w:rPr>
        <w:t>75</w:t>
      </w:r>
      <w:r w:rsidRPr="00610A40">
        <w:rPr>
          <w:noProof/>
        </w:rPr>
        <w:t>, 1210–1214.</w:t>
      </w:r>
    </w:p>
    <w:p w14:paraId="02051478" w14:textId="77777777" w:rsidR="00565E2A" w:rsidRPr="00610A40" w:rsidRDefault="00565E2A">
      <w:pPr>
        <w:pStyle w:val="NormalWeb"/>
        <w:ind w:left="640" w:hanging="640"/>
        <w:divId w:val="700402019"/>
        <w:rPr>
          <w:noProof/>
        </w:rPr>
      </w:pPr>
      <w:r w:rsidRPr="00610A40">
        <w:rPr>
          <w:noProof/>
        </w:rPr>
        <w:t xml:space="preserve">(176) </w:t>
      </w:r>
      <w:r w:rsidRPr="00610A40">
        <w:rPr>
          <w:noProof/>
        </w:rPr>
        <w:tab/>
        <w:t xml:space="preserve">Khamdaeng, T.; Luo, J.; Vappou, J.; Terdtoon, P.; Konofagou, E. E. “Arterial Stiffness Identification of the Human Carotid Artery Using the Stress?strain Relationship in Vivo.” Ultrasonics 2012, </w:t>
      </w:r>
      <w:r w:rsidRPr="00610A40">
        <w:rPr>
          <w:i/>
          <w:iCs/>
          <w:noProof/>
        </w:rPr>
        <w:t>52</w:t>
      </w:r>
      <w:r w:rsidRPr="00610A40">
        <w:rPr>
          <w:noProof/>
        </w:rPr>
        <w:t>, 402–411.</w:t>
      </w:r>
    </w:p>
    <w:p w14:paraId="17EEF159" w14:textId="77777777" w:rsidR="00565E2A" w:rsidRPr="00610A40" w:rsidRDefault="00565E2A">
      <w:pPr>
        <w:pStyle w:val="NormalWeb"/>
        <w:ind w:left="640" w:hanging="640"/>
        <w:divId w:val="700402019"/>
        <w:rPr>
          <w:noProof/>
        </w:rPr>
      </w:pPr>
      <w:r w:rsidRPr="00610A40">
        <w:rPr>
          <w:noProof/>
        </w:rPr>
        <w:t xml:space="preserve">(177) </w:t>
      </w:r>
      <w:r w:rsidRPr="00610A40">
        <w:rPr>
          <w:noProof/>
        </w:rPr>
        <w:tab/>
        <w:t xml:space="preserve">Ebrahimi, A. P. “Mechanical Properties of Normal and Diseased Cerebrovascular System.” J. Vasc. Interv. Neurol. 2009, </w:t>
      </w:r>
      <w:r w:rsidRPr="00610A40">
        <w:rPr>
          <w:i/>
          <w:iCs/>
          <w:noProof/>
        </w:rPr>
        <w:t>2</w:t>
      </w:r>
      <w:r w:rsidRPr="00610A40">
        <w:rPr>
          <w:noProof/>
        </w:rPr>
        <w:t>, 155–162.</w:t>
      </w:r>
    </w:p>
    <w:p w14:paraId="44ADAE30" w14:textId="77777777" w:rsidR="00565E2A" w:rsidRPr="00610A40" w:rsidRDefault="00565E2A">
      <w:pPr>
        <w:pStyle w:val="NormalWeb"/>
        <w:ind w:left="640" w:hanging="640"/>
        <w:divId w:val="700402019"/>
        <w:rPr>
          <w:noProof/>
        </w:rPr>
      </w:pPr>
      <w:r w:rsidRPr="00610A40">
        <w:rPr>
          <w:noProof/>
        </w:rPr>
        <w:t xml:space="preserve">(178) </w:t>
      </w:r>
      <w:r w:rsidRPr="00610A40">
        <w:rPr>
          <w:noProof/>
        </w:rPr>
        <w:tab/>
        <w:t xml:space="preserve">Van Andel, C. J.; Pistecky, P. V; Borst, C.; al., et; Rafeh, W.; Al-Halees, Z. “Mechanical Properties of Porcine and Human Arteries: Implications for Coronary Anastomotic Connectors.” Ann. Thorac. Surg. 2003, </w:t>
      </w:r>
      <w:r w:rsidRPr="00610A40">
        <w:rPr>
          <w:i/>
          <w:iCs/>
          <w:noProof/>
        </w:rPr>
        <w:t>76</w:t>
      </w:r>
      <w:r w:rsidRPr="00610A40">
        <w:rPr>
          <w:noProof/>
        </w:rPr>
        <w:t>, 58–64.</w:t>
      </w:r>
    </w:p>
    <w:p w14:paraId="56004386" w14:textId="77777777" w:rsidR="00565E2A" w:rsidRPr="00610A40" w:rsidRDefault="00565E2A">
      <w:pPr>
        <w:pStyle w:val="NormalWeb"/>
        <w:ind w:left="640" w:hanging="640"/>
        <w:divId w:val="700402019"/>
        <w:rPr>
          <w:noProof/>
        </w:rPr>
      </w:pPr>
      <w:r w:rsidRPr="00610A40">
        <w:rPr>
          <w:noProof/>
        </w:rPr>
        <w:t xml:space="preserve">(179) </w:t>
      </w:r>
      <w:r w:rsidRPr="00610A40">
        <w:rPr>
          <w:noProof/>
        </w:rPr>
        <w:tab/>
        <w:t xml:space="preserve">Evans FG. </w:t>
      </w:r>
      <w:r w:rsidRPr="00610A40">
        <w:rPr>
          <w:i/>
          <w:iCs/>
          <w:noProof/>
        </w:rPr>
        <w:t>Strength of Biological Materials</w:t>
      </w:r>
      <w:r w:rsidRPr="00610A40">
        <w:rPr>
          <w:noProof/>
        </w:rPr>
        <w:t>; Baltimore: Williams &amp; Wilkins, 1980.</w:t>
      </w:r>
    </w:p>
    <w:p w14:paraId="632B4E95" w14:textId="77777777" w:rsidR="00565E2A" w:rsidRPr="00610A40" w:rsidRDefault="00565E2A">
      <w:pPr>
        <w:pStyle w:val="NormalWeb"/>
        <w:ind w:left="640" w:hanging="640"/>
        <w:divId w:val="700402019"/>
        <w:rPr>
          <w:noProof/>
        </w:rPr>
      </w:pPr>
      <w:r w:rsidRPr="00610A40">
        <w:rPr>
          <w:noProof/>
        </w:rPr>
        <w:t xml:space="preserve">(180) </w:t>
      </w:r>
      <w:r w:rsidRPr="00610A40">
        <w:rPr>
          <w:noProof/>
        </w:rPr>
        <w:tab/>
        <w:t xml:space="preserve">Hamedani, B. A.; Navidbakhsh, M.; Tafti, H. A. “Comparison between Mechanical Properties of Human Saphenous Vein and Umbilical Vein.” Biomed. Eng. Online 2012, </w:t>
      </w:r>
      <w:r w:rsidRPr="00610A40">
        <w:rPr>
          <w:i/>
          <w:iCs/>
          <w:noProof/>
        </w:rPr>
        <w:t>11</w:t>
      </w:r>
      <w:r w:rsidRPr="00610A40">
        <w:rPr>
          <w:noProof/>
        </w:rPr>
        <w:t>, 59.</w:t>
      </w:r>
    </w:p>
    <w:p w14:paraId="0F72A158" w14:textId="77777777" w:rsidR="00565E2A" w:rsidRPr="00610A40" w:rsidRDefault="00565E2A">
      <w:pPr>
        <w:pStyle w:val="NormalWeb"/>
        <w:ind w:left="640" w:hanging="640"/>
        <w:divId w:val="700402019"/>
        <w:rPr>
          <w:noProof/>
        </w:rPr>
      </w:pPr>
      <w:r w:rsidRPr="00610A40">
        <w:rPr>
          <w:noProof/>
        </w:rPr>
        <w:t xml:space="preserve">(181) </w:t>
      </w:r>
      <w:r w:rsidRPr="00610A40">
        <w:rPr>
          <w:noProof/>
        </w:rPr>
        <w:tab/>
        <w:t xml:space="preserve">Diban, N.; Haimi, S.; Bolhuis-versteeg, L.; Teixeira, S.; Miettinen, S.; Poot, A.; Grijpma, D.; Stamatialis, D. “Hollow Fibers of Poly(lactide-Co-Glycolide) and Poly(ε-Caprolactone) Blends for Vascular Tissue Engineering Applications.” Acta Biomater. 2013, </w:t>
      </w:r>
      <w:r w:rsidRPr="00610A40">
        <w:rPr>
          <w:i/>
          <w:iCs/>
          <w:noProof/>
        </w:rPr>
        <w:t>9</w:t>
      </w:r>
      <w:r w:rsidRPr="00610A40">
        <w:rPr>
          <w:noProof/>
        </w:rPr>
        <w:t>, 6450–6458.</w:t>
      </w:r>
    </w:p>
    <w:p w14:paraId="3BA46012" w14:textId="77777777" w:rsidR="00565E2A" w:rsidRPr="00610A40" w:rsidRDefault="00565E2A">
      <w:pPr>
        <w:pStyle w:val="NormalWeb"/>
        <w:ind w:left="640" w:hanging="640"/>
        <w:divId w:val="700402019"/>
        <w:rPr>
          <w:noProof/>
        </w:rPr>
      </w:pPr>
      <w:r w:rsidRPr="00610A40">
        <w:rPr>
          <w:noProof/>
        </w:rPr>
        <w:t xml:space="preserve">(182) </w:t>
      </w:r>
      <w:r w:rsidRPr="00610A40">
        <w:rPr>
          <w:noProof/>
        </w:rPr>
        <w:tab/>
        <w:t xml:space="preserve">McCarthy, C. W.; Ahrens, D. C.; Joda, D.; Curtis, T. E.; Bowen, P. K.; Guillory, R. J.; Liu, S. Q.; Zhao, F.; Frost, M. C.; Goldman, J. “Fabrication and Short-Term in Vivo Performance of a Natural Elastic Lamina-Polymeric Hybrid Vascular Graft.” ACS Appl. Mater. Interfaces 2015, </w:t>
      </w:r>
      <w:r w:rsidRPr="00610A40">
        <w:rPr>
          <w:i/>
          <w:iCs/>
          <w:noProof/>
        </w:rPr>
        <w:t>7</w:t>
      </w:r>
      <w:r w:rsidRPr="00610A40">
        <w:rPr>
          <w:noProof/>
        </w:rPr>
        <w:t>, 16202–16212.</w:t>
      </w:r>
    </w:p>
    <w:p w14:paraId="2C0667BC" w14:textId="77777777" w:rsidR="00565E2A" w:rsidRPr="00610A40" w:rsidRDefault="00565E2A">
      <w:pPr>
        <w:pStyle w:val="NormalWeb"/>
        <w:ind w:left="640" w:hanging="640"/>
        <w:divId w:val="700402019"/>
        <w:rPr>
          <w:noProof/>
        </w:rPr>
      </w:pPr>
      <w:r w:rsidRPr="00610A40">
        <w:rPr>
          <w:noProof/>
        </w:rPr>
        <w:t xml:space="preserve">(183) </w:t>
      </w:r>
      <w:r w:rsidRPr="00610A40">
        <w:rPr>
          <w:noProof/>
        </w:rPr>
        <w:tab/>
        <w:t xml:space="preserve">Hu, J.-J.; Lu, P.-C.; Lou, C.-W.; Lee, M.-C.; Lin, J.-H. “Small-Diameter Vascular Grafts Composed of Polyester/spandex Fibers: Manufacturing Techniques and Property Evaluations.” Mater. Lett. 2016, </w:t>
      </w:r>
      <w:r w:rsidRPr="00610A40">
        <w:rPr>
          <w:i/>
          <w:iCs/>
          <w:noProof/>
        </w:rPr>
        <w:t>171</w:t>
      </w:r>
      <w:r w:rsidRPr="00610A40">
        <w:rPr>
          <w:noProof/>
        </w:rPr>
        <w:t>, 42–45.</w:t>
      </w:r>
    </w:p>
    <w:p w14:paraId="0CC65EEF" w14:textId="77777777" w:rsidR="00565E2A" w:rsidRPr="00610A40" w:rsidRDefault="00565E2A">
      <w:pPr>
        <w:pStyle w:val="NormalWeb"/>
        <w:ind w:left="640" w:hanging="640"/>
        <w:divId w:val="700402019"/>
        <w:rPr>
          <w:noProof/>
        </w:rPr>
      </w:pPr>
      <w:r w:rsidRPr="00610A40">
        <w:rPr>
          <w:noProof/>
        </w:rPr>
        <w:t xml:space="preserve">(184) </w:t>
      </w:r>
      <w:r w:rsidRPr="00610A40">
        <w:rPr>
          <w:noProof/>
        </w:rPr>
        <w:tab/>
        <w:t xml:space="preserve">Thomas, L. V.; Nair, P. D. “(Citric Acid-Co-Polycaprolactone Triol) Polyester: A Biodegradable Elastomer for Soft Tissue Engineering.” Biomatter 2011, </w:t>
      </w:r>
      <w:r w:rsidRPr="00610A40">
        <w:rPr>
          <w:i/>
          <w:iCs/>
          <w:noProof/>
        </w:rPr>
        <w:t>1</w:t>
      </w:r>
      <w:r w:rsidRPr="00610A40">
        <w:rPr>
          <w:noProof/>
        </w:rPr>
        <w:t>, 81–90.</w:t>
      </w:r>
    </w:p>
    <w:p w14:paraId="31349CD0" w14:textId="77777777" w:rsidR="00565E2A" w:rsidRPr="00610A40" w:rsidRDefault="00565E2A">
      <w:pPr>
        <w:pStyle w:val="NormalWeb"/>
        <w:ind w:left="640" w:hanging="640"/>
        <w:divId w:val="700402019"/>
        <w:rPr>
          <w:noProof/>
        </w:rPr>
      </w:pPr>
      <w:r w:rsidRPr="00610A40">
        <w:rPr>
          <w:noProof/>
        </w:rPr>
        <w:lastRenderedPageBreak/>
        <w:t xml:space="preserve">(185) </w:t>
      </w:r>
      <w:r w:rsidRPr="00610A40">
        <w:rPr>
          <w:noProof/>
        </w:rPr>
        <w:tab/>
        <w:t xml:space="preserve">R.van Lith, E.K. Gregory, J. Yang, M.R. Kibbe, G. A. A. “Engineering Biodegradable Polyester Elastomers with Antioxidant Properities to Attenuate Oxidative Stress in Tissues.” Biomaterials 2014, </w:t>
      </w:r>
      <w:r w:rsidRPr="00610A40">
        <w:rPr>
          <w:i/>
          <w:iCs/>
          <w:noProof/>
        </w:rPr>
        <w:t>35</w:t>
      </w:r>
      <w:r w:rsidRPr="00610A40">
        <w:rPr>
          <w:noProof/>
        </w:rPr>
        <w:t>, 8113–8122.</w:t>
      </w:r>
    </w:p>
    <w:p w14:paraId="4A70B4EC" w14:textId="77777777" w:rsidR="00565E2A" w:rsidRPr="00610A40" w:rsidRDefault="00565E2A">
      <w:pPr>
        <w:pStyle w:val="NormalWeb"/>
        <w:ind w:left="640" w:hanging="640"/>
        <w:divId w:val="700402019"/>
        <w:rPr>
          <w:noProof/>
        </w:rPr>
      </w:pPr>
      <w:r w:rsidRPr="00610A40">
        <w:rPr>
          <w:noProof/>
        </w:rPr>
        <w:t xml:space="preserve">(186) </w:t>
      </w:r>
      <w:r w:rsidRPr="00610A40">
        <w:rPr>
          <w:noProof/>
        </w:rPr>
        <w:tab/>
        <w:t xml:space="preserve">Van Lith, R.; Wang, X.; Ameer, G. “Biodegradable Elastomers with Antioxidant and Retinoid-like Properties.” ACS Biomater. Sci. Eng. 2016, </w:t>
      </w:r>
      <w:r w:rsidRPr="00610A40">
        <w:rPr>
          <w:i/>
          <w:iCs/>
          <w:noProof/>
        </w:rPr>
        <w:t>2</w:t>
      </w:r>
      <w:r w:rsidRPr="00610A40">
        <w:rPr>
          <w:noProof/>
        </w:rPr>
        <w:t>, 268–277.</w:t>
      </w:r>
    </w:p>
    <w:p w14:paraId="60D9A803" w14:textId="77777777" w:rsidR="00565E2A" w:rsidRPr="00610A40" w:rsidRDefault="00565E2A">
      <w:pPr>
        <w:pStyle w:val="NormalWeb"/>
        <w:ind w:left="640" w:hanging="640"/>
        <w:divId w:val="700402019"/>
        <w:rPr>
          <w:noProof/>
        </w:rPr>
      </w:pPr>
      <w:r w:rsidRPr="00610A40">
        <w:rPr>
          <w:noProof/>
        </w:rPr>
        <w:t xml:space="preserve">(187) </w:t>
      </w:r>
      <w:r w:rsidRPr="00610A40">
        <w:rPr>
          <w:noProof/>
        </w:rPr>
        <w:tab/>
        <w:t xml:space="preserve">Van Lith, R.; Baker, E.; Ware, H.; Yang, J.; Farsheed, A. C.; Sun, C.; Ameer, G. “3D-Printing Strong High-Resolution Antioxidant Bioresorbable Vascular Stents.” Adv. Mater. Technol. 2016, </w:t>
      </w:r>
      <w:r w:rsidRPr="00610A40">
        <w:rPr>
          <w:i/>
          <w:iCs/>
          <w:noProof/>
        </w:rPr>
        <w:t>1</w:t>
      </w:r>
      <w:r w:rsidRPr="00610A40">
        <w:rPr>
          <w:noProof/>
        </w:rPr>
        <w:t>, 1600138.</w:t>
      </w:r>
    </w:p>
    <w:p w14:paraId="190F529C" w14:textId="77777777" w:rsidR="00565E2A" w:rsidRPr="00610A40" w:rsidRDefault="00565E2A">
      <w:pPr>
        <w:pStyle w:val="NormalWeb"/>
        <w:ind w:left="640" w:hanging="640"/>
        <w:divId w:val="700402019"/>
        <w:rPr>
          <w:noProof/>
        </w:rPr>
      </w:pPr>
      <w:r w:rsidRPr="00610A40">
        <w:rPr>
          <w:noProof/>
        </w:rPr>
        <w:t xml:space="preserve">(188) </w:t>
      </w:r>
      <w:r w:rsidRPr="00610A40">
        <w:rPr>
          <w:noProof/>
        </w:rPr>
        <w:tab/>
        <w:t xml:space="preserve">Schüller-Ravoo, S.; Zant, E.; Feijen, J.; Grijpma, D. W. “Preparation of a Designed Poly(trimethylene Carbonate) Microvascular Network by Stereolithography.” Adv. Healthc. Mater. 2014, </w:t>
      </w:r>
      <w:r w:rsidRPr="00610A40">
        <w:rPr>
          <w:i/>
          <w:iCs/>
          <w:noProof/>
        </w:rPr>
        <w:t>3</w:t>
      </w:r>
      <w:r w:rsidRPr="00610A40">
        <w:rPr>
          <w:noProof/>
        </w:rPr>
        <w:t>, 2004–2011.</w:t>
      </w:r>
    </w:p>
    <w:p w14:paraId="7BE0E423" w14:textId="77777777" w:rsidR="00565E2A" w:rsidRPr="00610A40" w:rsidRDefault="00565E2A">
      <w:pPr>
        <w:pStyle w:val="NormalWeb"/>
        <w:ind w:left="640" w:hanging="640"/>
        <w:divId w:val="700402019"/>
        <w:rPr>
          <w:noProof/>
        </w:rPr>
      </w:pPr>
      <w:r w:rsidRPr="00610A40">
        <w:rPr>
          <w:noProof/>
        </w:rPr>
        <w:t xml:space="preserve">(189) </w:t>
      </w:r>
      <w:r w:rsidRPr="00610A40">
        <w:rPr>
          <w:noProof/>
        </w:rPr>
        <w:tab/>
        <w:t>Mbbs, P. S.; Mbbs, D. K.; Prasad, R.; Sciences, O. “Evolving Trend of Drug Delivery System in Uveitis.” 1951, 67–69.</w:t>
      </w:r>
    </w:p>
    <w:p w14:paraId="7D9D1F21" w14:textId="77777777" w:rsidR="00565E2A" w:rsidRPr="00610A40" w:rsidRDefault="00565E2A">
      <w:pPr>
        <w:pStyle w:val="NormalWeb"/>
        <w:ind w:left="640" w:hanging="640"/>
        <w:divId w:val="700402019"/>
        <w:rPr>
          <w:noProof/>
        </w:rPr>
      </w:pPr>
      <w:r w:rsidRPr="00610A40">
        <w:rPr>
          <w:noProof/>
        </w:rPr>
        <w:t xml:space="preserve">(190) </w:t>
      </w:r>
      <w:r w:rsidRPr="00610A40">
        <w:rPr>
          <w:noProof/>
        </w:rPr>
        <w:tab/>
        <w:t xml:space="preserve">Lee, S. S.; Hughes, P.; Ross, A. D.; Robinson, M. R. “Biodegradable Implants for Sustained Drug Release in the Eye.” Pharm. Res. 2010, </w:t>
      </w:r>
      <w:r w:rsidRPr="00610A40">
        <w:rPr>
          <w:i/>
          <w:iCs/>
          <w:noProof/>
        </w:rPr>
        <w:t>27</w:t>
      </w:r>
      <w:r w:rsidRPr="00610A40">
        <w:rPr>
          <w:noProof/>
        </w:rPr>
        <w:t>, 2043–2053.</w:t>
      </w:r>
    </w:p>
    <w:p w14:paraId="0FC01E1E" w14:textId="77777777" w:rsidR="00565E2A" w:rsidRPr="00610A40" w:rsidRDefault="00565E2A">
      <w:pPr>
        <w:pStyle w:val="NormalWeb"/>
        <w:ind w:left="640" w:hanging="640"/>
        <w:divId w:val="700402019"/>
        <w:rPr>
          <w:noProof/>
        </w:rPr>
      </w:pPr>
      <w:r w:rsidRPr="00610A40">
        <w:rPr>
          <w:noProof/>
        </w:rPr>
        <w:t xml:space="preserve">(191) </w:t>
      </w:r>
      <w:r w:rsidRPr="00610A40">
        <w:rPr>
          <w:noProof/>
        </w:rPr>
        <w:tab/>
        <w:t xml:space="preserve">Haller, J. A.; Bandello, F.; Belfort, R.; Blumenkranz, M. S.; Gillies, M.; Heier, J.; Loewenstein, A.; Yoon, Y.-H.; Jacques, M.-L.; Jiao, J.; </w:t>
      </w:r>
      <w:r w:rsidRPr="00610A40">
        <w:rPr>
          <w:i/>
          <w:iCs/>
          <w:noProof/>
        </w:rPr>
        <w:t>et al.</w:t>
      </w:r>
      <w:r w:rsidRPr="00610A40">
        <w:rPr>
          <w:noProof/>
        </w:rPr>
        <w:t xml:space="preserve"> “Randomized, Sham-Controlled Trial of Dexamethasone Intravitreal Implant in Patients with Macular Edema Due to Retinal Vein Occlusion.” Ophthalmology 2010, </w:t>
      </w:r>
      <w:r w:rsidRPr="00610A40">
        <w:rPr>
          <w:i/>
          <w:iCs/>
          <w:noProof/>
        </w:rPr>
        <w:t>117</w:t>
      </w:r>
      <w:r w:rsidRPr="00610A40">
        <w:rPr>
          <w:noProof/>
        </w:rPr>
        <w:t>, 1134–1146.e3.</w:t>
      </w:r>
    </w:p>
    <w:p w14:paraId="58501261" w14:textId="77777777" w:rsidR="00565E2A" w:rsidRPr="00610A40" w:rsidRDefault="00565E2A">
      <w:pPr>
        <w:pStyle w:val="NormalWeb"/>
        <w:ind w:left="640" w:hanging="640"/>
        <w:divId w:val="700402019"/>
        <w:rPr>
          <w:noProof/>
        </w:rPr>
      </w:pPr>
      <w:r w:rsidRPr="00610A40">
        <w:rPr>
          <w:noProof/>
        </w:rPr>
        <w:t xml:space="preserve">(192) </w:t>
      </w:r>
      <w:r w:rsidRPr="00610A40">
        <w:rPr>
          <w:noProof/>
        </w:rPr>
        <w:tab/>
        <w:t xml:space="preserve">Johnston, R.; Zarranz-Ventura, J.; Carreno, E.; Ross, A.; Fonollosa, A.; Pelegrin, L.; Adan Civera, A.; Lee, R. W. J.; Dick, A. D.; Sallam, A. A. I. “Real-World Observational Multicenter Study of Intravitreal Dexamethasone Implant (Ozurdex®) in Uveitis: Baseline Characteristics, Clinical Outcomes and Reinjection Frequency.” Invest. Ophthalmol. Vis. Sci. 2014, </w:t>
      </w:r>
      <w:r w:rsidRPr="00610A40">
        <w:rPr>
          <w:i/>
          <w:iCs/>
          <w:noProof/>
        </w:rPr>
        <w:t>55</w:t>
      </w:r>
      <w:r w:rsidRPr="00610A40">
        <w:rPr>
          <w:noProof/>
        </w:rPr>
        <w:t>, 5806.</w:t>
      </w:r>
    </w:p>
    <w:p w14:paraId="12DDF6E5" w14:textId="77777777" w:rsidR="00565E2A" w:rsidRPr="00610A40" w:rsidRDefault="00565E2A">
      <w:pPr>
        <w:pStyle w:val="NormalWeb"/>
        <w:ind w:left="640" w:hanging="640"/>
        <w:divId w:val="700402019"/>
        <w:rPr>
          <w:noProof/>
        </w:rPr>
      </w:pPr>
      <w:r w:rsidRPr="00610A40">
        <w:rPr>
          <w:noProof/>
        </w:rPr>
        <w:t xml:space="preserve">(193) </w:t>
      </w:r>
      <w:r w:rsidRPr="00610A40">
        <w:rPr>
          <w:noProof/>
        </w:rPr>
        <w:tab/>
        <w:t xml:space="preserve">Arcinue, C. A.; Cerón, O. M.; Foster, C. S. “A Comparison Between the Fluocinolone Acetonide (Retisert) and Dexamethasone (Ozurdex) Intravitreal Implants in Uveitis.” J. Ocul. Pharmacol. Ther. 2013, </w:t>
      </w:r>
      <w:r w:rsidRPr="00610A40">
        <w:rPr>
          <w:i/>
          <w:iCs/>
          <w:noProof/>
        </w:rPr>
        <w:t>29</w:t>
      </w:r>
      <w:r w:rsidRPr="00610A40">
        <w:rPr>
          <w:noProof/>
        </w:rPr>
        <w:t>, 501–507.</w:t>
      </w:r>
    </w:p>
    <w:p w14:paraId="685578FE" w14:textId="77777777" w:rsidR="00565E2A" w:rsidRPr="00610A40" w:rsidRDefault="00565E2A">
      <w:pPr>
        <w:pStyle w:val="NormalWeb"/>
        <w:ind w:left="640" w:hanging="640"/>
        <w:divId w:val="700402019"/>
        <w:rPr>
          <w:noProof/>
        </w:rPr>
      </w:pPr>
      <w:r w:rsidRPr="00610A40">
        <w:rPr>
          <w:noProof/>
        </w:rPr>
        <w:t xml:space="preserve">(194) </w:t>
      </w:r>
      <w:r w:rsidRPr="00610A40">
        <w:rPr>
          <w:noProof/>
        </w:rPr>
        <w:tab/>
        <w:t xml:space="preserve">Haller, J. A.; Dugel, P.; Weinberg, D. V.; Chou, C.; Whitcup, S. M. “Evaluation of the Safety and Performance of an Applicator for a Novel Intravitreal Dexamethasone Drug Delivery System for the Treatment of Macular Edema.” Retina 2009, </w:t>
      </w:r>
      <w:r w:rsidRPr="00610A40">
        <w:rPr>
          <w:i/>
          <w:iCs/>
          <w:noProof/>
        </w:rPr>
        <w:t>29</w:t>
      </w:r>
      <w:r w:rsidRPr="00610A40">
        <w:rPr>
          <w:noProof/>
        </w:rPr>
        <w:t>.</w:t>
      </w:r>
    </w:p>
    <w:p w14:paraId="320FA541" w14:textId="77777777" w:rsidR="00565E2A" w:rsidRPr="00610A40" w:rsidRDefault="00565E2A">
      <w:pPr>
        <w:pStyle w:val="NormalWeb"/>
        <w:ind w:left="640" w:hanging="640"/>
        <w:divId w:val="700402019"/>
        <w:rPr>
          <w:noProof/>
        </w:rPr>
      </w:pPr>
      <w:r w:rsidRPr="00610A40">
        <w:rPr>
          <w:noProof/>
        </w:rPr>
        <w:t xml:space="preserve">(195) </w:t>
      </w:r>
      <w:r w:rsidRPr="00610A40">
        <w:rPr>
          <w:noProof/>
        </w:rPr>
        <w:tab/>
        <w:t xml:space="preserve">Boyer, D. S.; Yoon, Y. H.; Belfort, R.; Bandello, F.; Maturi, R. K.; Augustin, A. J.; Li, X.-Y.; Cui, H.; Hashad, Y.; Whitcup, S. M. “Three-Year, Randomized, Sham-Controlled Trial of Dexamethasone Intravitreal Implant in Patients with Diabetic Macular Edema.” Ophthalmology 2014, </w:t>
      </w:r>
      <w:r w:rsidRPr="00610A40">
        <w:rPr>
          <w:i/>
          <w:iCs/>
          <w:noProof/>
        </w:rPr>
        <w:t>121</w:t>
      </w:r>
      <w:r w:rsidRPr="00610A40">
        <w:rPr>
          <w:noProof/>
        </w:rPr>
        <w:t>, 1904–1914.</w:t>
      </w:r>
    </w:p>
    <w:p w14:paraId="1D43878E" w14:textId="77777777" w:rsidR="00565E2A" w:rsidRPr="00610A40" w:rsidRDefault="00565E2A">
      <w:pPr>
        <w:pStyle w:val="NormalWeb"/>
        <w:ind w:left="640" w:hanging="640"/>
        <w:divId w:val="700402019"/>
        <w:rPr>
          <w:noProof/>
        </w:rPr>
      </w:pPr>
      <w:r w:rsidRPr="00610A40">
        <w:rPr>
          <w:noProof/>
        </w:rPr>
        <w:lastRenderedPageBreak/>
        <w:t xml:space="preserve">(196) </w:t>
      </w:r>
      <w:r w:rsidRPr="00610A40">
        <w:rPr>
          <w:noProof/>
        </w:rPr>
        <w:tab/>
        <w:t xml:space="preserve">Callanan, D. G.; Gupta, S.; Boyer, D. S.; Ciulla, T. A.; Singer, M. A.; Kuppermann, B. D.; Liu, C.-C.; Li, X.-Y.; Hollander, D. A.; Schiffman, R. M.; </w:t>
      </w:r>
      <w:r w:rsidRPr="00610A40">
        <w:rPr>
          <w:i/>
          <w:iCs/>
          <w:noProof/>
        </w:rPr>
        <w:t>et al.</w:t>
      </w:r>
      <w:r w:rsidRPr="00610A40">
        <w:rPr>
          <w:noProof/>
        </w:rPr>
        <w:t xml:space="preserve"> “Dexamethasone Intravitreal Implant in Combination with Laser Photocoagulation for the Treatment of Diffuse Diabetic Macular Edema.” Ophthalmology 2013, </w:t>
      </w:r>
      <w:r w:rsidRPr="00610A40">
        <w:rPr>
          <w:i/>
          <w:iCs/>
          <w:noProof/>
        </w:rPr>
        <w:t>120</w:t>
      </w:r>
      <w:r w:rsidRPr="00610A40">
        <w:rPr>
          <w:noProof/>
        </w:rPr>
        <w:t>, 1843–1851.</w:t>
      </w:r>
    </w:p>
    <w:p w14:paraId="42B41D5D" w14:textId="77777777" w:rsidR="00565E2A" w:rsidRPr="00610A40" w:rsidRDefault="00565E2A">
      <w:pPr>
        <w:pStyle w:val="NormalWeb"/>
        <w:ind w:left="640" w:hanging="640"/>
        <w:divId w:val="700402019"/>
        <w:rPr>
          <w:noProof/>
        </w:rPr>
      </w:pPr>
      <w:r w:rsidRPr="00610A40">
        <w:rPr>
          <w:noProof/>
        </w:rPr>
        <w:t xml:space="preserve">(197) </w:t>
      </w:r>
      <w:r w:rsidRPr="00610A40">
        <w:rPr>
          <w:noProof/>
        </w:rPr>
        <w:tab/>
        <w:t xml:space="preserve">Dutra Medeiros, M.; Postorino, M.; Navarro, R.; Garcia-Arumí, J.; Mateo, C.; Corcóstegui, B. “Dexamethasone Intravitreal Implant for Treatment of Patients with Persistent Diabetic Macular Edema.” Ophthalmologica 2014, </w:t>
      </w:r>
      <w:r w:rsidRPr="00610A40">
        <w:rPr>
          <w:i/>
          <w:iCs/>
          <w:noProof/>
        </w:rPr>
        <w:t>231</w:t>
      </w:r>
      <w:r w:rsidRPr="00610A40">
        <w:rPr>
          <w:noProof/>
        </w:rPr>
        <w:t>, 141–146.</w:t>
      </w:r>
    </w:p>
    <w:p w14:paraId="12D75D44" w14:textId="77777777" w:rsidR="00565E2A" w:rsidRPr="00610A40" w:rsidRDefault="00565E2A">
      <w:pPr>
        <w:pStyle w:val="NormalWeb"/>
        <w:ind w:left="640" w:hanging="640"/>
        <w:divId w:val="700402019"/>
        <w:rPr>
          <w:noProof/>
        </w:rPr>
      </w:pPr>
      <w:r w:rsidRPr="00610A40">
        <w:rPr>
          <w:noProof/>
        </w:rPr>
        <w:t xml:space="preserve">(198) </w:t>
      </w:r>
      <w:r w:rsidRPr="00610A40">
        <w:rPr>
          <w:noProof/>
        </w:rPr>
        <w:tab/>
        <w:t xml:space="preserve">Sarao, V.; Veritti, D.; Furino, C.; Giancipoli, E.; Alessio, G.; Boscia, F.; Lanzetta, P. “Dexamethasone Implant with Fixed or Individualized Regimen in the Treatment of Diabetic Macular Oedema: Six-Month Outcomes of the UDBASA Study.” Acta Ophthalmol. 2017, </w:t>
      </w:r>
      <w:r w:rsidRPr="00610A40">
        <w:rPr>
          <w:i/>
          <w:iCs/>
          <w:noProof/>
        </w:rPr>
        <w:t>95</w:t>
      </w:r>
      <w:r w:rsidRPr="00610A40">
        <w:rPr>
          <w:noProof/>
        </w:rPr>
        <w:t>, e255–e260.</w:t>
      </w:r>
    </w:p>
    <w:p w14:paraId="6B21C36E" w14:textId="77777777" w:rsidR="00565E2A" w:rsidRPr="00610A40" w:rsidRDefault="00565E2A">
      <w:pPr>
        <w:pStyle w:val="NormalWeb"/>
        <w:ind w:left="640" w:hanging="640"/>
        <w:divId w:val="700402019"/>
        <w:rPr>
          <w:noProof/>
        </w:rPr>
      </w:pPr>
      <w:r w:rsidRPr="00610A40">
        <w:rPr>
          <w:noProof/>
        </w:rPr>
        <w:t xml:space="preserve">(199) </w:t>
      </w:r>
      <w:r w:rsidRPr="00610A40">
        <w:rPr>
          <w:noProof/>
        </w:rPr>
        <w:tab/>
        <w:t xml:space="preserve">Eter, N.; Mohr, A.; Wachtlin, J.; Feltgen, N. “Dexamethasone Intravitreal Implant in Retinal Vein Occlusion : Real-Life Data from a Prospective , Multicenter Clinical Trial.” Graefe’s Arch. Clin. Exp. Ophthalmol. 2017, </w:t>
      </w:r>
      <w:r w:rsidRPr="00610A40">
        <w:rPr>
          <w:i/>
          <w:iCs/>
          <w:noProof/>
        </w:rPr>
        <w:t>255</w:t>
      </w:r>
      <w:r w:rsidRPr="00610A40">
        <w:rPr>
          <w:noProof/>
        </w:rPr>
        <w:t>, 77–87.</w:t>
      </w:r>
    </w:p>
    <w:p w14:paraId="095348FA" w14:textId="77777777" w:rsidR="00565E2A" w:rsidRPr="00610A40" w:rsidRDefault="00565E2A">
      <w:pPr>
        <w:pStyle w:val="NormalWeb"/>
        <w:ind w:left="640" w:hanging="640"/>
        <w:divId w:val="700402019"/>
        <w:rPr>
          <w:noProof/>
        </w:rPr>
      </w:pPr>
      <w:r w:rsidRPr="00610A40">
        <w:rPr>
          <w:noProof/>
        </w:rPr>
        <w:t xml:space="preserve">(200) </w:t>
      </w:r>
      <w:r w:rsidRPr="00610A40">
        <w:rPr>
          <w:noProof/>
        </w:rPr>
        <w:tab/>
        <w:t xml:space="preserve">Aroney, C.; Fraser-Bell, S.; Lamoureux, E. L.; Gillies, M. C.; Lim, L. L.; Fenwick, E. K. “Vision-Related Quality of Life Outcomes in the BEVORDEX Study: A Clinical Trial Comparing Ozurdex Sustained Release Dexamethasone Intravitreal Implant and Bevacizumab Treatment for Diabetic Macular EdemaVision-Related Quality of Life in the BEVORDEX Study.” Invest. Ophthalmol. Vis. Sci. 2016, </w:t>
      </w:r>
      <w:r w:rsidRPr="00610A40">
        <w:rPr>
          <w:i/>
          <w:iCs/>
          <w:noProof/>
        </w:rPr>
        <w:t>57</w:t>
      </w:r>
      <w:r w:rsidRPr="00610A40">
        <w:rPr>
          <w:noProof/>
        </w:rPr>
        <w:t>, 5541–5546.</w:t>
      </w:r>
    </w:p>
    <w:p w14:paraId="5B235597" w14:textId="77777777" w:rsidR="00565E2A" w:rsidRPr="00610A40" w:rsidRDefault="00565E2A">
      <w:pPr>
        <w:pStyle w:val="NormalWeb"/>
        <w:ind w:left="640" w:hanging="640"/>
        <w:divId w:val="700402019"/>
        <w:rPr>
          <w:noProof/>
        </w:rPr>
      </w:pPr>
      <w:r w:rsidRPr="00610A40">
        <w:rPr>
          <w:noProof/>
        </w:rPr>
        <w:t xml:space="preserve">(201) </w:t>
      </w:r>
      <w:r w:rsidRPr="00610A40">
        <w:rPr>
          <w:noProof/>
        </w:rPr>
        <w:tab/>
        <w:t xml:space="preserve">Aung, T.; Seah, S. K. L.; Husain, R.; Gazzard, G.; Lim, M. C. C.; Hoh, S.; Oen, F. T. S. “Use of Surodex in Phacotrabeculectomy Surgery.” Am. J. Ophthalmol. 2005, </w:t>
      </w:r>
      <w:r w:rsidRPr="00610A40">
        <w:rPr>
          <w:i/>
          <w:iCs/>
          <w:noProof/>
        </w:rPr>
        <w:t>139</w:t>
      </w:r>
      <w:r w:rsidRPr="00610A40">
        <w:rPr>
          <w:noProof/>
        </w:rPr>
        <w:t>, 927–928.</w:t>
      </w:r>
    </w:p>
    <w:p w14:paraId="75977997" w14:textId="77777777" w:rsidR="00565E2A" w:rsidRPr="00610A40" w:rsidRDefault="00565E2A">
      <w:pPr>
        <w:pStyle w:val="NormalWeb"/>
        <w:ind w:left="640" w:hanging="640"/>
        <w:divId w:val="700402019"/>
        <w:rPr>
          <w:noProof/>
        </w:rPr>
      </w:pPr>
      <w:r w:rsidRPr="00610A40">
        <w:rPr>
          <w:noProof/>
        </w:rPr>
        <w:t xml:space="preserve">(202) </w:t>
      </w:r>
      <w:r w:rsidRPr="00610A40">
        <w:rPr>
          <w:noProof/>
        </w:rPr>
        <w:tab/>
        <w:t xml:space="preserve">Tan, D. T. H.; Chee, S.-P.; Lim, L.; Theng, J.; Van Ede, M. “Randomized Clinical Trial of Surodex Steroid Drug Delivery System for Cataract Surgery.” Ophthalmology 2001, </w:t>
      </w:r>
      <w:r w:rsidRPr="00610A40">
        <w:rPr>
          <w:i/>
          <w:iCs/>
          <w:noProof/>
        </w:rPr>
        <w:t>108</w:t>
      </w:r>
      <w:r w:rsidRPr="00610A40">
        <w:rPr>
          <w:noProof/>
        </w:rPr>
        <w:t>, 2172–2181.</w:t>
      </w:r>
    </w:p>
    <w:p w14:paraId="4F2079BC" w14:textId="77777777" w:rsidR="00565E2A" w:rsidRPr="00610A40" w:rsidRDefault="00565E2A">
      <w:pPr>
        <w:pStyle w:val="NormalWeb"/>
        <w:ind w:left="640" w:hanging="640"/>
        <w:divId w:val="700402019"/>
        <w:rPr>
          <w:noProof/>
        </w:rPr>
      </w:pPr>
      <w:r w:rsidRPr="00610A40">
        <w:rPr>
          <w:noProof/>
        </w:rPr>
        <w:t xml:space="preserve">(203) </w:t>
      </w:r>
      <w:r w:rsidRPr="00610A40">
        <w:rPr>
          <w:noProof/>
        </w:rPr>
        <w:tab/>
        <w:t xml:space="preserve">Bezatis, A.; Spital, G.; Höhn, F.; Maier, M.; Clemens, C. R.; Wachtlin, J.; Lehmann, F.; Hattenbach, L. O.; Feltgen, N.; Meyer, C. H. “Functional and Anatomical Results after a Single Intravitreal Ozurdex Injection in Retinal Vein Occlusion: A 6-Month Follow-up – The SOLO Study.” Acta Ophthalmol. 2013, </w:t>
      </w:r>
      <w:r w:rsidRPr="00610A40">
        <w:rPr>
          <w:i/>
          <w:iCs/>
          <w:noProof/>
        </w:rPr>
        <w:t>91</w:t>
      </w:r>
      <w:r w:rsidRPr="00610A40">
        <w:rPr>
          <w:noProof/>
        </w:rPr>
        <w:t>, e340–e347.</w:t>
      </w:r>
    </w:p>
    <w:p w14:paraId="2BEB0015" w14:textId="77777777" w:rsidR="00565E2A" w:rsidRPr="00610A40" w:rsidRDefault="00565E2A">
      <w:pPr>
        <w:pStyle w:val="NormalWeb"/>
        <w:ind w:left="640" w:hanging="640"/>
        <w:divId w:val="700402019"/>
        <w:rPr>
          <w:noProof/>
        </w:rPr>
      </w:pPr>
      <w:r w:rsidRPr="00610A40">
        <w:rPr>
          <w:noProof/>
        </w:rPr>
        <w:t xml:space="preserve">(204) </w:t>
      </w:r>
      <w:r w:rsidRPr="00610A40">
        <w:rPr>
          <w:noProof/>
        </w:rPr>
        <w:tab/>
        <w:t xml:space="preserve">Pommier, S.; Meyer, F.; Guigou, S.; Barthelemy, T.; Gobert, F.; Hajjar, C.; Merite, P.-Y.; Parrat, E.; Rouhette, H.; Matonti, F. “Long-Term Real-Life Efficacy and Safety of Repeated Ozurdex® Injections and Factors Associated with Macular Edema Resolution after Retinal Vein Occlusion: The REMIDO 2 Study.” Ophthalmologica 2016, </w:t>
      </w:r>
      <w:r w:rsidRPr="00610A40">
        <w:rPr>
          <w:i/>
          <w:iCs/>
          <w:noProof/>
        </w:rPr>
        <w:t>236</w:t>
      </w:r>
      <w:r w:rsidRPr="00610A40">
        <w:rPr>
          <w:noProof/>
        </w:rPr>
        <w:t>, 186–192.</w:t>
      </w:r>
    </w:p>
    <w:p w14:paraId="716EF6D9" w14:textId="77777777" w:rsidR="00565E2A" w:rsidRPr="00610A40" w:rsidRDefault="00565E2A">
      <w:pPr>
        <w:pStyle w:val="NormalWeb"/>
        <w:ind w:left="640" w:hanging="640"/>
        <w:divId w:val="700402019"/>
        <w:rPr>
          <w:noProof/>
        </w:rPr>
      </w:pPr>
      <w:r w:rsidRPr="00610A40">
        <w:rPr>
          <w:noProof/>
        </w:rPr>
        <w:t xml:space="preserve">(205) </w:t>
      </w:r>
      <w:r w:rsidRPr="00610A40">
        <w:rPr>
          <w:noProof/>
        </w:rPr>
        <w:tab/>
        <w:t xml:space="preserve">Rahimy, E.; Khurana, R. N. “Anterior Segment Migration of Dexamethasone Implant: Risk Factors, Complications, and Management.” Curr. Opin. Ophthalmol. 2017, </w:t>
      </w:r>
      <w:r w:rsidRPr="00610A40">
        <w:rPr>
          <w:i/>
          <w:iCs/>
          <w:noProof/>
        </w:rPr>
        <w:t>28</w:t>
      </w:r>
      <w:r w:rsidRPr="00610A40">
        <w:rPr>
          <w:noProof/>
        </w:rPr>
        <w:t>.</w:t>
      </w:r>
    </w:p>
    <w:p w14:paraId="4900DF23" w14:textId="77777777" w:rsidR="00565E2A" w:rsidRPr="00610A40" w:rsidRDefault="00565E2A">
      <w:pPr>
        <w:pStyle w:val="NormalWeb"/>
        <w:ind w:left="640" w:hanging="640"/>
        <w:divId w:val="700402019"/>
        <w:rPr>
          <w:noProof/>
        </w:rPr>
      </w:pPr>
      <w:r w:rsidRPr="00610A40">
        <w:rPr>
          <w:noProof/>
        </w:rPr>
        <w:lastRenderedPageBreak/>
        <w:t xml:space="preserve">(206) </w:t>
      </w:r>
      <w:r w:rsidRPr="00610A40">
        <w:rPr>
          <w:noProof/>
        </w:rPr>
        <w:tab/>
        <w:t xml:space="preserve">Khurana, R. N.; Appa, S. N.; McCannel, C. A.; Elman, M. J.; Wittenberg, S. E.; Parks, D. J.; Ahmad, S.; Yeh, S. “Dexamethasone Implant Anterior Chamber Migration: Risk Factors, Complications, and Management Strategies.” Ophthalmology 2014, </w:t>
      </w:r>
      <w:r w:rsidRPr="00610A40">
        <w:rPr>
          <w:i/>
          <w:iCs/>
          <w:noProof/>
        </w:rPr>
        <w:t>121</w:t>
      </w:r>
      <w:r w:rsidRPr="00610A40">
        <w:rPr>
          <w:noProof/>
        </w:rPr>
        <w:t>, 67–71.</w:t>
      </w:r>
    </w:p>
    <w:p w14:paraId="417D28BE" w14:textId="77777777" w:rsidR="00565E2A" w:rsidRPr="00610A40" w:rsidRDefault="00565E2A">
      <w:pPr>
        <w:pStyle w:val="NormalWeb"/>
        <w:ind w:left="640" w:hanging="640"/>
        <w:divId w:val="700402019"/>
        <w:rPr>
          <w:noProof/>
        </w:rPr>
      </w:pPr>
      <w:r w:rsidRPr="00610A40">
        <w:rPr>
          <w:noProof/>
        </w:rPr>
        <w:t xml:space="preserve">(207) </w:t>
      </w:r>
      <w:r w:rsidRPr="00610A40">
        <w:rPr>
          <w:noProof/>
        </w:rPr>
        <w:tab/>
        <w:t xml:space="preserve">Chachques, J. C.; Trainini, J. C.; Lago, N.; Cortes-Morichetti, M.; Schussler, O.; Carpentier, A. “Myocardial Assistance by Grafting a New Bioartificial Upgraded Myocardium (MAGNUM Trial): Clinical Feasibility Study.” Ann. Thorac. Surg. 2008, </w:t>
      </w:r>
      <w:r w:rsidRPr="00610A40">
        <w:rPr>
          <w:i/>
          <w:iCs/>
          <w:noProof/>
        </w:rPr>
        <w:t>85</w:t>
      </w:r>
      <w:r w:rsidRPr="00610A40">
        <w:rPr>
          <w:noProof/>
        </w:rPr>
        <w:t>, 901–908.</w:t>
      </w:r>
    </w:p>
    <w:p w14:paraId="7990D17E" w14:textId="77777777" w:rsidR="00565E2A" w:rsidRPr="00610A40" w:rsidRDefault="00565E2A">
      <w:pPr>
        <w:pStyle w:val="NormalWeb"/>
        <w:ind w:left="640" w:hanging="640"/>
        <w:divId w:val="700402019"/>
        <w:rPr>
          <w:noProof/>
        </w:rPr>
      </w:pPr>
      <w:r w:rsidRPr="00610A40">
        <w:rPr>
          <w:noProof/>
        </w:rPr>
        <w:t xml:space="preserve">(208) </w:t>
      </w:r>
      <w:r w:rsidRPr="00610A40">
        <w:rPr>
          <w:noProof/>
        </w:rPr>
        <w:tab/>
        <w:t xml:space="preserve">Wollert, K. C.; Meyer, G. P.; Lotz, J.; Ringes Lichtenberg, S.; Lippolt, P.; Breidenbach, C.; Fichtner, S.; Korte, T.; Hornig, B.; Messinger, D.; </w:t>
      </w:r>
      <w:r w:rsidRPr="00610A40">
        <w:rPr>
          <w:i/>
          <w:iCs/>
          <w:noProof/>
        </w:rPr>
        <w:t>et al.</w:t>
      </w:r>
      <w:r w:rsidRPr="00610A40">
        <w:rPr>
          <w:noProof/>
        </w:rPr>
        <w:t xml:space="preserve"> “Intracoronary Autologous Bone-Marrow Cell Transfer after Myocardial Infarction: The BOOST Randomised Controlled Clinical Trial.” Lancet 2004, </w:t>
      </w:r>
      <w:r w:rsidRPr="00610A40">
        <w:rPr>
          <w:i/>
          <w:iCs/>
          <w:noProof/>
        </w:rPr>
        <w:t>364</w:t>
      </w:r>
      <w:r w:rsidRPr="00610A40">
        <w:rPr>
          <w:noProof/>
        </w:rPr>
        <w:t>, 141–148.</w:t>
      </w:r>
    </w:p>
    <w:p w14:paraId="43C1D21F" w14:textId="77777777" w:rsidR="00565E2A" w:rsidRPr="00610A40" w:rsidRDefault="00565E2A">
      <w:pPr>
        <w:pStyle w:val="NormalWeb"/>
        <w:ind w:left="640" w:hanging="640"/>
        <w:divId w:val="700402019"/>
        <w:rPr>
          <w:noProof/>
        </w:rPr>
      </w:pPr>
      <w:r w:rsidRPr="00610A40">
        <w:rPr>
          <w:noProof/>
        </w:rPr>
        <w:t xml:space="preserve">(209) </w:t>
      </w:r>
      <w:r w:rsidRPr="00610A40">
        <w:rPr>
          <w:noProof/>
        </w:rPr>
        <w:tab/>
        <w:t>Brown, J. W.; Elkins, R. C.; Clarke, D. R.; Tweddell, J. S.; Huddleston, C. B.; Doty, J. R.; Fehrenbacher, J. W.; Takkenberg, J. J. M. “Performance of the CryoValve</w:t>
      </w:r>
      <w:r w:rsidRPr="00610A40">
        <w:rPr>
          <w:rFonts w:ascii="Cambria Math" w:hAnsi="Cambria Math" w:cs="Cambria Math"/>
          <w:noProof/>
        </w:rPr>
        <w:t>∗</w:t>
      </w:r>
      <w:r w:rsidRPr="00610A40">
        <w:rPr>
          <w:noProof/>
        </w:rPr>
        <w:t xml:space="preserve"> SG Human Decellularized Pulmonary Valve in 342 Patients Relative to the Conventional CryoValve at a Mean Follow-up of Four Years.” J. Thorac. Cardiovasc. Surg. 2010, </w:t>
      </w:r>
      <w:r w:rsidRPr="00610A40">
        <w:rPr>
          <w:i/>
          <w:iCs/>
          <w:noProof/>
        </w:rPr>
        <w:t>139</w:t>
      </w:r>
      <w:r w:rsidRPr="00610A40">
        <w:rPr>
          <w:noProof/>
        </w:rPr>
        <w:t>, 339–348.</w:t>
      </w:r>
    </w:p>
    <w:p w14:paraId="7DA6D922" w14:textId="77777777" w:rsidR="00565E2A" w:rsidRPr="00610A40" w:rsidRDefault="00565E2A">
      <w:pPr>
        <w:pStyle w:val="NormalWeb"/>
        <w:ind w:left="640" w:hanging="640"/>
        <w:divId w:val="700402019"/>
        <w:rPr>
          <w:noProof/>
        </w:rPr>
      </w:pPr>
      <w:r w:rsidRPr="00610A40">
        <w:rPr>
          <w:noProof/>
        </w:rPr>
        <w:t xml:space="preserve">(210) </w:t>
      </w:r>
      <w:r w:rsidRPr="00610A40">
        <w:rPr>
          <w:noProof/>
        </w:rPr>
        <w:tab/>
        <w:t xml:space="preserve">Gerdisch, M. W.; Shea, R. J.; Barron, M. D. “Clinical Experience with CorMatrix Extracellular Matrix in the Surgical Treatment of Mitral Valve Disease.” J. Thorac. Cardiovasc. Surg. 2014, </w:t>
      </w:r>
      <w:r w:rsidRPr="00610A40">
        <w:rPr>
          <w:i/>
          <w:iCs/>
          <w:noProof/>
        </w:rPr>
        <w:t>148</w:t>
      </w:r>
      <w:r w:rsidRPr="00610A40">
        <w:rPr>
          <w:noProof/>
        </w:rPr>
        <w:t>, 1370–1378.</w:t>
      </w:r>
    </w:p>
    <w:p w14:paraId="04E4E072" w14:textId="77777777" w:rsidR="00565E2A" w:rsidRPr="00610A40" w:rsidRDefault="00565E2A">
      <w:pPr>
        <w:pStyle w:val="NormalWeb"/>
        <w:ind w:left="640" w:hanging="640"/>
        <w:divId w:val="700402019"/>
        <w:rPr>
          <w:noProof/>
        </w:rPr>
      </w:pPr>
      <w:r w:rsidRPr="00610A40">
        <w:rPr>
          <w:noProof/>
        </w:rPr>
        <w:t xml:space="preserve">(211) </w:t>
      </w:r>
      <w:r w:rsidRPr="00610A40">
        <w:rPr>
          <w:noProof/>
        </w:rPr>
        <w:tab/>
        <w:t xml:space="preserve">Quarti, A.; Nardone, S.; Colaneri, M.; Santoro, G.; Pozzi, M. “Preliminary Experience in the Use of an Extracellular Matrix to Repair Congenital Heart Diseases.” Interact. Cardiovasc. Thorac. Surg. 2011, </w:t>
      </w:r>
      <w:r w:rsidRPr="00610A40">
        <w:rPr>
          <w:i/>
          <w:iCs/>
          <w:noProof/>
        </w:rPr>
        <w:t>13</w:t>
      </w:r>
      <w:r w:rsidRPr="00610A40">
        <w:rPr>
          <w:noProof/>
        </w:rPr>
        <w:t>, 569–572.</w:t>
      </w:r>
    </w:p>
    <w:p w14:paraId="5B8328E3" w14:textId="77777777" w:rsidR="00565E2A" w:rsidRPr="00610A40" w:rsidRDefault="00565E2A">
      <w:pPr>
        <w:pStyle w:val="NormalWeb"/>
        <w:ind w:left="640" w:hanging="640"/>
        <w:divId w:val="700402019"/>
        <w:rPr>
          <w:noProof/>
        </w:rPr>
      </w:pPr>
      <w:r w:rsidRPr="00610A40">
        <w:rPr>
          <w:noProof/>
        </w:rPr>
        <w:t xml:space="preserve">(212) </w:t>
      </w:r>
      <w:r w:rsidRPr="00610A40">
        <w:rPr>
          <w:noProof/>
        </w:rPr>
        <w:tab/>
        <w:t xml:space="preserve">Voges, I.; Br?sen, J. H.; Entenmann, A.; Scheid, M.; Scheewe, J.; Fischer, G.; Hart, C.; Andrade, A.; Pham, H. M.; Kramer, H.-H.; </w:t>
      </w:r>
      <w:r w:rsidRPr="00610A40">
        <w:rPr>
          <w:i/>
          <w:iCs/>
          <w:noProof/>
        </w:rPr>
        <w:t>et al.</w:t>
      </w:r>
      <w:r w:rsidRPr="00610A40">
        <w:rPr>
          <w:noProof/>
        </w:rPr>
        <w:t xml:space="preserve"> “Adverse Results of a Decellularized Tissue-Engineered Pulmonary Valve in Humans Assessed with Magnetic Resonance Imaging.” Eur. J. Cardio-Thoracic Surg. 2013, </w:t>
      </w:r>
      <w:r w:rsidRPr="00610A40">
        <w:rPr>
          <w:i/>
          <w:iCs/>
          <w:noProof/>
        </w:rPr>
        <w:t>44</w:t>
      </w:r>
      <w:r w:rsidRPr="00610A40">
        <w:rPr>
          <w:noProof/>
        </w:rPr>
        <w:t>, e272–e279.</w:t>
      </w:r>
    </w:p>
    <w:p w14:paraId="51C48480" w14:textId="77777777" w:rsidR="00565E2A" w:rsidRPr="00610A40" w:rsidRDefault="00565E2A">
      <w:pPr>
        <w:pStyle w:val="NormalWeb"/>
        <w:ind w:left="640" w:hanging="640"/>
        <w:divId w:val="700402019"/>
        <w:rPr>
          <w:noProof/>
        </w:rPr>
      </w:pPr>
      <w:r w:rsidRPr="00610A40">
        <w:rPr>
          <w:noProof/>
        </w:rPr>
        <w:t xml:space="preserve">(213) </w:t>
      </w:r>
      <w:r w:rsidRPr="00610A40">
        <w:rPr>
          <w:noProof/>
        </w:rPr>
        <w:tab/>
        <w:t xml:space="preserve">Shin’oka, T.; Matsumura, G.; Hibino, N.; Naito, Y.; Watanabe, M.; Konuma, T.; Sakamoto, T.; Nagatsu, M.; Kurosawa, H. “Midterm Clinical Result of Tissue-Engineered Vascular Autografts Seeded with Autologous Bone Marrow Cells.” J. Thorac. Cardiovasc. Surg. 2005, </w:t>
      </w:r>
      <w:r w:rsidRPr="00610A40">
        <w:rPr>
          <w:i/>
          <w:iCs/>
          <w:noProof/>
        </w:rPr>
        <w:t>129</w:t>
      </w:r>
      <w:r w:rsidRPr="00610A40">
        <w:rPr>
          <w:noProof/>
        </w:rPr>
        <w:t>.</w:t>
      </w:r>
    </w:p>
    <w:p w14:paraId="7B1BFBE3" w14:textId="77777777" w:rsidR="00565E2A" w:rsidRPr="00610A40" w:rsidRDefault="00565E2A">
      <w:pPr>
        <w:pStyle w:val="NormalWeb"/>
        <w:ind w:left="640" w:hanging="640"/>
        <w:divId w:val="700402019"/>
        <w:rPr>
          <w:noProof/>
        </w:rPr>
      </w:pPr>
      <w:r w:rsidRPr="00610A40">
        <w:rPr>
          <w:noProof/>
        </w:rPr>
        <w:t xml:space="preserve">(214) </w:t>
      </w:r>
      <w:r w:rsidRPr="00610A40">
        <w:rPr>
          <w:noProof/>
        </w:rPr>
        <w:tab/>
        <w:t xml:space="preserve">Hibino, N.; McGillicuddy, E.; Matsumura, G.; Ichihara, Y.; Naito, Y.; Breuer, C.; Shinoka, T. “Late-Term Results of Tissue-Engineered Vascular Grafts in Humans.” J. Thorac. Cardiovasc. Surg. 2010, </w:t>
      </w:r>
      <w:r w:rsidRPr="00610A40">
        <w:rPr>
          <w:i/>
          <w:iCs/>
          <w:noProof/>
        </w:rPr>
        <w:t>139</w:t>
      </w:r>
      <w:r w:rsidRPr="00610A40">
        <w:rPr>
          <w:noProof/>
        </w:rPr>
        <w:t>, 431–436.e2.</w:t>
      </w:r>
    </w:p>
    <w:p w14:paraId="7B9B280D" w14:textId="77777777" w:rsidR="00565E2A" w:rsidRPr="00610A40" w:rsidRDefault="00565E2A">
      <w:pPr>
        <w:pStyle w:val="NormalWeb"/>
        <w:ind w:left="640" w:hanging="640"/>
        <w:divId w:val="700402019"/>
        <w:rPr>
          <w:noProof/>
        </w:rPr>
      </w:pPr>
      <w:r w:rsidRPr="00610A40">
        <w:rPr>
          <w:noProof/>
        </w:rPr>
        <w:t xml:space="preserve">(215) </w:t>
      </w:r>
      <w:r w:rsidRPr="00610A40">
        <w:rPr>
          <w:noProof/>
        </w:rPr>
        <w:tab/>
        <w:t xml:space="preserve">Shum-tim, D.; Ma, P. “Creation Of Viable Pulmonary Artery Autografts Through Tissue Engineering.” 1998, </w:t>
      </w:r>
      <w:r w:rsidRPr="00610A40">
        <w:rPr>
          <w:i/>
          <w:iCs/>
          <w:noProof/>
        </w:rPr>
        <w:t>5223</w:t>
      </w:r>
      <w:r w:rsidRPr="00610A40">
        <w:rPr>
          <w:noProof/>
        </w:rPr>
        <w:t>.</w:t>
      </w:r>
    </w:p>
    <w:p w14:paraId="0A5C6CD8" w14:textId="77777777" w:rsidR="00565E2A" w:rsidRPr="00610A40" w:rsidRDefault="00565E2A">
      <w:pPr>
        <w:pStyle w:val="NormalWeb"/>
        <w:ind w:left="640" w:hanging="640"/>
        <w:divId w:val="700402019"/>
        <w:rPr>
          <w:noProof/>
        </w:rPr>
      </w:pPr>
      <w:r w:rsidRPr="00610A40">
        <w:rPr>
          <w:noProof/>
        </w:rPr>
        <w:t xml:space="preserve">(216) </w:t>
      </w:r>
      <w:r w:rsidRPr="00610A40">
        <w:rPr>
          <w:noProof/>
        </w:rPr>
        <w:tab/>
        <w:t xml:space="preserve">Shin’oka, T.; Imai, Y.; Ikada, Y. “Transplantation of a Tissue-Engineered Pulmonary Artery.” N. Engl. J. Med. 2001, </w:t>
      </w:r>
      <w:r w:rsidRPr="00610A40">
        <w:rPr>
          <w:i/>
          <w:iCs/>
          <w:noProof/>
        </w:rPr>
        <w:t>344</w:t>
      </w:r>
      <w:r w:rsidRPr="00610A40">
        <w:rPr>
          <w:noProof/>
        </w:rPr>
        <w:t>, 532–533.</w:t>
      </w:r>
    </w:p>
    <w:p w14:paraId="16C84029" w14:textId="77777777" w:rsidR="00565E2A" w:rsidRPr="00610A40" w:rsidRDefault="00565E2A">
      <w:pPr>
        <w:pStyle w:val="NormalWeb"/>
        <w:ind w:left="640" w:hanging="640"/>
        <w:divId w:val="700402019"/>
        <w:rPr>
          <w:noProof/>
        </w:rPr>
      </w:pPr>
      <w:r w:rsidRPr="00610A40">
        <w:rPr>
          <w:noProof/>
        </w:rPr>
        <w:lastRenderedPageBreak/>
        <w:t xml:space="preserve">(217) </w:t>
      </w:r>
      <w:r w:rsidRPr="00610A40">
        <w:rPr>
          <w:noProof/>
        </w:rPr>
        <w:tab/>
        <w:t xml:space="preserve">Watanabe, M.; Shin, T.; Tohyama, S.; Hibino, N.; Konuma, T.; Matsumura, G.; Kosaka, Y.; Ishida, T.; Imai, Y.; Yamakawa, M.; </w:t>
      </w:r>
      <w:r w:rsidRPr="00610A40">
        <w:rPr>
          <w:i/>
          <w:iCs/>
          <w:noProof/>
        </w:rPr>
        <w:t>et al.</w:t>
      </w:r>
      <w:r w:rsidRPr="00610A40">
        <w:rPr>
          <w:noProof/>
        </w:rPr>
        <w:t xml:space="preserve"> “Tissue-Engineered Vascular Autograft : Inferior Vena Cava Replacement in a Dog Model Tissue-Engineered Vascular Autograft : Inferior Vena Cava.” 2001.</w:t>
      </w:r>
    </w:p>
    <w:p w14:paraId="1B522662" w14:textId="77777777" w:rsidR="00565E2A" w:rsidRPr="00610A40" w:rsidRDefault="00565E2A">
      <w:pPr>
        <w:pStyle w:val="NormalWeb"/>
        <w:ind w:left="640" w:hanging="640"/>
        <w:divId w:val="700402019"/>
        <w:rPr>
          <w:noProof/>
        </w:rPr>
      </w:pPr>
      <w:r w:rsidRPr="00610A40">
        <w:rPr>
          <w:noProof/>
        </w:rPr>
        <w:t xml:space="preserve">(218) </w:t>
      </w:r>
      <w:r w:rsidRPr="00610A40">
        <w:rPr>
          <w:noProof/>
        </w:rPr>
        <w:tab/>
        <w:t xml:space="preserve">Matsumura, G.; Miyagawa-Tomita, S.; Shin’Oka, T.; Ikada, Y.; Kurosawa, H. “First Evidence That Bone Marrow Cells Contribute to the Construction of Tissue-Engineered Vascular Autografts in Vivo.” Circulation 2003, </w:t>
      </w:r>
      <w:r w:rsidRPr="00610A40">
        <w:rPr>
          <w:i/>
          <w:iCs/>
          <w:noProof/>
        </w:rPr>
        <w:t>108</w:t>
      </w:r>
      <w:r w:rsidRPr="00610A40">
        <w:rPr>
          <w:noProof/>
        </w:rPr>
        <w:t>, 1729–1734.</w:t>
      </w:r>
    </w:p>
    <w:p w14:paraId="39974E00" w14:textId="77777777" w:rsidR="00565E2A" w:rsidRPr="00610A40" w:rsidRDefault="00565E2A">
      <w:pPr>
        <w:pStyle w:val="NormalWeb"/>
        <w:ind w:left="640" w:hanging="640"/>
        <w:divId w:val="700402019"/>
        <w:rPr>
          <w:noProof/>
        </w:rPr>
      </w:pPr>
      <w:r w:rsidRPr="00610A40">
        <w:rPr>
          <w:noProof/>
        </w:rPr>
        <w:t xml:space="preserve">(219) </w:t>
      </w:r>
      <w:r w:rsidRPr="00610A40">
        <w:rPr>
          <w:noProof/>
        </w:rPr>
        <w:tab/>
        <w:t>Classes of Heart Failure.</w:t>
      </w:r>
    </w:p>
    <w:p w14:paraId="7C982C04" w14:textId="77777777" w:rsidR="00565E2A" w:rsidRPr="00610A40" w:rsidRDefault="00565E2A">
      <w:pPr>
        <w:pStyle w:val="NormalWeb"/>
        <w:ind w:left="640" w:hanging="640"/>
        <w:divId w:val="700402019"/>
        <w:rPr>
          <w:noProof/>
        </w:rPr>
      </w:pPr>
      <w:r w:rsidRPr="00610A40">
        <w:rPr>
          <w:noProof/>
        </w:rPr>
        <w:t xml:space="preserve">(220) </w:t>
      </w:r>
      <w:r w:rsidRPr="00610A40">
        <w:rPr>
          <w:noProof/>
        </w:rPr>
        <w:tab/>
        <w:t xml:space="preserve">Lucarotti, C.; Oddo, C. M. A.; Vitiello, N.; Carrozza, M. C. H. “Synthetic and Bio-Artificial Tactile Sensing: A Review.” Sensors (Basel). 2013, </w:t>
      </w:r>
      <w:r w:rsidRPr="00610A40">
        <w:rPr>
          <w:i/>
          <w:iCs/>
          <w:noProof/>
        </w:rPr>
        <w:t>13</w:t>
      </w:r>
      <w:r w:rsidRPr="00610A40">
        <w:rPr>
          <w:noProof/>
        </w:rPr>
        <w:t>, 1435–1466.</w:t>
      </w:r>
    </w:p>
    <w:p w14:paraId="74DD835F" w14:textId="77777777" w:rsidR="00565E2A" w:rsidRPr="00610A40" w:rsidRDefault="00565E2A">
      <w:pPr>
        <w:pStyle w:val="NormalWeb"/>
        <w:ind w:left="640" w:hanging="640"/>
        <w:divId w:val="700402019"/>
        <w:rPr>
          <w:noProof/>
        </w:rPr>
      </w:pPr>
      <w:r w:rsidRPr="00610A40">
        <w:rPr>
          <w:noProof/>
        </w:rPr>
        <w:t xml:space="preserve">(221) </w:t>
      </w:r>
      <w:r w:rsidRPr="00610A40">
        <w:rPr>
          <w:noProof/>
        </w:rPr>
        <w:tab/>
        <w:t xml:space="preserve">Feiner, R.; Engel, L.; Fleischer, S.; Malki, M.; Gal, I.; Shapira, A.; Shacham-Diamand, Y.; Dvir, T. “Engineered Hybrid Cardiac Patches with Multifunctional Electronics for Online Monitoring and Regulation of Tissue Function.” Nat. Mater. 2016, </w:t>
      </w:r>
      <w:r w:rsidRPr="00610A40">
        <w:rPr>
          <w:i/>
          <w:iCs/>
          <w:noProof/>
        </w:rPr>
        <w:t>15</w:t>
      </w:r>
      <w:r w:rsidRPr="00610A40">
        <w:rPr>
          <w:noProof/>
        </w:rPr>
        <w:t xml:space="preserve">, 1–8. </w:t>
      </w:r>
    </w:p>
    <w:p w14:paraId="25CB52A4" w14:textId="408B802D" w:rsidR="007052DE" w:rsidRPr="00004924" w:rsidRDefault="005306DA" w:rsidP="00EB7D51">
      <w:pPr>
        <w:rPr>
          <w:color w:val="auto"/>
          <w:szCs w:val="24"/>
        </w:rPr>
      </w:pPr>
      <w:r w:rsidRPr="00610A40">
        <w:rPr>
          <w:color w:val="auto"/>
        </w:rPr>
        <w:fldChar w:fldCharType="end"/>
      </w:r>
    </w:p>
    <w:sectPr w:rsidR="007052DE" w:rsidRPr="00004924" w:rsidSect="002A065D">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039BD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039BD7" w16cid:durableId="1E0703A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7704C" w14:textId="77777777" w:rsidR="00C379AA" w:rsidRDefault="00C379AA" w:rsidP="00EB7D51">
      <w:r>
        <w:separator/>
      </w:r>
    </w:p>
  </w:endnote>
  <w:endnote w:type="continuationSeparator" w:id="0">
    <w:p w14:paraId="5D052A96" w14:textId="77777777" w:rsidR="00C379AA" w:rsidRDefault="00C379AA" w:rsidP="00EB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ulliverRM">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770681"/>
      <w:docPartObj>
        <w:docPartGallery w:val="Page Numbers (Bottom of Page)"/>
        <w:docPartUnique/>
      </w:docPartObj>
    </w:sdtPr>
    <w:sdtContent>
      <w:p w14:paraId="506A2452" w14:textId="025FED19" w:rsidR="00EC4113" w:rsidRDefault="00EC4113" w:rsidP="00EB7D51">
        <w:pPr>
          <w:pStyle w:val="Footer"/>
        </w:pPr>
        <w:r>
          <w:fldChar w:fldCharType="begin"/>
        </w:r>
        <w:r>
          <w:instrText xml:space="preserve"> PAGE   \* MERGEFORMAT </w:instrText>
        </w:r>
        <w:r>
          <w:fldChar w:fldCharType="separate"/>
        </w:r>
        <w:r w:rsidR="009A5BC6">
          <w:rPr>
            <w:noProof/>
          </w:rPr>
          <w:t>8</w:t>
        </w:r>
        <w:r>
          <w:rPr>
            <w:noProof/>
          </w:rPr>
          <w:fldChar w:fldCharType="end"/>
        </w:r>
      </w:p>
    </w:sdtContent>
  </w:sdt>
  <w:p w14:paraId="130041E5" w14:textId="77777777" w:rsidR="00EC4113" w:rsidRDefault="00EC4113" w:rsidP="00EB7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781076"/>
      <w:docPartObj>
        <w:docPartGallery w:val="Page Numbers (Bottom of Page)"/>
        <w:docPartUnique/>
      </w:docPartObj>
    </w:sdtPr>
    <w:sdtContent>
      <w:p w14:paraId="101CB38B" w14:textId="5A4D1A93" w:rsidR="00EC4113" w:rsidRDefault="00EC4113" w:rsidP="00EB7D51">
        <w:pPr>
          <w:pStyle w:val="Footer"/>
        </w:pPr>
        <w:r>
          <w:fldChar w:fldCharType="begin"/>
        </w:r>
        <w:r>
          <w:instrText xml:space="preserve"> PAGE   \* MERGEFORMAT </w:instrText>
        </w:r>
        <w:r>
          <w:fldChar w:fldCharType="separate"/>
        </w:r>
        <w:r w:rsidR="009A5BC6">
          <w:rPr>
            <w:noProof/>
          </w:rPr>
          <w:t>21</w:t>
        </w:r>
        <w:r>
          <w:rPr>
            <w:noProof/>
          </w:rPr>
          <w:fldChar w:fldCharType="end"/>
        </w:r>
      </w:p>
    </w:sdtContent>
  </w:sdt>
  <w:p w14:paraId="3820860E" w14:textId="77777777" w:rsidR="00EC4113" w:rsidRDefault="00EC4113" w:rsidP="00EB7D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780590"/>
      <w:docPartObj>
        <w:docPartGallery w:val="Page Numbers (Bottom of Page)"/>
        <w:docPartUnique/>
      </w:docPartObj>
    </w:sdtPr>
    <w:sdtContent>
      <w:p w14:paraId="1043F6A2" w14:textId="0FCA918A" w:rsidR="00EC4113" w:rsidRDefault="00EC4113" w:rsidP="00EB7D51">
        <w:pPr>
          <w:pStyle w:val="Footer"/>
        </w:pPr>
        <w:r>
          <w:fldChar w:fldCharType="begin"/>
        </w:r>
        <w:r>
          <w:instrText xml:space="preserve"> PAGE   \* MERGEFORMAT </w:instrText>
        </w:r>
        <w:r>
          <w:fldChar w:fldCharType="separate"/>
        </w:r>
        <w:r w:rsidR="002E6354">
          <w:rPr>
            <w:noProof/>
          </w:rPr>
          <w:t>57</w:t>
        </w:r>
        <w:r>
          <w:rPr>
            <w:noProof/>
          </w:rPr>
          <w:fldChar w:fldCharType="end"/>
        </w:r>
      </w:p>
    </w:sdtContent>
  </w:sdt>
  <w:p w14:paraId="1A594FDD" w14:textId="77777777" w:rsidR="00EC4113" w:rsidRDefault="00EC4113" w:rsidP="00EB7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3550C" w14:textId="77777777" w:rsidR="00C379AA" w:rsidRDefault="00C379AA" w:rsidP="00EB7D51">
      <w:r>
        <w:separator/>
      </w:r>
    </w:p>
  </w:footnote>
  <w:footnote w:type="continuationSeparator" w:id="0">
    <w:p w14:paraId="586205DB" w14:textId="77777777" w:rsidR="00C379AA" w:rsidRDefault="00C379AA" w:rsidP="00EB7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3703C"/>
    <w:multiLevelType w:val="hybridMultilevel"/>
    <w:tmpl w:val="2F08C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5718B3"/>
    <w:multiLevelType w:val="multilevel"/>
    <w:tmpl w:val="72DC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9D14A8F"/>
    <w:multiLevelType w:val="hybridMultilevel"/>
    <w:tmpl w:val="BF4C7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I Dan">
    <w15:presenceInfo w15:providerId="AD" w15:userId="S-1-5-21-1763517092-291536221-1850952788-13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2DE"/>
    <w:rsid w:val="00002A00"/>
    <w:rsid w:val="00004253"/>
    <w:rsid w:val="00004924"/>
    <w:rsid w:val="00007C8A"/>
    <w:rsid w:val="000125E3"/>
    <w:rsid w:val="00017CD8"/>
    <w:rsid w:val="00032C04"/>
    <w:rsid w:val="00037275"/>
    <w:rsid w:val="00037CA4"/>
    <w:rsid w:val="000408A7"/>
    <w:rsid w:val="00042995"/>
    <w:rsid w:val="0004629D"/>
    <w:rsid w:val="00062D17"/>
    <w:rsid w:val="000648F3"/>
    <w:rsid w:val="0006794D"/>
    <w:rsid w:val="0007201A"/>
    <w:rsid w:val="000744C4"/>
    <w:rsid w:val="00075267"/>
    <w:rsid w:val="00077C63"/>
    <w:rsid w:val="00086775"/>
    <w:rsid w:val="000950A0"/>
    <w:rsid w:val="000963F6"/>
    <w:rsid w:val="00096C7D"/>
    <w:rsid w:val="000B3252"/>
    <w:rsid w:val="000B5525"/>
    <w:rsid w:val="000C15DF"/>
    <w:rsid w:val="000C68A6"/>
    <w:rsid w:val="000D3BA7"/>
    <w:rsid w:val="000D441C"/>
    <w:rsid w:val="000D4EDE"/>
    <w:rsid w:val="000D73F6"/>
    <w:rsid w:val="000E32AF"/>
    <w:rsid w:val="000E683C"/>
    <w:rsid w:val="000F02EF"/>
    <w:rsid w:val="000F268A"/>
    <w:rsid w:val="0010191F"/>
    <w:rsid w:val="00102688"/>
    <w:rsid w:val="00102B50"/>
    <w:rsid w:val="00117D6F"/>
    <w:rsid w:val="0012242B"/>
    <w:rsid w:val="00122EFB"/>
    <w:rsid w:val="00125F75"/>
    <w:rsid w:val="00127D3B"/>
    <w:rsid w:val="0013034B"/>
    <w:rsid w:val="00130907"/>
    <w:rsid w:val="00137EEC"/>
    <w:rsid w:val="0014065C"/>
    <w:rsid w:val="00143F26"/>
    <w:rsid w:val="00144F12"/>
    <w:rsid w:val="0014660B"/>
    <w:rsid w:val="0014663C"/>
    <w:rsid w:val="001556FC"/>
    <w:rsid w:val="00155868"/>
    <w:rsid w:val="00156696"/>
    <w:rsid w:val="00160A7D"/>
    <w:rsid w:val="0016780B"/>
    <w:rsid w:val="001763C8"/>
    <w:rsid w:val="0017704D"/>
    <w:rsid w:val="001833D3"/>
    <w:rsid w:val="00184356"/>
    <w:rsid w:val="0018499C"/>
    <w:rsid w:val="00185A2D"/>
    <w:rsid w:val="001865F9"/>
    <w:rsid w:val="00186A3F"/>
    <w:rsid w:val="001876DB"/>
    <w:rsid w:val="001878DB"/>
    <w:rsid w:val="001904BD"/>
    <w:rsid w:val="00193A2C"/>
    <w:rsid w:val="00193B4D"/>
    <w:rsid w:val="00196B1A"/>
    <w:rsid w:val="001A3972"/>
    <w:rsid w:val="001A74B4"/>
    <w:rsid w:val="001C247C"/>
    <w:rsid w:val="001C2F53"/>
    <w:rsid w:val="001C57B3"/>
    <w:rsid w:val="001D2870"/>
    <w:rsid w:val="001E0F5C"/>
    <w:rsid w:val="001E2417"/>
    <w:rsid w:val="001F12C7"/>
    <w:rsid w:val="001F38D6"/>
    <w:rsid w:val="00200BF4"/>
    <w:rsid w:val="00201169"/>
    <w:rsid w:val="00202510"/>
    <w:rsid w:val="0020499F"/>
    <w:rsid w:val="00212743"/>
    <w:rsid w:val="00213E35"/>
    <w:rsid w:val="00222C36"/>
    <w:rsid w:val="0022525C"/>
    <w:rsid w:val="00226BC5"/>
    <w:rsid w:val="002320D3"/>
    <w:rsid w:val="00235934"/>
    <w:rsid w:val="0023670E"/>
    <w:rsid w:val="00243DA8"/>
    <w:rsid w:val="00251838"/>
    <w:rsid w:val="00276355"/>
    <w:rsid w:val="00280455"/>
    <w:rsid w:val="00283189"/>
    <w:rsid w:val="00283F86"/>
    <w:rsid w:val="00287EAA"/>
    <w:rsid w:val="00290885"/>
    <w:rsid w:val="002914AE"/>
    <w:rsid w:val="002935A0"/>
    <w:rsid w:val="00293733"/>
    <w:rsid w:val="002A065D"/>
    <w:rsid w:val="002A5A66"/>
    <w:rsid w:val="002A688D"/>
    <w:rsid w:val="002B111B"/>
    <w:rsid w:val="002B2E41"/>
    <w:rsid w:val="002B4AD7"/>
    <w:rsid w:val="002C1AF8"/>
    <w:rsid w:val="002C5345"/>
    <w:rsid w:val="002E6354"/>
    <w:rsid w:val="002E6723"/>
    <w:rsid w:val="002E7D11"/>
    <w:rsid w:val="0030199D"/>
    <w:rsid w:val="0030356A"/>
    <w:rsid w:val="00307BCF"/>
    <w:rsid w:val="00311948"/>
    <w:rsid w:val="003129F1"/>
    <w:rsid w:val="00316DCC"/>
    <w:rsid w:val="003172C6"/>
    <w:rsid w:val="0031740B"/>
    <w:rsid w:val="00317812"/>
    <w:rsid w:val="003208D3"/>
    <w:rsid w:val="00320C8A"/>
    <w:rsid w:val="003244C5"/>
    <w:rsid w:val="003312D7"/>
    <w:rsid w:val="003341F9"/>
    <w:rsid w:val="00337213"/>
    <w:rsid w:val="003416E2"/>
    <w:rsid w:val="003466DA"/>
    <w:rsid w:val="00354DF6"/>
    <w:rsid w:val="00365BD8"/>
    <w:rsid w:val="0037165F"/>
    <w:rsid w:val="003743BD"/>
    <w:rsid w:val="003758AF"/>
    <w:rsid w:val="00384D27"/>
    <w:rsid w:val="003916E1"/>
    <w:rsid w:val="00394D7B"/>
    <w:rsid w:val="0039521A"/>
    <w:rsid w:val="003A6167"/>
    <w:rsid w:val="003A7296"/>
    <w:rsid w:val="003B214B"/>
    <w:rsid w:val="003B5FA4"/>
    <w:rsid w:val="003C1208"/>
    <w:rsid w:val="003C6A24"/>
    <w:rsid w:val="003E0702"/>
    <w:rsid w:val="003E55A4"/>
    <w:rsid w:val="003E7A46"/>
    <w:rsid w:val="003F13D2"/>
    <w:rsid w:val="003F5A86"/>
    <w:rsid w:val="004012D1"/>
    <w:rsid w:val="004017E2"/>
    <w:rsid w:val="00410664"/>
    <w:rsid w:val="0041112C"/>
    <w:rsid w:val="00416E9E"/>
    <w:rsid w:val="004334E8"/>
    <w:rsid w:val="00434EE9"/>
    <w:rsid w:val="00443B93"/>
    <w:rsid w:val="00446C38"/>
    <w:rsid w:val="00447D11"/>
    <w:rsid w:val="0045720F"/>
    <w:rsid w:val="00464C6C"/>
    <w:rsid w:val="00465801"/>
    <w:rsid w:val="00480A75"/>
    <w:rsid w:val="00481904"/>
    <w:rsid w:val="004905D3"/>
    <w:rsid w:val="00493046"/>
    <w:rsid w:val="004A0094"/>
    <w:rsid w:val="004A4975"/>
    <w:rsid w:val="004B539B"/>
    <w:rsid w:val="004B6FC2"/>
    <w:rsid w:val="004C751B"/>
    <w:rsid w:val="004D64DD"/>
    <w:rsid w:val="004E2F50"/>
    <w:rsid w:val="004F17FD"/>
    <w:rsid w:val="004F25F4"/>
    <w:rsid w:val="004F5150"/>
    <w:rsid w:val="004F56EE"/>
    <w:rsid w:val="004F6C6E"/>
    <w:rsid w:val="004F7E79"/>
    <w:rsid w:val="00507B7F"/>
    <w:rsid w:val="00514B67"/>
    <w:rsid w:val="00516ADE"/>
    <w:rsid w:val="00520C5C"/>
    <w:rsid w:val="005241E2"/>
    <w:rsid w:val="00527E1D"/>
    <w:rsid w:val="005306DA"/>
    <w:rsid w:val="00531E25"/>
    <w:rsid w:val="00531EC7"/>
    <w:rsid w:val="0053387C"/>
    <w:rsid w:val="00542C41"/>
    <w:rsid w:val="00556329"/>
    <w:rsid w:val="00563417"/>
    <w:rsid w:val="00565094"/>
    <w:rsid w:val="00565E2A"/>
    <w:rsid w:val="00574DB9"/>
    <w:rsid w:val="00576F04"/>
    <w:rsid w:val="00580A5A"/>
    <w:rsid w:val="005833C1"/>
    <w:rsid w:val="00591B37"/>
    <w:rsid w:val="005969D4"/>
    <w:rsid w:val="005A5F45"/>
    <w:rsid w:val="005A62D1"/>
    <w:rsid w:val="005B2D1E"/>
    <w:rsid w:val="005B37B9"/>
    <w:rsid w:val="005B4895"/>
    <w:rsid w:val="005C5B00"/>
    <w:rsid w:val="005C7EED"/>
    <w:rsid w:val="005E1F3E"/>
    <w:rsid w:val="005F04A9"/>
    <w:rsid w:val="005F1AB5"/>
    <w:rsid w:val="005F722E"/>
    <w:rsid w:val="00600C13"/>
    <w:rsid w:val="0060531A"/>
    <w:rsid w:val="00605BE3"/>
    <w:rsid w:val="00610A40"/>
    <w:rsid w:val="0062312E"/>
    <w:rsid w:val="00640A32"/>
    <w:rsid w:val="006430EE"/>
    <w:rsid w:val="00650F42"/>
    <w:rsid w:val="00651604"/>
    <w:rsid w:val="00651B87"/>
    <w:rsid w:val="00651FBB"/>
    <w:rsid w:val="00654D83"/>
    <w:rsid w:val="00661079"/>
    <w:rsid w:val="0066339D"/>
    <w:rsid w:val="00671664"/>
    <w:rsid w:val="00671EE4"/>
    <w:rsid w:val="00673C76"/>
    <w:rsid w:val="006A550A"/>
    <w:rsid w:val="006A5BA8"/>
    <w:rsid w:val="006A6959"/>
    <w:rsid w:val="006A7B08"/>
    <w:rsid w:val="006B1217"/>
    <w:rsid w:val="006B36C7"/>
    <w:rsid w:val="006B57FC"/>
    <w:rsid w:val="006C3763"/>
    <w:rsid w:val="006C384C"/>
    <w:rsid w:val="006C3F36"/>
    <w:rsid w:val="006E2D72"/>
    <w:rsid w:val="006F1C2D"/>
    <w:rsid w:val="006F3A83"/>
    <w:rsid w:val="006F5833"/>
    <w:rsid w:val="006F793E"/>
    <w:rsid w:val="00704308"/>
    <w:rsid w:val="007052DE"/>
    <w:rsid w:val="00705905"/>
    <w:rsid w:val="00705EFE"/>
    <w:rsid w:val="00707B0F"/>
    <w:rsid w:val="007115AF"/>
    <w:rsid w:val="00714CA9"/>
    <w:rsid w:val="00717BEA"/>
    <w:rsid w:val="00725503"/>
    <w:rsid w:val="00727894"/>
    <w:rsid w:val="00732F73"/>
    <w:rsid w:val="00735588"/>
    <w:rsid w:val="007374D8"/>
    <w:rsid w:val="0073777B"/>
    <w:rsid w:val="00755676"/>
    <w:rsid w:val="007577EE"/>
    <w:rsid w:val="00760512"/>
    <w:rsid w:val="00762DB7"/>
    <w:rsid w:val="0076781E"/>
    <w:rsid w:val="00767AEE"/>
    <w:rsid w:val="00771B7E"/>
    <w:rsid w:val="00773A0E"/>
    <w:rsid w:val="00774827"/>
    <w:rsid w:val="00781379"/>
    <w:rsid w:val="00781BE7"/>
    <w:rsid w:val="007865E5"/>
    <w:rsid w:val="00787505"/>
    <w:rsid w:val="007972F8"/>
    <w:rsid w:val="007A51AA"/>
    <w:rsid w:val="007A638F"/>
    <w:rsid w:val="007B0200"/>
    <w:rsid w:val="007B126E"/>
    <w:rsid w:val="007B5D94"/>
    <w:rsid w:val="007B65FA"/>
    <w:rsid w:val="007C0842"/>
    <w:rsid w:val="007C0A3A"/>
    <w:rsid w:val="007C2D95"/>
    <w:rsid w:val="007C49EA"/>
    <w:rsid w:val="007C4F2A"/>
    <w:rsid w:val="007C5487"/>
    <w:rsid w:val="007C7613"/>
    <w:rsid w:val="007D2C56"/>
    <w:rsid w:val="007D4C85"/>
    <w:rsid w:val="007D7A72"/>
    <w:rsid w:val="007E2985"/>
    <w:rsid w:val="007E2A64"/>
    <w:rsid w:val="007E6A52"/>
    <w:rsid w:val="007F5EBC"/>
    <w:rsid w:val="007F707D"/>
    <w:rsid w:val="00803B36"/>
    <w:rsid w:val="00811DAD"/>
    <w:rsid w:val="00830875"/>
    <w:rsid w:val="0083473A"/>
    <w:rsid w:val="0083476D"/>
    <w:rsid w:val="008361CB"/>
    <w:rsid w:val="0083653E"/>
    <w:rsid w:val="0085226C"/>
    <w:rsid w:val="00854774"/>
    <w:rsid w:val="008610DD"/>
    <w:rsid w:val="008661F9"/>
    <w:rsid w:val="008669A4"/>
    <w:rsid w:val="00866FAC"/>
    <w:rsid w:val="008700DA"/>
    <w:rsid w:val="00872DB4"/>
    <w:rsid w:val="008813D5"/>
    <w:rsid w:val="008814D7"/>
    <w:rsid w:val="00885F14"/>
    <w:rsid w:val="0088689B"/>
    <w:rsid w:val="00891CA6"/>
    <w:rsid w:val="00891CDC"/>
    <w:rsid w:val="00892D07"/>
    <w:rsid w:val="00893E9B"/>
    <w:rsid w:val="008945D3"/>
    <w:rsid w:val="008A57DC"/>
    <w:rsid w:val="008A68AD"/>
    <w:rsid w:val="008A6C05"/>
    <w:rsid w:val="008A76F8"/>
    <w:rsid w:val="008B36AD"/>
    <w:rsid w:val="008B7675"/>
    <w:rsid w:val="008B7846"/>
    <w:rsid w:val="008C0ADC"/>
    <w:rsid w:val="008C2FFD"/>
    <w:rsid w:val="008C5439"/>
    <w:rsid w:val="008D1CF3"/>
    <w:rsid w:val="008D345E"/>
    <w:rsid w:val="008D3712"/>
    <w:rsid w:val="008E08D9"/>
    <w:rsid w:val="008E2756"/>
    <w:rsid w:val="008E7F94"/>
    <w:rsid w:val="008F1A67"/>
    <w:rsid w:val="008F2873"/>
    <w:rsid w:val="008F3BD9"/>
    <w:rsid w:val="008F445C"/>
    <w:rsid w:val="00902CA6"/>
    <w:rsid w:val="0090681D"/>
    <w:rsid w:val="00921C62"/>
    <w:rsid w:val="009231BD"/>
    <w:rsid w:val="00923EB2"/>
    <w:rsid w:val="009259B9"/>
    <w:rsid w:val="00926331"/>
    <w:rsid w:val="009334F7"/>
    <w:rsid w:val="00933663"/>
    <w:rsid w:val="009371DD"/>
    <w:rsid w:val="009441D5"/>
    <w:rsid w:val="00944C77"/>
    <w:rsid w:val="00955921"/>
    <w:rsid w:val="00962EF4"/>
    <w:rsid w:val="009636D6"/>
    <w:rsid w:val="0096505F"/>
    <w:rsid w:val="00965F54"/>
    <w:rsid w:val="009662FD"/>
    <w:rsid w:val="00972EB2"/>
    <w:rsid w:val="00973C35"/>
    <w:rsid w:val="009760AE"/>
    <w:rsid w:val="00980F98"/>
    <w:rsid w:val="00981A06"/>
    <w:rsid w:val="00990A40"/>
    <w:rsid w:val="00990D76"/>
    <w:rsid w:val="00994BC5"/>
    <w:rsid w:val="009A5BC6"/>
    <w:rsid w:val="009B1397"/>
    <w:rsid w:val="009B26DC"/>
    <w:rsid w:val="009B59FB"/>
    <w:rsid w:val="009C1222"/>
    <w:rsid w:val="009C1E97"/>
    <w:rsid w:val="009C7E6F"/>
    <w:rsid w:val="009D0786"/>
    <w:rsid w:val="009D2C96"/>
    <w:rsid w:val="009E5D13"/>
    <w:rsid w:val="009F252C"/>
    <w:rsid w:val="009F3BF7"/>
    <w:rsid w:val="009F5389"/>
    <w:rsid w:val="00A022D6"/>
    <w:rsid w:val="00A02440"/>
    <w:rsid w:val="00A02A96"/>
    <w:rsid w:val="00A10D93"/>
    <w:rsid w:val="00A1314D"/>
    <w:rsid w:val="00A137E1"/>
    <w:rsid w:val="00A13E25"/>
    <w:rsid w:val="00A21430"/>
    <w:rsid w:val="00A30D0D"/>
    <w:rsid w:val="00A36809"/>
    <w:rsid w:val="00A537FC"/>
    <w:rsid w:val="00A8100D"/>
    <w:rsid w:val="00A94FF8"/>
    <w:rsid w:val="00A96E91"/>
    <w:rsid w:val="00AA311A"/>
    <w:rsid w:val="00AB0156"/>
    <w:rsid w:val="00AC5310"/>
    <w:rsid w:val="00AC751B"/>
    <w:rsid w:val="00AD5444"/>
    <w:rsid w:val="00AD5A86"/>
    <w:rsid w:val="00AE450D"/>
    <w:rsid w:val="00AF5E54"/>
    <w:rsid w:val="00B0781E"/>
    <w:rsid w:val="00B10AFF"/>
    <w:rsid w:val="00B12FD8"/>
    <w:rsid w:val="00B13403"/>
    <w:rsid w:val="00B165DC"/>
    <w:rsid w:val="00B17FF9"/>
    <w:rsid w:val="00B2324C"/>
    <w:rsid w:val="00B25F48"/>
    <w:rsid w:val="00B36C49"/>
    <w:rsid w:val="00B407C0"/>
    <w:rsid w:val="00B5238D"/>
    <w:rsid w:val="00B55B37"/>
    <w:rsid w:val="00B56553"/>
    <w:rsid w:val="00B67A34"/>
    <w:rsid w:val="00B7414F"/>
    <w:rsid w:val="00B7634F"/>
    <w:rsid w:val="00B810BC"/>
    <w:rsid w:val="00B83F1B"/>
    <w:rsid w:val="00B841BE"/>
    <w:rsid w:val="00B85D76"/>
    <w:rsid w:val="00B94541"/>
    <w:rsid w:val="00B959F6"/>
    <w:rsid w:val="00BA1E23"/>
    <w:rsid w:val="00BA20E8"/>
    <w:rsid w:val="00BA3723"/>
    <w:rsid w:val="00BA4B41"/>
    <w:rsid w:val="00BB0B22"/>
    <w:rsid w:val="00BB66F6"/>
    <w:rsid w:val="00BB6F0A"/>
    <w:rsid w:val="00BC0BEA"/>
    <w:rsid w:val="00BD4CA7"/>
    <w:rsid w:val="00BD66ED"/>
    <w:rsid w:val="00BE1A9F"/>
    <w:rsid w:val="00BF1285"/>
    <w:rsid w:val="00BF2E61"/>
    <w:rsid w:val="00BF3DC6"/>
    <w:rsid w:val="00BF6853"/>
    <w:rsid w:val="00C00675"/>
    <w:rsid w:val="00C03258"/>
    <w:rsid w:val="00C10239"/>
    <w:rsid w:val="00C1118B"/>
    <w:rsid w:val="00C156D9"/>
    <w:rsid w:val="00C17A42"/>
    <w:rsid w:val="00C20759"/>
    <w:rsid w:val="00C218D8"/>
    <w:rsid w:val="00C30D2A"/>
    <w:rsid w:val="00C327A2"/>
    <w:rsid w:val="00C33AF0"/>
    <w:rsid w:val="00C379AA"/>
    <w:rsid w:val="00C4043A"/>
    <w:rsid w:val="00C41E54"/>
    <w:rsid w:val="00C427B7"/>
    <w:rsid w:val="00C440DD"/>
    <w:rsid w:val="00C45B0B"/>
    <w:rsid w:val="00C46FC4"/>
    <w:rsid w:val="00C50465"/>
    <w:rsid w:val="00C5470D"/>
    <w:rsid w:val="00C54B7D"/>
    <w:rsid w:val="00C55A96"/>
    <w:rsid w:val="00C65C52"/>
    <w:rsid w:val="00C72A65"/>
    <w:rsid w:val="00C87AA9"/>
    <w:rsid w:val="00C94135"/>
    <w:rsid w:val="00C9433F"/>
    <w:rsid w:val="00C95932"/>
    <w:rsid w:val="00C95BA5"/>
    <w:rsid w:val="00C974B5"/>
    <w:rsid w:val="00CA2966"/>
    <w:rsid w:val="00CA2AD8"/>
    <w:rsid w:val="00CA7FEB"/>
    <w:rsid w:val="00CB42FA"/>
    <w:rsid w:val="00CB7C43"/>
    <w:rsid w:val="00CC07D5"/>
    <w:rsid w:val="00CC0F44"/>
    <w:rsid w:val="00CD109D"/>
    <w:rsid w:val="00CD3543"/>
    <w:rsid w:val="00CD5047"/>
    <w:rsid w:val="00CD7FCF"/>
    <w:rsid w:val="00CE3301"/>
    <w:rsid w:val="00D0229D"/>
    <w:rsid w:val="00D13489"/>
    <w:rsid w:val="00D1419B"/>
    <w:rsid w:val="00D272A4"/>
    <w:rsid w:val="00D34FD0"/>
    <w:rsid w:val="00D3664E"/>
    <w:rsid w:val="00D423E3"/>
    <w:rsid w:val="00D43CC0"/>
    <w:rsid w:val="00D47C9A"/>
    <w:rsid w:val="00D518B8"/>
    <w:rsid w:val="00D5605F"/>
    <w:rsid w:val="00D605E6"/>
    <w:rsid w:val="00D618FE"/>
    <w:rsid w:val="00D674DD"/>
    <w:rsid w:val="00D71EDE"/>
    <w:rsid w:val="00D84F0A"/>
    <w:rsid w:val="00D94EE8"/>
    <w:rsid w:val="00D95109"/>
    <w:rsid w:val="00D96F81"/>
    <w:rsid w:val="00DA7DF3"/>
    <w:rsid w:val="00DC0EEC"/>
    <w:rsid w:val="00DC64C9"/>
    <w:rsid w:val="00DD33EF"/>
    <w:rsid w:val="00DD5A26"/>
    <w:rsid w:val="00DD6DDC"/>
    <w:rsid w:val="00DD7974"/>
    <w:rsid w:val="00DE7A5B"/>
    <w:rsid w:val="00DF2A20"/>
    <w:rsid w:val="00E0475E"/>
    <w:rsid w:val="00E061B9"/>
    <w:rsid w:val="00E10C37"/>
    <w:rsid w:val="00E168C0"/>
    <w:rsid w:val="00E242EE"/>
    <w:rsid w:val="00E26873"/>
    <w:rsid w:val="00E27575"/>
    <w:rsid w:val="00E27961"/>
    <w:rsid w:val="00E27AC3"/>
    <w:rsid w:val="00E31721"/>
    <w:rsid w:val="00E34EDA"/>
    <w:rsid w:val="00E42FFD"/>
    <w:rsid w:val="00E50221"/>
    <w:rsid w:val="00E530BD"/>
    <w:rsid w:val="00E55465"/>
    <w:rsid w:val="00E56545"/>
    <w:rsid w:val="00E6012F"/>
    <w:rsid w:val="00E61DF0"/>
    <w:rsid w:val="00E62684"/>
    <w:rsid w:val="00E67975"/>
    <w:rsid w:val="00E72AFB"/>
    <w:rsid w:val="00E818CF"/>
    <w:rsid w:val="00E82611"/>
    <w:rsid w:val="00E907D0"/>
    <w:rsid w:val="00EA613B"/>
    <w:rsid w:val="00EA6768"/>
    <w:rsid w:val="00EB212A"/>
    <w:rsid w:val="00EB426B"/>
    <w:rsid w:val="00EB5D4F"/>
    <w:rsid w:val="00EB6896"/>
    <w:rsid w:val="00EB7D51"/>
    <w:rsid w:val="00EC4113"/>
    <w:rsid w:val="00EC4E11"/>
    <w:rsid w:val="00EC5007"/>
    <w:rsid w:val="00EE161C"/>
    <w:rsid w:val="00EE1AFF"/>
    <w:rsid w:val="00EE4B4C"/>
    <w:rsid w:val="00EE567A"/>
    <w:rsid w:val="00F00386"/>
    <w:rsid w:val="00F01850"/>
    <w:rsid w:val="00F027F7"/>
    <w:rsid w:val="00F22E50"/>
    <w:rsid w:val="00F24B01"/>
    <w:rsid w:val="00F26623"/>
    <w:rsid w:val="00F317B1"/>
    <w:rsid w:val="00F36B2D"/>
    <w:rsid w:val="00F419FC"/>
    <w:rsid w:val="00F428D4"/>
    <w:rsid w:val="00F442E6"/>
    <w:rsid w:val="00F44F7A"/>
    <w:rsid w:val="00F516C5"/>
    <w:rsid w:val="00F60FFE"/>
    <w:rsid w:val="00F6296D"/>
    <w:rsid w:val="00F62BB7"/>
    <w:rsid w:val="00F67BD2"/>
    <w:rsid w:val="00F71094"/>
    <w:rsid w:val="00F7779E"/>
    <w:rsid w:val="00F77F5D"/>
    <w:rsid w:val="00F858F9"/>
    <w:rsid w:val="00F875B6"/>
    <w:rsid w:val="00F87A08"/>
    <w:rsid w:val="00F90CFF"/>
    <w:rsid w:val="00FA108D"/>
    <w:rsid w:val="00FC0D55"/>
    <w:rsid w:val="00FC1C83"/>
    <w:rsid w:val="00FC27A7"/>
    <w:rsid w:val="00FE50E5"/>
    <w:rsid w:val="00FE5A76"/>
    <w:rsid w:val="00FE7A7B"/>
    <w:rsid w:val="00FF0B8B"/>
    <w:rsid w:val="00FF32C1"/>
    <w:rsid w:val="00FF7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F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430"/>
    <w:pPr>
      <w:spacing w:after="0" w:line="480" w:lineRule="auto"/>
      <w:jc w:val="both"/>
    </w:pPr>
    <w:rPr>
      <w:rFonts w:ascii="Times New Roman" w:eastAsia="Times New Roman" w:hAnsi="Times New Roman" w:cs="Arial"/>
      <w:color w:val="383838"/>
      <w:sz w:val="24"/>
    </w:rPr>
  </w:style>
  <w:style w:type="paragraph" w:styleId="Heading1">
    <w:name w:val="heading 1"/>
    <w:basedOn w:val="Normal"/>
    <w:link w:val="Heading1Char"/>
    <w:uiPriority w:val="9"/>
    <w:qFormat/>
    <w:rsid w:val="00EB7D51"/>
    <w:pPr>
      <w:spacing w:before="100" w:beforeAutospacing="1" w:after="100" w:afterAutospacing="1" w:line="240" w:lineRule="auto"/>
      <w:jc w:val="left"/>
      <w:outlineLvl w:val="0"/>
    </w:pPr>
    <w:rPr>
      <w:rFonts w:cs="Times New Roman"/>
      <w:b/>
      <w:bCs/>
      <w:kern w:val="36"/>
      <w:sz w:val="48"/>
      <w:szCs w:val="48"/>
    </w:rPr>
  </w:style>
  <w:style w:type="paragraph" w:styleId="Heading2">
    <w:name w:val="heading 2"/>
    <w:basedOn w:val="Normal"/>
    <w:next w:val="Normal"/>
    <w:link w:val="Heading2Char"/>
    <w:uiPriority w:val="9"/>
    <w:unhideWhenUsed/>
    <w:qFormat/>
    <w:rsid w:val="00EB7D51"/>
    <w:pPr>
      <w:keepNext/>
      <w:keepLines/>
      <w:spacing w:before="200"/>
      <w:outlineLvl w:val="1"/>
    </w:pPr>
    <w:rPr>
      <w:rFonts w:eastAsiaTheme="majorEastAsia" w:cstheme="majorBidi"/>
      <w:b/>
      <w:bCs/>
      <w:color w:val="auto"/>
      <w:sz w:val="26"/>
      <w:szCs w:val="26"/>
    </w:rPr>
  </w:style>
  <w:style w:type="paragraph" w:styleId="Heading3">
    <w:name w:val="heading 3"/>
    <w:basedOn w:val="Normal"/>
    <w:next w:val="Normal"/>
    <w:link w:val="Heading3Char"/>
    <w:uiPriority w:val="9"/>
    <w:unhideWhenUsed/>
    <w:qFormat/>
    <w:rsid w:val="0085226C"/>
    <w:pPr>
      <w:keepNext/>
      <w:keepLines/>
      <w:spacing w:before="200"/>
      <w:outlineLvl w:val="2"/>
    </w:pPr>
    <w:rPr>
      <w:rFonts w:eastAsiaTheme="majorEastAsia" w:cstheme="majorBidi"/>
      <w:b/>
      <w:bCs/>
      <w:color w:val="auto"/>
      <w:u w:val="single"/>
    </w:rPr>
  </w:style>
  <w:style w:type="paragraph" w:styleId="Heading4">
    <w:name w:val="heading 4"/>
    <w:basedOn w:val="Normal"/>
    <w:next w:val="Normal"/>
    <w:link w:val="Heading4Char"/>
    <w:uiPriority w:val="9"/>
    <w:unhideWhenUsed/>
    <w:qFormat/>
    <w:rsid w:val="003C6A24"/>
    <w:pPr>
      <w:keepNext/>
      <w:keepLines/>
      <w:spacing w:before="200"/>
      <w:outlineLvl w:val="3"/>
    </w:pPr>
    <w:rPr>
      <w:rFonts w:eastAsiaTheme="majorEastAsia" w:cstheme="majorBidi"/>
      <w:b/>
      <w:bCs/>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D51"/>
    <w:rPr>
      <w:rFonts w:ascii="Times New Roman" w:eastAsia="Times New Roman" w:hAnsi="Times New Roman" w:cs="Times New Roman"/>
      <w:b/>
      <w:bCs/>
      <w:color w:val="383838"/>
      <w:kern w:val="36"/>
      <w:sz w:val="48"/>
      <w:szCs w:val="48"/>
    </w:rPr>
  </w:style>
  <w:style w:type="character" w:styleId="Strong">
    <w:name w:val="Strong"/>
    <w:basedOn w:val="DefaultParagraphFont"/>
    <w:uiPriority w:val="22"/>
    <w:qFormat/>
    <w:rsid w:val="007052DE"/>
    <w:rPr>
      <w:b/>
      <w:bCs/>
    </w:rPr>
  </w:style>
  <w:style w:type="character" w:customStyle="1" w:styleId="apple-converted-space">
    <w:name w:val="apple-converted-space"/>
    <w:basedOn w:val="DefaultParagraphFont"/>
    <w:rsid w:val="007052DE"/>
  </w:style>
  <w:style w:type="character" w:styleId="Emphasis">
    <w:name w:val="Emphasis"/>
    <w:basedOn w:val="DefaultParagraphFont"/>
    <w:uiPriority w:val="20"/>
    <w:qFormat/>
    <w:rsid w:val="007052DE"/>
    <w:rPr>
      <w:i/>
      <w:iCs/>
    </w:rPr>
  </w:style>
  <w:style w:type="paragraph" w:styleId="Header">
    <w:name w:val="header"/>
    <w:basedOn w:val="Normal"/>
    <w:link w:val="HeaderChar"/>
    <w:uiPriority w:val="99"/>
    <w:semiHidden/>
    <w:unhideWhenUsed/>
    <w:rsid w:val="007865E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865E5"/>
  </w:style>
  <w:style w:type="paragraph" w:styleId="Footer">
    <w:name w:val="footer"/>
    <w:basedOn w:val="Normal"/>
    <w:link w:val="FooterChar"/>
    <w:uiPriority w:val="99"/>
    <w:unhideWhenUsed/>
    <w:rsid w:val="007865E5"/>
    <w:pPr>
      <w:tabs>
        <w:tab w:val="center" w:pos="4680"/>
        <w:tab w:val="right" w:pos="9360"/>
      </w:tabs>
      <w:spacing w:line="240" w:lineRule="auto"/>
    </w:pPr>
  </w:style>
  <w:style w:type="character" w:customStyle="1" w:styleId="FooterChar">
    <w:name w:val="Footer Char"/>
    <w:basedOn w:val="DefaultParagraphFont"/>
    <w:link w:val="Footer"/>
    <w:uiPriority w:val="99"/>
    <w:rsid w:val="007865E5"/>
  </w:style>
  <w:style w:type="paragraph" w:styleId="NormalWeb">
    <w:name w:val="Normal (Web)"/>
    <w:basedOn w:val="Normal"/>
    <w:uiPriority w:val="99"/>
    <w:unhideWhenUsed/>
    <w:rsid w:val="007865E5"/>
    <w:pPr>
      <w:spacing w:before="100" w:beforeAutospacing="1" w:after="100" w:afterAutospacing="1" w:line="240" w:lineRule="auto"/>
    </w:pPr>
    <w:rPr>
      <w:rFonts w:cs="Times New Roman"/>
      <w:szCs w:val="24"/>
    </w:rPr>
  </w:style>
  <w:style w:type="paragraph" w:customStyle="1" w:styleId="AuthorsFull">
    <w:name w:val="Authors Full"/>
    <w:basedOn w:val="Normal"/>
    <w:rsid w:val="007865E5"/>
    <w:pPr>
      <w:spacing w:line="240" w:lineRule="auto"/>
    </w:pPr>
    <w:rPr>
      <w:rFonts w:eastAsia="MS Mincho" w:cs="Times New Roman"/>
      <w:i/>
      <w:szCs w:val="24"/>
      <w:lang w:eastAsia="ja-JP"/>
    </w:rPr>
  </w:style>
  <w:style w:type="paragraph" w:customStyle="1" w:styleId="Addresses">
    <w:name w:val="Addresses"/>
    <w:basedOn w:val="Normal"/>
    <w:rsid w:val="007865E5"/>
    <w:pPr>
      <w:spacing w:line="240" w:lineRule="auto"/>
    </w:pPr>
    <w:rPr>
      <w:rFonts w:eastAsia="MS Mincho" w:cs="Times New Roman"/>
      <w:szCs w:val="24"/>
      <w:lang w:eastAsia="ja-JP"/>
    </w:rPr>
  </w:style>
  <w:style w:type="paragraph" w:styleId="BalloonText">
    <w:name w:val="Balloon Text"/>
    <w:basedOn w:val="Normal"/>
    <w:link w:val="BalloonTextChar"/>
    <w:uiPriority w:val="99"/>
    <w:semiHidden/>
    <w:unhideWhenUsed/>
    <w:rsid w:val="00D951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109"/>
    <w:rPr>
      <w:rFonts w:ascii="Tahoma" w:hAnsi="Tahoma" w:cs="Tahoma"/>
      <w:sz w:val="16"/>
      <w:szCs w:val="16"/>
    </w:rPr>
  </w:style>
  <w:style w:type="paragraph" w:styleId="Title">
    <w:name w:val="Title"/>
    <w:basedOn w:val="Normal"/>
    <w:next w:val="Normal"/>
    <w:link w:val="TitleChar"/>
    <w:uiPriority w:val="10"/>
    <w:qFormat/>
    <w:rsid w:val="00EB7D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7D5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B7D51"/>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85226C"/>
    <w:rPr>
      <w:rFonts w:ascii="Times New Roman" w:eastAsiaTheme="majorEastAsia" w:hAnsi="Times New Roman" w:cstheme="majorBidi"/>
      <w:b/>
      <w:bCs/>
      <w:u w:val="single"/>
    </w:rPr>
  </w:style>
  <w:style w:type="character" w:styleId="CommentReference">
    <w:name w:val="annotation reference"/>
    <w:basedOn w:val="DefaultParagraphFont"/>
    <w:uiPriority w:val="99"/>
    <w:semiHidden/>
    <w:unhideWhenUsed/>
    <w:rsid w:val="003C6A24"/>
    <w:rPr>
      <w:sz w:val="16"/>
      <w:szCs w:val="16"/>
    </w:rPr>
  </w:style>
  <w:style w:type="paragraph" w:styleId="CommentText">
    <w:name w:val="annotation text"/>
    <w:basedOn w:val="Normal"/>
    <w:link w:val="CommentTextChar"/>
    <w:uiPriority w:val="99"/>
    <w:semiHidden/>
    <w:unhideWhenUsed/>
    <w:rsid w:val="003C6A24"/>
    <w:pPr>
      <w:spacing w:after="200" w:line="240" w:lineRule="auto"/>
      <w:jc w:val="left"/>
    </w:pPr>
    <w:rPr>
      <w:rFonts w:eastAsiaTheme="minorEastAsia" w:cstheme="minorBidi"/>
      <w:color w:val="auto"/>
      <w:sz w:val="20"/>
      <w:szCs w:val="20"/>
      <w:lang w:eastAsia="zh-CN"/>
    </w:rPr>
  </w:style>
  <w:style w:type="character" w:customStyle="1" w:styleId="CommentTextChar">
    <w:name w:val="Comment Text Char"/>
    <w:basedOn w:val="DefaultParagraphFont"/>
    <w:link w:val="CommentText"/>
    <w:uiPriority w:val="99"/>
    <w:semiHidden/>
    <w:rsid w:val="003C6A24"/>
    <w:rPr>
      <w:rFonts w:ascii="Times New Roman" w:hAnsi="Times New Roman"/>
      <w:sz w:val="20"/>
      <w:szCs w:val="20"/>
      <w:lang w:eastAsia="zh-CN"/>
    </w:rPr>
  </w:style>
  <w:style w:type="character" w:customStyle="1" w:styleId="Heading4Char">
    <w:name w:val="Heading 4 Char"/>
    <w:basedOn w:val="DefaultParagraphFont"/>
    <w:link w:val="Heading4"/>
    <w:uiPriority w:val="9"/>
    <w:rsid w:val="003C6A24"/>
    <w:rPr>
      <w:rFonts w:ascii="Times New Roman" w:eastAsiaTheme="majorEastAsia" w:hAnsi="Times New Roman" w:cstheme="majorBidi"/>
      <w:b/>
      <w:bCs/>
      <w:i/>
      <w:iCs/>
    </w:rPr>
  </w:style>
  <w:style w:type="paragraph" w:styleId="CommentSubject">
    <w:name w:val="annotation subject"/>
    <w:basedOn w:val="CommentText"/>
    <w:next w:val="CommentText"/>
    <w:link w:val="CommentSubjectChar"/>
    <w:uiPriority w:val="99"/>
    <w:semiHidden/>
    <w:unhideWhenUsed/>
    <w:rsid w:val="00705EFE"/>
    <w:pPr>
      <w:spacing w:after="0"/>
      <w:jc w:val="both"/>
    </w:pPr>
    <w:rPr>
      <w:rFonts w:eastAsia="Times New Roman" w:cs="Arial"/>
      <w:b/>
      <w:bCs/>
      <w:color w:val="383838"/>
      <w:lang w:eastAsia="en-US"/>
    </w:rPr>
  </w:style>
  <w:style w:type="character" w:customStyle="1" w:styleId="CommentSubjectChar">
    <w:name w:val="Comment Subject Char"/>
    <w:basedOn w:val="CommentTextChar"/>
    <w:link w:val="CommentSubject"/>
    <w:uiPriority w:val="99"/>
    <w:semiHidden/>
    <w:rsid w:val="00705EFE"/>
    <w:rPr>
      <w:rFonts w:ascii="Times New Roman" w:eastAsia="Times New Roman" w:hAnsi="Times New Roman" w:cs="Arial"/>
      <w:b/>
      <w:bCs/>
      <w:color w:val="383838"/>
      <w:sz w:val="20"/>
      <w:szCs w:val="20"/>
      <w:lang w:eastAsia="zh-CN"/>
    </w:rPr>
  </w:style>
  <w:style w:type="paragraph" w:customStyle="1" w:styleId="xmsonormal">
    <w:name w:val="x_msonormal"/>
    <w:basedOn w:val="Normal"/>
    <w:rsid w:val="0020499F"/>
    <w:pPr>
      <w:spacing w:before="100" w:beforeAutospacing="1" w:after="100" w:afterAutospacing="1" w:line="240" w:lineRule="auto"/>
      <w:jc w:val="left"/>
    </w:pPr>
    <w:rPr>
      <w:rFonts w:cs="Times New Roman"/>
      <w:color w:val="auto"/>
      <w:szCs w:val="24"/>
      <w:lang w:val="en-SG" w:eastAsia="en-SG"/>
    </w:rPr>
  </w:style>
  <w:style w:type="paragraph" w:styleId="Subtitle">
    <w:name w:val="Subtitle"/>
    <w:basedOn w:val="Normal"/>
    <w:next w:val="Normal"/>
    <w:link w:val="SubtitleChar"/>
    <w:uiPriority w:val="11"/>
    <w:qFormat/>
    <w:rsid w:val="00955921"/>
    <w:pPr>
      <w:numPr>
        <w:ilvl w:val="1"/>
      </w:numPr>
      <w:spacing w:after="160"/>
    </w:pPr>
    <w:rPr>
      <w:rFonts w:eastAsiaTheme="minorEastAsia" w:cstheme="minorBidi"/>
      <w:color w:val="auto"/>
      <w:spacing w:val="15"/>
      <w:sz w:val="22"/>
    </w:rPr>
  </w:style>
  <w:style w:type="character" w:customStyle="1" w:styleId="SubtitleChar">
    <w:name w:val="Subtitle Char"/>
    <w:basedOn w:val="DefaultParagraphFont"/>
    <w:link w:val="Subtitle"/>
    <w:uiPriority w:val="11"/>
    <w:rsid w:val="00955921"/>
    <w:rPr>
      <w:rFonts w:ascii="Times New Roman" w:hAnsi="Times New Roman"/>
      <w:spacing w:val="15"/>
    </w:rPr>
  </w:style>
  <w:style w:type="paragraph" w:styleId="Revision">
    <w:name w:val="Revision"/>
    <w:hidden/>
    <w:uiPriority w:val="99"/>
    <w:semiHidden/>
    <w:rsid w:val="000C15DF"/>
    <w:pPr>
      <w:spacing w:after="0" w:line="240" w:lineRule="auto"/>
    </w:pPr>
    <w:rPr>
      <w:rFonts w:ascii="Times New Roman" w:eastAsia="Times New Roman" w:hAnsi="Times New Roman" w:cs="Arial"/>
      <w:color w:val="383838"/>
      <w:sz w:val="24"/>
    </w:rPr>
  </w:style>
  <w:style w:type="paragraph" w:styleId="Caption">
    <w:name w:val="caption"/>
    <w:basedOn w:val="Normal"/>
    <w:next w:val="Normal"/>
    <w:uiPriority w:val="35"/>
    <w:unhideWhenUsed/>
    <w:qFormat/>
    <w:rsid w:val="008F3BD9"/>
    <w:pPr>
      <w:spacing w:after="200" w:line="240" w:lineRule="auto"/>
    </w:pPr>
    <w:rPr>
      <w:b/>
      <w:bCs/>
      <w:color w:val="auto"/>
      <w:sz w:val="18"/>
      <w:szCs w:val="18"/>
    </w:rPr>
  </w:style>
  <w:style w:type="paragraph" w:styleId="ListParagraph">
    <w:name w:val="List Paragraph"/>
    <w:basedOn w:val="Normal"/>
    <w:uiPriority w:val="34"/>
    <w:qFormat/>
    <w:rsid w:val="00542C41"/>
    <w:pPr>
      <w:ind w:left="720"/>
      <w:contextualSpacing/>
    </w:pPr>
  </w:style>
  <w:style w:type="paragraph" w:customStyle="1" w:styleId="Source">
    <w:name w:val="Source"/>
    <w:basedOn w:val="Normal"/>
    <w:link w:val="SourceChar"/>
    <w:rsid w:val="006430EE"/>
    <w:pPr>
      <w:spacing w:line="264" w:lineRule="auto"/>
      <w:ind w:left="360" w:hanging="360"/>
    </w:pPr>
    <w:rPr>
      <w:rFonts w:cs="Times New Roman"/>
      <w:color w:val="auto"/>
      <w:sz w:val="19"/>
      <w:szCs w:val="20"/>
    </w:rPr>
  </w:style>
  <w:style w:type="character" w:customStyle="1" w:styleId="SourceChar">
    <w:name w:val="Source Char"/>
    <w:link w:val="Source"/>
    <w:rsid w:val="006430EE"/>
    <w:rPr>
      <w:rFonts w:ascii="Times New Roman" w:eastAsia="Times New Roman" w:hAnsi="Times New Roman" w:cs="Times New Roman"/>
      <w:sz w:val="19"/>
      <w:szCs w:val="20"/>
    </w:rPr>
  </w:style>
  <w:style w:type="character" w:customStyle="1" w:styleId="font351">
    <w:name w:val="font351"/>
    <w:basedOn w:val="DefaultParagraphFont"/>
    <w:rsid w:val="009662FD"/>
    <w:rPr>
      <w:rFonts w:ascii="Times New Roman" w:hAnsi="Times New Roman" w:cs="Times New Roman" w:hint="default"/>
      <w:b w:val="0"/>
      <w:bCs w:val="0"/>
      <w:i/>
      <w:iCs/>
      <w:strike w:val="0"/>
      <w:dstrike w:val="0"/>
      <w:color w:val="auto"/>
      <w:sz w:val="24"/>
      <w:szCs w:val="24"/>
      <w:u w:val="none"/>
      <w:effect w:val="none"/>
    </w:rPr>
  </w:style>
  <w:style w:type="character" w:customStyle="1" w:styleId="font341">
    <w:name w:val="font341"/>
    <w:basedOn w:val="DefaultParagraphFont"/>
    <w:rsid w:val="009662FD"/>
    <w:rPr>
      <w:rFonts w:ascii="Times New Roman" w:hAnsi="Times New Roman" w:cs="Times New Roman" w:hint="default"/>
      <w:b w:val="0"/>
      <w:bCs w:val="0"/>
      <w:i w:val="0"/>
      <w:iCs w:val="0"/>
      <w:strike w:val="0"/>
      <w:dstrike w:val="0"/>
      <w:color w:val="auto"/>
      <w:sz w:val="24"/>
      <w:szCs w:val="24"/>
      <w:u w:val="none"/>
      <w:effect w:val="none"/>
    </w:rPr>
  </w:style>
  <w:style w:type="table" w:styleId="LightShading-Accent1">
    <w:name w:val="Light Shading Accent 1"/>
    <w:basedOn w:val="TableNormal"/>
    <w:uiPriority w:val="60"/>
    <w:rsid w:val="0049304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156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430"/>
    <w:pPr>
      <w:spacing w:after="0" w:line="480" w:lineRule="auto"/>
      <w:jc w:val="both"/>
    </w:pPr>
    <w:rPr>
      <w:rFonts w:ascii="Times New Roman" w:eastAsia="Times New Roman" w:hAnsi="Times New Roman" w:cs="Arial"/>
      <w:color w:val="383838"/>
      <w:sz w:val="24"/>
    </w:rPr>
  </w:style>
  <w:style w:type="paragraph" w:styleId="Heading1">
    <w:name w:val="heading 1"/>
    <w:basedOn w:val="Normal"/>
    <w:link w:val="Heading1Char"/>
    <w:uiPriority w:val="9"/>
    <w:qFormat/>
    <w:rsid w:val="00EB7D51"/>
    <w:pPr>
      <w:spacing w:before="100" w:beforeAutospacing="1" w:after="100" w:afterAutospacing="1" w:line="240" w:lineRule="auto"/>
      <w:jc w:val="left"/>
      <w:outlineLvl w:val="0"/>
    </w:pPr>
    <w:rPr>
      <w:rFonts w:cs="Times New Roman"/>
      <w:b/>
      <w:bCs/>
      <w:kern w:val="36"/>
      <w:sz w:val="48"/>
      <w:szCs w:val="48"/>
    </w:rPr>
  </w:style>
  <w:style w:type="paragraph" w:styleId="Heading2">
    <w:name w:val="heading 2"/>
    <w:basedOn w:val="Normal"/>
    <w:next w:val="Normal"/>
    <w:link w:val="Heading2Char"/>
    <w:uiPriority w:val="9"/>
    <w:unhideWhenUsed/>
    <w:qFormat/>
    <w:rsid w:val="00EB7D51"/>
    <w:pPr>
      <w:keepNext/>
      <w:keepLines/>
      <w:spacing w:before="200"/>
      <w:outlineLvl w:val="1"/>
    </w:pPr>
    <w:rPr>
      <w:rFonts w:eastAsiaTheme="majorEastAsia" w:cstheme="majorBidi"/>
      <w:b/>
      <w:bCs/>
      <w:color w:val="auto"/>
      <w:sz w:val="26"/>
      <w:szCs w:val="26"/>
    </w:rPr>
  </w:style>
  <w:style w:type="paragraph" w:styleId="Heading3">
    <w:name w:val="heading 3"/>
    <w:basedOn w:val="Normal"/>
    <w:next w:val="Normal"/>
    <w:link w:val="Heading3Char"/>
    <w:uiPriority w:val="9"/>
    <w:unhideWhenUsed/>
    <w:qFormat/>
    <w:rsid w:val="0085226C"/>
    <w:pPr>
      <w:keepNext/>
      <w:keepLines/>
      <w:spacing w:before="200"/>
      <w:outlineLvl w:val="2"/>
    </w:pPr>
    <w:rPr>
      <w:rFonts w:eastAsiaTheme="majorEastAsia" w:cstheme="majorBidi"/>
      <w:b/>
      <w:bCs/>
      <w:color w:val="auto"/>
      <w:u w:val="single"/>
    </w:rPr>
  </w:style>
  <w:style w:type="paragraph" w:styleId="Heading4">
    <w:name w:val="heading 4"/>
    <w:basedOn w:val="Normal"/>
    <w:next w:val="Normal"/>
    <w:link w:val="Heading4Char"/>
    <w:uiPriority w:val="9"/>
    <w:unhideWhenUsed/>
    <w:qFormat/>
    <w:rsid w:val="003C6A24"/>
    <w:pPr>
      <w:keepNext/>
      <w:keepLines/>
      <w:spacing w:before="200"/>
      <w:outlineLvl w:val="3"/>
    </w:pPr>
    <w:rPr>
      <w:rFonts w:eastAsiaTheme="majorEastAsia" w:cstheme="majorBidi"/>
      <w:b/>
      <w:bCs/>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D51"/>
    <w:rPr>
      <w:rFonts w:ascii="Times New Roman" w:eastAsia="Times New Roman" w:hAnsi="Times New Roman" w:cs="Times New Roman"/>
      <w:b/>
      <w:bCs/>
      <w:color w:val="383838"/>
      <w:kern w:val="36"/>
      <w:sz w:val="48"/>
      <w:szCs w:val="48"/>
    </w:rPr>
  </w:style>
  <w:style w:type="character" w:styleId="Strong">
    <w:name w:val="Strong"/>
    <w:basedOn w:val="DefaultParagraphFont"/>
    <w:uiPriority w:val="22"/>
    <w:qFormat/>
    <w:rsid w:val="007052DE"/>
    <w:rPr>
      <w:b/>
      <w:bCs/>
    </w:rPr>
  </w:style>
  <w:style w:type="character" w:customStyle="1" w:styleId="apple-converted-space">
    <w:name w:val="apple-converted-space"/>
    <w:basedOn w:val="DefaultParagraphFont"/>
    <w:rsid w:val="007052DE"/>
  </w:style>
  <w:style w:type="character" w:styleId="Emphasis">
    <w:name w:val="Emphasis"/>
    <w:basedOn w:val="DefaultParagraphFont"/>
    <w:uiPriority w:val="20"/>
    <w:qFormat/>
    <w:rsid w:val="007052DE"/>
    <w:rPr>
      <w:i/>
      <w:iCs/>
    </w:rPr>
  </w:style>
  <w:style w:type="paragraph" w:styleId="Header">
    <w:name w:val="header"/>
    <w:basedOn w:val="Normal"/>
    <w:link w:val="HeaderChar"/>
    <w:uiPriority w:val="99"/>
    <w:semiHidden/>
    <w:unhideWhenUsed/>
    <w:rsid w:val="007865E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865E5"/>
  </w:style>
  <w:style w:type="paragraph" w:styleId="Footer">
    <w:name w:val="footer"/>
    <w:basedOn w:val="Normal"/>
    <w:link w:val="FooterChar"/>
    <w:uiPriority w:val="99"/>
    <w:unhideWhenUsed/>
    <w:rsid w:val="007865E5"/>
    <w:pPr>
      <w:tabs>
        <w:tab w:val="center" w:pos="4680"/>
        <w:tab w:val="right" w:pos="9360"/>
      </w:tabs>
      <w:spacing w:line="240" w:lineRule="auto"/>
    </w:pPr>
  </w:style>
  <w:style w:type="character" w:customStyle="1" w:styleId="FooterChar">
    <w:name w:val="Footer Char"/>
    <w:basedOn w:val="DefaultParagraphFont"/>
    <w:link w:val="Footer"/>
    <w:uiPriority w:val="99"/>
    <w:rsid w:val="007865E5"/>
  </w:style>
  <w:style w:type="paragraph" w:styleId="NormalWeb">
    <w:name w:val="Normal (Web)"/>
    <w:basedOn w:val="Normal"/>
    <w:uiPriority w:val="99"/>
    <w:unhideWhenUsed/>
    <w:rsid w:val="007865E5"/>
    <w:pPr>
      <w:spacing w:before="100" w:beforeAutospacing="1" w:after="100" w:afterAutospacing="1" w:line="240" w:lineRule="auto"/>
    </w:pPr>
    <w:rPr>
      <w:rFonts w:cs="Times New Roman"/>
      <w:szCs w:val="24"/>
    </w:rPr>
  </w:style>
  <w:style w:type="paragraph" w:customStyle="1" w:styleId="AuthorsFull">
    <w:name w:val="Authors Full"/>
    <w:basedOn w:val="Normal"/>
    <w:rsid w:val="007865E5"/>
    <w:pPr>
      <w:spacing w:line="240" w:lineRule="auto"/>
    </w:pPr>
    <w:rPr>
      <w:rFonts w:eastAsia="MS Mincho" w:cs="Times New Roman"/>
      <w:i/>
      <w:szCs w:val="24"/>
      <w:lang w:eastAsia="ja-JP"/>
    </w:rPr>
  </w:style>
  <w:style w:type="paragraph" w:customStyle="1" w:styleId="Addresses">
    <w:name w:val="Addresses"/>
    <w:basedOn w:val="Normal"/>
    <w:rsid w:val="007865E5"/>
    <w:pPr>
      <w:spacing w:line="240" w:lineRule="auto"/>
    </w:pPr>
    <w:rPr>
      <w:rFonts w:eastAsia="MS Mincho" w:cs="Times New Roman"/>
      <w:szCs w:val="24"/>
      <w:lang w:eastAsia="ja-JP"/>
    </w:rPr>
  </w:style>
  <w:style w:type="paragraph" w:styleId="BalloonText">
    <w:name w:val="Balloon Text"/>
    <w:basedOn w:val="Normal"/>
    <w:link w:val="BalloonTextChar"/>
    <w:uiPriority w:val="99"/>
    <w:semiHidden/>
    <w:unhideWhenUsed/>
    <w:rsid w:val="00D951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109"/>
    <w:rPr>
      <w:rFonts w:ascii="Tahoma" w:hAnsi="Tahoma" w:cs="Tahoma"/>
      <w:sz w:val="16"/>
      <w:szCs w:val="16"/>
    </w:rPr>
  </w:style>
  <w:style w:type="paragraph" w:styleId="Title">
    <w:name w:val="Title"/>
    <w:basedOn w:val="Normal"/>
    <w:next w:val="Normal"/>
    <w:link w:val="TitleChar"/>
    <w:uiPriority w:val="10"/>
    <w:qFormat/>
    <w:rsid w:val="00EB7D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7D5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B7D51"/>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85226C"/>
    <w:rPr>
      <w:rFonts w:ascii="Times New Roman" w:eastAsiaTheme="majorEastAsia" w:hAnsi="Times New Roman" w:cstheme="majorBidi"/>
      <w:b/>
      <w:bCs/>
      <w:u w:val="single"/>
    </w:rPr>
  </w:style>
  <w:style w:type="character" w:styleId="CommentReference">
    <w:name w:val="annotation reference"/>
    <w:basedOn w:val="DefaultParagraphFont"/>
    <w:uiPriority w:val="99"/>
    <w:semiHidden/>
    <w:unhideWhenUsed/>
    <w:rsid w:val="003C6A24"/>
    <w:rPr>
      <w:sz w:val="16"/>
      <w:szCs w:val="16"/>
    </w:rPr>
  </w:style>
  <w:style w:type="paragraph" w:styleId="CommentText">
    <w:name w:val="annotation text"/>
    <w:basedOn w:val="Normal"/>
    <w:link w:val="CommentTextChar"/>
    <w:uiPriority w:val="99"/>
    <w:semiHidden/>
    <w:unhideWhenUsed/>
    <w:rsid w:val="003C6A24"/>
    <w:pPr>
      <w:spacing w:after="200" w:line="240" w:lineRule="auto"/>
      <w:jc w:val="left"/>
    </w:pPr>
    <w:rPr>
      <w:rFonts w:eastAsiaTheme="minorEastAsia" w:cstheme="minorBidi"/>
      <w:color w:val="auto"/>
      <w:sz w:val="20"/>
      <w:szCs w:val="20"/>
      <w:lang w:eastAsia="zh-CN"/>
    </w:rPr>
  </w:style>
  <w:style w:type="character" w:customStyle="1" w:styleId="CommentTextChar">
    <w:name w:val="Comment Text Char"/>
    <w:basedOn w:val="DefaultParagraphFont"/>
    <w:link w:val="CommentText"/>
    <w:uiPriority w:val="99"/>
    <w:semiHidden/>
    <w:rsid w:val="003C6A24"/>
    <w:rPr>
      <w:rFonts w:ascii="Times New Roman" w:hAnsi="Times New Roman"/>
      <w:sz w:val="20"/>
      <w:szCs w:val="20"/>
      <w:lang w:eastAsia="zh-CN"/>
    </w:rPr>
  </w:style>
  <w:style w:type="character" w:customStyle="1" w:styleId="Heading4Char">
    <w:name w:val="Heading 4 Char"/>
    <w:basedOn w:val="DefaultParagraphFont"/>
    <w:link w:val="Heading4"/>
    <w:uiPriority w:val="9"/>
    <w:rsid w:val="003C6A24"/>
    <w:rPr>
      <w:rFonts w:ascii="Times New Roman" w:eastAsiaTheme="majorEastAsia" w:hAnsi="Times New Roman" w:cstheme="majorBidi"/>
      <w:b/>
      <w:bCs/>
      <w:i/>
      <w:iCs/>
    </w:rPr>
  </w:style>
  <w:style w:type="paragraph" w:styleId="CommentSubject">
    <w:name w:val="annotation subject"/>
    <w:basedOn w:val="CommentText"/>
    <w:next w:val="CommentText"/>
    <w:link w:val="CommentSubjectChar"/>
    <w:uiPriority w:val="99"/>
    <w:semiHidden/>
    <w:unhideWhenUsed/>
    <w:rsid w:val="00705EFE"/>
    <w:pPr>
      <w:spacing w:after="0"/>
      <w:jc w:val="both"/>
    </w:pPr>
    <w:rPr>
      <w:rFonts w:eastAsia="Times New Roman" w:cs="Arial"/>
      <w:b/>
      <w:bCs/>
      <w:color w:val="383838"/>
      <w:lang w:eastAsia="en-US"/>
    </w:rPr>
  </w:style>
  <w:style w:type="character" w:customStyle="1" w:styleId="CommentSubjectChar">
    <w:name w:val="Comment Subject Char"/>
    <w:basedOn w:val="CommentTextChar"/>
    <w:link w:val="CommentSubject"/>
    <w:uiPriority w:val="99"/>
    <w:semiHidden/>
    <w:rsid w:val="00705EFE"/>
    <w:rPr>
      <w:rFonts w:ascii="Times New Roman" w:eastAsia="Times New Roman" w:hAnsi="Times New Roman" w:cs="Arial"/>
      <w:b/>
      <w:bCs/>
      <w:color w:val="383838"/>
      <w:sz w:val="20"/>
      <w:szCs w:val="20"/>
      <w:lang w:eastAsia="zh-CN"/>
    </w:rPr>
  </w:style>
  <w:style w:type="paragraph" w:customStyle="1" w:styleId="xmsonormal">
    <w:name w:val="x_msonormal"/>
    <w:basedOn w:val="Normal"/>
    <w:rsid w:val="0020499F"/>
    <w:pPr>
      <w:spacing w:before="100" w:beforeAutospacing="1" w:after="100" w:afterAutospacing="1" w:line="240" w:lineRule="auto"/>
      <w:jc w:val="left"/>
    </w:pPr>
    <w:rPr>
      <w:rFonts w:cs="Times New Roman"/>
      <w:color w:val="auto"/>
      <w:szCs w:val="24"/>
      <w:lang w:val="en-SG" w:eastAsia="en-SG"/>
    </w:rPr>
  </w:style>
  <w:style w:type="paragraph" w:styleId="Subtitle">
    <w:name w:val="Subtitle"/>
    <w:basedOn w:val="Normal"/>
    <w:next w:val="Normal"/>
    <w:link w:val="SubtitleChar"/>
    <w:uiPriority w:val="11"/>
    <w:qFormat/>
    <w:rsid w:val="00955921"/>
    <w:pPr>
      <w:numPr>
        <w:ilvl w:val="1"/>
      </w:numPr>
      <w:spacing w:after="160"/>
    </w:pPr>
    <w:rPr>
      <w:rFonts w:eastAsiaTheme="minorEastAsia" w:cstheme="minorBidi"/>
      <w:color w:val="auto"/>
      <w:spacing w:val="15"/>
      <w:sz w:val="22"/>
    </w:rPr>
  </w:style>
  <w:style w:type="character" w:customStyle="1" w:styleId="SubtitleChar">
    <w:name w:val="Subtitle Char"/>
    <w:basedOn w:val="DefaultParagraphFont"/>
    <w:link w:val="Subtitle"/>
    <w:uiPriority w:val="11"/>
    <w:rsid w:val="00955921"/>
    <w:rPr>
      <w:rFonts w:ascii="Times New Roman" w:hAnsi="Times New Roman"/>
      <w:spacing w:val="15"/>
    </w:rPr>
  </w:style>
  <w:style w:type="paragraph" w:styleId="Revision">
    <w:name w:val="Revision"/>
    <w:hidden/>
    <w:uiPriority w:val="99"/>
    <w:semiHidden/>
    <w:rsid w:val="000C15DF"/>
    <w:pPr>
      <w:spacing w:after="0" w:line="240" w:lineRule="auto"/>
    </w:pPr>
    <w:rPr>
      <w:rFonts w:ascii="Times New Roman" w:eastAsia="Times New Roman" w:hAnsi="Times New Roman" w:cs="Arial"/>
      <w:color w:val="383838"/>
      <w:sz w:val="24"/>
    </w:rPr>
  </w:style>
  <w:style w:type="paragraph" w:styleId="Caption">
    <w:name w:val="caption"/>
    <w:basedOn w:val="Normal"/>
    <w:next w:val="Normal"/>
    <w:uiPriority w:val="35"/>
    <w:unhideWhenUsed/>
    <w:qFormat/>
    <w:rsid w:val="008F3BD9"/>
    <w:pPr>
      <w:spacing w:after="200" w:line="240" w:lineRule="auto"/>
    </w:pPr>
    <w:rPr>
      <w:b/>
      <w:bCs/>
      <w:color w:val="auto"/>
      <w:sz w:val="18"/>
      <w:szCs w:val="18"/>
    </w:rPr>
  </w:style>
  <w:style w:type="paragraph" w:styleId="ListParagraph">
    <w:name w:val="List Paragraph"/>
    <w:basedOn w:val="Normal"/>
    <w:uiPriority w:val="34"/>
    <w:qFormat/>
    <w:rsid w:val="00542C41"/>
    <w:pPr>
      <w:ind w:left="720"/>
      <w:contextualSpacing/>
    </w:pPr>
  </w:style>
  <w:style w:type="paragraph" w:customStyle="1" w:styleId="Source">
    <w:name w:val="Source"/>
    <w:basedOn w:val="Normal"/>
    <w:link w:val="SourceChar"/>
    <w:rsid w:val="006430EE"/>
    <w:pPr>
      <w:spacing w:line="264" w:lineRule="auto"/>
      <w:ind w:left="360" w:hanging="360"/>
    </w:pPr>
    <w:rPr>
      <w:rFonts w:cs="Times New Roman"/>
      <w:color w:val="auto"/>
      <w:sz w:val="19"/>
      <w:szCs w:val="20"/>
    </w:rPr>
  </w:style>
  <w:style w:type="character" w:customStyle="1" w:styleId="SourceChar">
    <w:name w:val="Source Char"/>
    <w:link w:val="Source"/>
    <w:rsid w:val="006430EE"/>
    <w:rPr>
      <w:rFonts w:ascii="Times New Roman" w:eastAsia="Times New Roman" w:hAnsi="Times New Roman" w:cs="Times New Roman"/>
      <w:sz w:val="19"/>
      <w:szCs w:val="20"/>
    </w:rPr>
  </w:style>
  <w:style w:type="character" w:customStyle="1" w:styleId="font351">
    <w:name w:val="font351"/>
    <w:basedOn w:val="DefaultParagraphFont"/>
    <w:rsid w:val="009662FD"/>
    <w:rPr>
      <w:rFonts w:ascii="Times New Roman" w:hAnsi="Times New Roman" w:cs="Times New Roman" w:hint="default"/>
      <w:b w:val="0"/>
      <w:bCs w:val="0"/>
      <w:i/>
      <w:iCs/>
      <w:strike w:val="0"/>
      <w:dstrike w:val="0"/>
      <w:color w:val="auto"/>
      <w:sz w:val="24"/>
      <w:szCs w:val="24"/>
      <w:u w:val="none"/>
      <w:effect w:val="none"/>
    </w:rPr>
  </w:style>
  <w:style w:type="character" w:customStyle="1" w:styleId="font341">
    <w:name w:val="font341"/>
    <w:basedOn w:val="DefaultParagraphFont"/>
    <w:rsid w:val="009662FD"/>
    <w:rPr>
      <w:rFonts w:ascii="Times New Roman" w:hAnsi="Times New Roman" w:cs="Times New Roman" w:hint="default"/>
      <w:b w:val="0"/>
      <w:bCs w:val="0"/>
      <w:i w:val="0"/>
      <w:iCs w:val="0"/>
      <w:strike w:val="0"/>
      <w:dstrike w:val="0"/>
      <w:color w:val="auto"/>
      <w:sz w:val="24"/>
      <w:szCs w:val="24"/>
      <w:u w:val="none"/>
      <w:effect w:val="none"/>
    </w:rPr>
  </w:style>
  <w:style w:type="table" w:styleId="LightShading-Accent1">
    <w:name w:val="Light Shading Accent 1"/>
    <w:basedOn w:val="TableNormal"/>
    <w:uiPriority w:val="60"/>
    <w:rsid w:val="0049304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156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89294">
      <w:bodyDiv w:val="1"/>
      <w:marLeft w:val="0"/>
      <w:marRight w:val="0"/>
      <w:marTop w:val="0"/>
      <w:marBottom w:val="0"/>
      <w:divBdr>
        <w:top w:val="none" w:sz="0" w:space="0" w:color="auto"/>
        <w:left w:val="none" w:sz="0" w:space="0" w:color="auto"/>
        <w:bottom w:val="none" w:sz="0" w:space="0" w:color="auto"/>
        <w:right w:val="none" w:sz="0" w:space="0" w:color="auto"/>
      </w:divBdr>
      <w:divsChild>
        <w:div w:id="1033337043">
          <w:marLeft w:val="0"/>
          <w:marRight w:val="0"/>
          <w:marTop w:val="0"/>
          <w:marBottom w:val="0"/>
          <w:divBdr>
            <w:top w:val="none" w:sz="0" w:space="0" w:color="auto"/>
            <w:left w:val="none" w:sz="0" w:space="0" w:color="auto"/>
            <w:bottom w:val="none" w:sz="0" w:space="0" w:color="auto"/>
            <w:right w:val="none" w:sz="0" w:space="0" w:color="auto"/>
          </w:divBdr>
        </w:div>
        <w:div w:id="2113667586">
          <w:marLeft w:val="0"/>
          <w:marRight w:val="0"/>
          <w:marTop w:val="0"/>
          <w:marBottom w:val="0"/>
          <w:divBdr>
            <w:top w:val="none" w:sz="0" w:space="0" w:color="auto"/>
            <w:left w:val="none" w:sz="0" w:space="0" w:color="auto"/>
            <w:bottom w:val="none" w:sz="0" w:space="0" w:color="auto"/>
            <w:right w:val="none" w:sz="0" w:space="0" w:color="auto"/>
          </w:divBdr>
          <w:divsChild>
            <w:div w:id="2016758019">
              <w:marLeft w:val="0"/>
              <w:marRight w:val="0"/>
              <w:marTop w:val="0"/>
              <w:marBottom w:val="0"/>
              <w:divBdr>
                <w:top w:val="none" w:sz="0" w:space="0" w:color="auto"/>
                <w:left w:val="none" w:sz="0" w:space="0" w:color="auto"/>
                <w:bottom w:val="none" w:sz="0" w:space="0" w:color="auto"/>
                <w:right w:val="none" w:sz="0" w:space="0" w:color="auto"/>
              </w:divBdr>
              <w:divsChild>
                <w:div w:id="2020814327">
                  <w:marLeft w:val="0"/>
                  <w:marRight w:val="0"/>
                  <w:marTop w:val="0"/>
                  <w:marBottom w:val="0"/>
                  <w:divBdr>
                    <w:top w:val="none" w:sz="0" w:space="0" w:color="auto"/>
                    <w:left w:val="none" w:sz="0" w:space="0" w:color="auto"/>
                    <w:bottom w:val="none" w:sz="0" w:space="0" w:color="auto"/>
                    <w:right w:val="none" w:sz="0" w:space="0" w:color="auto"/>
                  </w:divBdr>
                  <w:divsChild>
                    <w:div w:id="2005934626">
                      <w:marLeft w:val="0"/>
                      <w:marRight w:val="0"/>
                      <w:marTop w:val="0"/>
                      <w:marBottom w:val="0"/>
                      <w:divBdr>
                        <w:top w:val="none" w:sz="0" w:space="0" w:color="auto"/>
                        <w:left w:val="none" w:sz="0" w:space="0" w:color="auto"/>
                        <w:bottom w:val="none" w:sz="0" w:space="0" w:color="auto"/>
                        <w:right w:val="none" w:sz="0" w:space="0" w:color="auto"/>
                      </w:divBdr>
                      <w:divsChild>
                        <w:div w:id="1881820285">
                          <w:marLeft w:val="0"/>
                          <w:marRight w:val="0"/>
                          <w:marTop w:val="0"/>
                          <w:marBottom w:val="0"/>
                          <w:divBdr>
                            <w:top w:val="none" w:sz="0" w:space="0" w:color="auto"/>
                            <w:left w:val="none" w:sz="0" w:space="0" w:color="auto"/>
                            <w:bottom w:val="none" w:sz="0" w:space="0" w:color="auto"/>
                            <w:right w:val="none" w:sz="0" w:space="0" w:color="auto"/>
                          </w:divBdr>
                          <w:divsChild>
                            <w:div w:id="1104500621">
                              <w:marLeft w:val="0"/>
                              <w:marRight w:val="0"/>
                              <w:marTop w:val="0"/>
                              <w:marBottom w:val="0"/>
                              <w:divBdr>
                                <w:top w:val="none" w:sz="0" w:space="0" w:color="auto"/>
                                <w:left w:val="none" w:sz="0" w:space="0" w:color="auto"/>
                                <w:bottom w:val="none" w:sz="0" w:space="0" w:color="auto"/>
                                <w:right w:val="none" w:sz="0" w:space="0" w:color="auto"/>
                              </w:divBdr>
                              <w:divsChild>
                                <w:div w:id="429394407">
                                  <w:marLeft w:val="0"/>
                                  <w:marRight w:val="0"/>
                                  <w:marTop w:val="0"/>
                                  <w:marBottom w:val="0"/>
                                  <w:divBdr>
                                    <w:top w:val="none" w:sz="0" w:space="0" w:color="auto"/>
                                    <w:left w:val="none" w:sz="0" w:space="0" w:color="auto"/>
                                    <w:bottom w:val="none" w:sz="0" w:space="0" w:color="auto"/>
                                    <w:right w:val="none" w:sz="0" w:space="0" w:color="auto"/>
                                  </w:divBdr>
                                  <w:divsChild>
                                    <w:div w:id="192618299">
                                      <w:marLeft w:val="0"/>
                                      <w:marRight w:val="0"/>
                                      <w:marTop w:val="0"/>
                                      <w:marBottom w:val="0"/>
                                      <w:divBdr>
                                        <w:top w:val="none" w:sz="0" w:space="0" w:color="auto"/>
                                        <w:left w:val="none" w:sz="0" w:space="0" w:color="auto"/>
                                        <w:bottom w:val="none" w:sz="0" w:space="0" w:color="auto"/>
                                        <w:right w:val="none" w:sz="0" w:space="0" w:color="auto"/>
                                      </w:divBdr>
                                      <w:divsChild>
                                        <w:div w:id="19491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947659">
              <w:marLeft w:val="0"/>
              <w:marRight w:val="0"/>
              <w:marTop w:val="0"/>
              <w:marBottom w:val="0"/>
              <w:divBdr>
                <w:top w:val="none" w:sz="0" w:space="0" w:color="auto"/>
                <w:left w:val="none" w:sz="0" w:space="0" w:color="auto"/>
                <w:bottom w:val="none" w:sz="0" w:space="0" w:color="auto"/>
                <w:right w:val="none" w:sz="0" w:space="0" w:color="auto"/>
              </w:divBdr>
              <w:divsChild>
                <w:div w:id="5321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158711">
          <w:marLeft w:val="0"/>
          <w:marRight w:val="0"/>
          <w:marTop w:val="0"/>
          <w:marBottom w:val="0"/>
          <w:divBdr>
            <w:top w:val="none" w:sz="0" w:space="0" w:color="auto"/>
            <w:left w:val="none" w:sz="0" w:space="0" w:color="auto"/>
            <w:bottom w:val="none" w:sz="0" w:space="0" w:color="auto"/>
            <w:right w:val="none" w:sz="0" w:space="0" w:color="auto"/>
          </w:divBdr>
          <w:divsChild>
            <w:div w:id="1377386553">
              <w:marLeft w:val="0"/>
              <w:marRight w:val="0"/>
              <w:marTop w:val="0"/>
              <w:marBottom w:val="0"/>
              <w:divBdr>
                <w:top w:val="none" w:sz="0" w:space="0" w:color="auto"/>
                <w:left w:val="none" w:sz="0" w:space="0" w:color="auto"/>
                <w:bottom w:val="none" w:sz="0" w:space="0" w:color="auto"/>
                <w:right w:val="none" w:sz="0" w:space="0" w:color="auto"/>
              </w:divBdr>
              <w:divsChild>
                <w:div w:id="1179006662">
                  <w:marLeft w:val="0"/>
                  <w:marRight w:val="0"/>
                  <w:marTop w:val="0"/>
                  <w:marBottom w:val="0"/>
                  <w:divBdr>
                    <w:top w:val="none" w:sz="0" w:space="0" w:color="auto"/>
                    <w:left w:val="none" w:sz="0" w:space="0" w:color="auto"/>
                    <w:bottom w:val="none" w:sz="0" w:space="0" w:color="auto"/>
                    <w:right w:val="none" w:sz="0" w:space="0" w:color="auto"/>
                  </w:divBdr>
                  <w:divsChild>
                    <w:div w:id="1141733413">
                      <w:marLeft w:val="0"/>
                      <w:marRight w:val="0"/>
                      <w:marTop w:val="0"/>
                      <w:marBottom w:val="0"/>
                      <w:divBdr>
                        <w:top w:val="none" w:sz="0" w:space="0" w:color="auto"/>
                        <w:left w:val="none" w:sz="0" w:space="0" w:color="auto"/>
                        <w:bottom w:val="none" w:sz="0" w:space="0" w:color="auto"/>
                        <w:right w:val="none" w:sz="0" w:space="0" w:color="auto"/>
                      </w:divBdr>
                      <w:divsChild>
                        <w:div w:id="63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64193">
              <w:marLeft w:val="0"/>
              <w:marRight w:val="0"/>
              <w:marTop w:val="0"/>
              <w:marBottom w:val="0"/>
              <w:divBdr>
                <w:top w:val="none" w:sz="0" w:space="0" w:color="auto"/>
                <w:left w:val="none" w:sz="0" w:space="0" w:color="auto"/>
                <w:bottom w:val="none" w:sz="0" w:space="0" w:color="auto"/>
                <w:right w:val="none" w:sz="0" w:space="0" w:color="auto"/>
              </w:divBdr>
              <w:divsChild>
                <w:div w:id="1826506808">
                  <w:marLeft w:val="0"/>
                  <w:marRight w:val="0"/>
                  <w:marTop w:val="0"/>
                  <w:marBottom w:val="0"/>
                  <w:divBdr>
                    <w:top w:val="none" w:sz="0" w:space="0" w:color="auto"/>
                    <w:left w:val="none" w:sz="0" w:space="0" w:color="auto"/>
                    <w:bottom w:val="none" w:sz="0" w:space="0" w:color="auto"/>
                    <w:right w:val="none" w:sz="0" w:space="0" w:color="auto"/>
                  </w:divBdr>
                </w:div>
              </w:divsChild>
            </w:div>
            <w:div w:id="296838692">
              <w:marLeft w:val="0"/>
              <w:marRight w:val="0"/>
              <w:marTop w:val="0"/>
              <w:marBottom w:val="0"/>
              <w:divBdr>
                <w:top w:val="none" w:sz="0" w:space="0" w:color="auto"/>
                <w:left w:val="none" w:sz="0" w:space="0" w:color="auto"/>
                <w:bottom w:val="none" w:sz="0" w:space="0" w:color="auto"/>
                <w:right w:val="none" w:sz="0" w:space="0" w:color="auto"/>
              </w:divBdr>
              <w:divsChild>
                <w:div w:id="632297701">
                  <w:marLeft w:val="0"/>
                  <w:marRight w:val="0"/>
                  <w:marTop w:val="0"/>
                  <w:marBottom w:val="0"/>
                  <w:divBdr>
                    <w:top w:val="none" w:sz="0" w:space="0" w:color="auto"/>
                    <w:left w:val="none" w:sz="0" w:space="0" w:color="auto"/>
                    <w:bottom w:val="none" w:sz="0" w:space="0" w:color="auto"/>
                    <w:right w:val="none" w:sz="0" w:space="0" w:color="auto"/>
                  </w:divBdr>
                </w:div>
              </w:divsChild>
            </w:div>
            <w:div w:id="345987463">
              <w:marLeft w:val="0"/>
              <w:marRight w:val="0"/>
              <w:marTop w:val="0"/>
              <w:marBottom w:val="0"/>
              <w:divBdr>
                <w:top w:val="none" w:sz="0" w:space="0" w:color="auto"/>
                <w:left w:val="none" w:sz="0" w:space="0" w:color="auto"/>
                <w:bottom w:val="none" w:sz="0" w:space="0" w:color="auto"/>
                <w:right w:val="none" w:sz="0" w:space="0" w:color="auto"/>
              </w:divBdr>
            </w:div>
            <w:div w:id="435830989">
              <w:marLeft w:val="0"/>
              <w:marRight w:val="0"/>
              <w:marTop w:val="0"/>
              <w:marBottom w:val="0"/>
              <w:divBdr>
                <w:top w:val="none" w:sz="0" w:space="0" w:color="auto"/>
                <w:left w:val="none" w:sz="0" w:space="0" w:color="auto"/>
                <w:bottom w:val="none" w:sz="0" w:space="0" w:color="auto"/>
                <w:right w:val="none" w:sz="0" w:space="0" w:color="auto"/>
              </w:divBdr>
              <w:divsChild>
                <w:div w:id="653341957">
                  <w:marLeft w:val="0"/>
                  <w:marRight w:val="0"/>
                  <w:marTop w:val="0"/>
                  <w:marBottom w:val="0"/>
                  <w:divBdr>
                    <w:top w:val="none" w:sz="0" w:space="0" w:color="auto"/>
                    <w:left w:val="none" w:sz="0" w:space="0" w:color="auto"/>
                    <w:bottom w:val="none" w:sz="0" w:space="0" w:color="auto"/>
                    <w:right w:val="none" w:sz="0" w:space="0" w:color="auto"/>
                  </w:divBdr>
                </w:div>
                <w:div w:id="23104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61756">
          <w:marLeft w:val="0"/>
          <w:marRight w:val="0"/>
          <w:marTop w:val="0"/>
          <w:marBottom w:val="0"/>
          <w:divBdr>
            <w:top w:val="none" w:sz="0" w:space="0" w:color="auto"/>
            <w:left w:val="none" w:sz="0" w:space="0" w:color="auto"/>
            <w:bottom w:val="none" w:sz="0" w:space="0" w:color="auto"/>
            <w:right w:val="none" w:sz="0" w:space="0" w:color="auto"/>
          </w:divBdr>
        </w:div>
        <w:div w:id="332268493">
          <w:marLeft w:val="0"/>
          <w:marRight w:val="0"/>
          <w:marTop w:val="0"/>
          <w:marBottom w:val="0"/>
          <w:divBdr>
            <w:top w:val="none" w:sz="0" w:space="0" w:color="auto"/>
            <w:left w:val="none" w:sz="0" w:space="0" w:color="auto"/>
            <w:bottom w:val="none" w:sz="0" w:space="0" w:color="auto"/>
            <w:right w:val="none" w:sz="0" w:space="0" w:color="auto"/>
          </w:divBdr>
        </w:div>
        <w:div w:id="1195315360">
          <w:marLeft w:val="0"/>
          <w:marRight w:val="0"/>
          <w:marTop w:val="0"/>
          <w:marBottom w:val="0"/>
          <w:divBdr>
            <w:top w:val="none" w:sz="0" w:space="0" w:color="auto"/>
            <w:left w:val="none" w:sz="0" w:space="0" w:color="auto"/>
            <w:bottom w:val="none" w:sz="0" w:space="0" w:color="auto"/>
            <w:right w:val="none" w:sz="0" w:space="0" w:color="auto"/>
          </w:divBdr>
        </w:div>
        <w:div w:id="1283075679">
          <w:marLeft w:val="0"/>
          <w:marRight w:val="0"/>
          <w:marTop w:val="0"/>
          <w:marBottom w:val="0"/>
          <w:divBdr>
            <w:top w:val="none" w:sz="0" w:space="0" w:color="auto"/>
            <w:left w:val="none" w:sz="0" w:space="0" w:color="auto"/>
            <w:bottom w:val="none" w:sz="0" w:space="0" w:color="auto"/>
            <w:right w:val="none" w:sz="0" w:space="0" w:color="auto"/>
          </w:divBdr>
        </w:div>
        <w:div w:id="2112167378">
          <w:marLeft w:val="0"/>
          <w:marRight w:val="0"/>
          <w:marTop w:val="0"/>
          <w:marBottom w:val="0"/>
          <w:divBdr>
            <w:top w:val="none" w:sz="0" w:space="0" w:color="auto"/>
            <w:left w:val="none" w:sz="0" w:space="0" w:color="auto"/>
            <w:bottom w:val="none" w:sz="0" w:space="0" w:color="auto"/>
            <w:right w:val="none" w:sz="0" w:space="0" w:color="auto"/>
          </w:divBdr>
        </w:div>
        <w:div w:id="283733549">
          <w:marLeft w:val="0"/>
          <w:marRight w:val="0"/>
          <w:marTop w:val="0"/>
          <w:marBottom w:val="0"/>
          <w:divBdr>
            <w:top w:val="none" w:sz="0" w:space="0" w:color="auto"/>
            <w:left w:val="none" w:sz="0" w:space="0" w:color="auto"/>
            <w:bottom w:val="none" w:sz="0" w:space="0" w:color="auto"/>
            <w:right w:val="none" w:sz="0" w:space="0" w:color="auto"/>
          </w:divBdr>
          <w:divsChild>
            <w:div w:id="275795171">
              <w:marLeft w:val="0"/>
              <w:marRight w:val="0"/>
              <w:marTop w:val="0"/>
              <w:marBottom w:val="0"/>
              <w:divBdr>
                <w:top w:val="none" w:sz="0" w:space="0" w:color="auto"/>
                <w:left w:val="none" w:sz="0" w:space="0" w:color="auto"/>
                <w:bottom w:val="none" w:sz="0" w:space="0" w:color="auto"/>
                <w:right w:val="none" w:sz="0" w:space="0" w:color="auto"/>
              </w:divBdr>
            </w:div>
            <w:div w:id="1377585072">
              <w:marLeft w:val="0"/>
              <w:marRight w:val="0"/>
              <w:marTop w:val="0"/>
              <w:marBottom w:val="0"/>
              <w:divBdr>
                <w:top w:val="none" w:sz="0" w:space="0" w:color="auto"/>
                <w:left w:val="none" w:sz="0" w:space="0" w:color="auto"/>
                <w:bottom w:val="none" w:sz="0" w:space="0" w:color="auto"/>
                <w:right w:val="none" w:sz="0" w:space="0" w:color="auto"/>
              </w:divBdr>
            </w:div>
            <w:div w:id="1190535355">
              <w:marLeft w:val="0"/>
              <w:marRight w:val="0"/>
              <w:marTop w:val="0"/>
              <w:marBottom w:val="0"/>
              <w:divBdr>
                <w:top w:val="none" w:sz="0" w:space="0" w:color="auto"/>
                <w:left w:val="none" w:sz="0" w:space="0" w:color="auto"/>
                <w:bottom w:val="none" w:sz="0" w:space="0" w:color="auto"/>
                <w:right w:val="none" w:sz="0" w:space="0" w:color="auto"/>
              </w:divBdr>
            </w:div>
            <w:div w:id="907804942">
              <w:marLeft w:val="0"/>
              <w:marRight w:val="0"/>
              <w:marTop w:val="0"/>
              <w:marBottom w:val="0"/>
              <w:divBdr>
                <w:top w:val="none" w:sz="0" w:space="0" w:color="auto"/>
                <w:left w:val="none" w:sz="0" w:space="0" w:color="auto"/>
                <w:bottom w:val="none" w:sz="0" w:space="0" w:color="auto"/>
                <w:right w:val="none" w:sz="0" w:space="0" w:color="auto"/>
              </w:divBdr>
            </w:div>
            <w:div w:id="1824620061">
              <w:marLeft w:val="0"/>
              <w:marRight w:val="0"/>
              <w:marTop w:val="0"/>
              <w:marBottom w:val="0"/>
              <w:divBdr>
                <w:top w:val="none" w:sz="0" w:space="0" w:color="auto"/>
                <w:left w:val="none" w:sz="0" w:space="0" w:color="auto"/>
                <w:bottom w:val="none" w:sz="0" w:space="0" w:color="auto"/>
                <w:right w:val="none" w:sz="0" w:space="0" w:color="auto"/>
              </w:divBdr>
            </w:div>
            <w:div w:id="1310094691">
              <w:marLeft w:val="0"/>
              <w:marRight w:val="0"/>
              <w:marTop w:val="0"/>
              <w:marBottom w:val="0"/>
              <w:divBdr>
                <w:top w:val="none" w:sz="0" w:space="0" w:color="auto"/>
                <w:left w:val="none" w:sz="0" w:space="0" w:color="auto"/>
                <w:bottom w:val="none" w:sz="0" w:space="0" w:color="auto"/>
                <w:right w:val="none" w:sz="0" w:space="0" w:color="auto"/>
              </w:divBdr>
              <w:divsChild>
                <w:div w:id="1169439987">
                  <w:marLeft w:val="0"/>
                  <w:marRight w:val="0"/>
                  <w:marTop w:val="0"/>
                  <w:marBottom w:val="0"/>
                  <w:divBdr>
                    <w:top w:val="none" w:sz="0" w:space="0" w:color="auto"/>
                    <w:left w:val="none" w:sz="0" w:space="0" w:color="auto"/>
                    <w:bottom w:val="none" w:sz="0" w:space="0" w:color="auto"/>
                    <w:right w:val="none" w:sz="0" w:space="0" w:color="auto"/>
                  </w:divBdr>
                  <w:divsChild>
                    <w:div w:id="15331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01514">
              <w:marLeft w:val="0"/>
              <w:marRight w:val="0"/>
              <w:marTop w:val="0"/>
              <w:marBottom w:val="0"/>
              <w:divBdr>
                <w:top w:val="none" w:sz="0" w:space="0" w:color="auto"/>
                <w:left w:val="none" w:sz="0" w:space="0" w:color="auto"/>
                <w:bottom w:val="none" w:sz="0" w:space="0" w:color="auto"/>
                <w:right w:val="none" w:sz="0" w:space="0" w:color="auto"/>
              </w:divBdr>
            </w:div>
            <w:div w:id="1382636804">
              <w:marLeft w:val="0"/>
              <w:marRight w:val="0"/>
              <w:marTop w:val="0"/>
              <w:marBottom w:val="0"/>
              <w:divBdr>
                <w:top w:val="none" w:sz="0" w:space="0" w:color="auto"/>
                <w:left w:val="none" w:sz="0" w:space="0" w:color="auto"/>
                <w:bottom w:val="none" w:sz="0" w:space="0" w:color="auto"/>
                <w:right w:val="none" w:sz="0" w:space="0" w:color="auto"/>
              </w:divBdr>
              <w:divsChild>
                <w:div w:id="1861967895">
                  <w:marLeft w:val="0"/>
                  <w:marRight w:val="0"/>
                  <w:marTop w:val="0"/>
                  <w:marBottom w:val="0"/>
                  <w:divBdr>
                    <w:top w:val="none" w:sz="0" w:space="0" w:color="auto"/>
                    <w:left w:val="none" w:sz="0" w:space="0" w:color="auto"/>
                    <w:bottom w:val="none" w:sz="0" w:space="0" w:color="auto"/>
                    <w:right w:val="none" w:sz="0" w:space="0" w:color="auto"/>
                  </w:divBdr>
                </w:div>
                <w:div w:id="1724596533">
                  <w:marLeft w:val="0"/>
                  <w:marRight w:val="0"/>
                  <w:marTop w:val="0"/>
                  <w:marBottom w:val="0"/>
                  <w:divBdr>
                    <w:top w:val="none" w:sz="0" w:space="0" w:color="auto"/>
                    <w:left w:val="none" w:sz="0" w:space="0" w:color="auto"/>
                    <w:bottom w:val="none" w:sz="0" w:space="0" w:color="auto"/>
                    <w:right w:val="none" w:sz="0" w:space="0" w:color="auto"/>
                  </w:divBdr>
                </w:div>
                <w:div w:id="742528457">
                  <w:marLeft w:val="0"/>
                  <w:marRight w:val="0"/>
                  <w:marTop w:val="0"/>
                  <w:marBottom w:val="0"/>
                  <w:divBdr>
                    <w:top w:val="none" w:sz="0" w:space="0" w:color="auto"/>
                    <w:left w:val="none" w:sz="0" w:space="0" w:color="auto"/>
                    <w:bottom w:val="none" w:sz="0" w:space="0" w:color="auto"/>
                    <w:right w:val="none" w:sz="0" w:space="0" w:color="auto"/>
                  </w:divBdr>
                  <w:divsChild>
                    <w:div w:id="736706819">
                      <w:marLeft w:val="0"/>
                      <w:marRight w:val="0"/>
                      <w:marTop w:val="0"/>
                      <w:marBottom w:val="0"/>
                      <w:divBdr>
                        <w:top w:val="none" w:sz="0" w:space="0" w:color="auto"/>
                        <w:left w:val="none" w:sz="0" w:space="0" w:color="auto"/>
                        <w:bottom w:val="none" w:sz="0" w:space="0" w:color="auto"/>
                        <w:right w:val="none" w:sz="0" w:space="0" w:color="auto"/>
                      </w:divBdr>
                      <w:divsChild>
                        <w:div w:id="515926079">
                          <w:marLeft w:val="0"/>
                          <w:marRight w:val="0"/>
                          <w:marTop w:val="0"/>
                          <w:marBottom w:val="0"/>
                          <w:divBdr>
                            <w:top w:val="none" w:sz="0" w:space="0" w:color="auto"/>
                            <w:left w:val="none" w:sz="0" w:space="0" w:color="auto"/>
                            <w:bottom w:val="none" w:sz="0" w:space="0" w:color="auto"/>
                            <w:right w:val="none" w:sz="0" w:space="0" w:color="auto"/>
                          </w:divBdr>
                        </w:div>
                        <w:div w:id="172833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64444">
              <w:marLeft w:val="0"/>
              <w:marRight w:val="0"/>
              <w:marTop w:val="0"/>
              <w:marBottom w:val="0"/>
              <w:divBdr>
                <w:top w:val="none" w:sz="0" w:space="0" w:color="auto"/>
                <w:left w:val="none" w:sz="0" w:space="0" w:color="auto"/>
                <w:bottom w:val="none" w:sz="0" w:space="0" w:color="auto"/>
                <w:right w:val="none" w:sz="0" w:space="0" w:color="auto"/>
              </w:divBdr>
              <w:divsChild>
                <w:div w:id="88819169">
                  <w:marLeft w:val="0"/>
                  <w:marRight w:val="0"/>
                  <w:marTop w:val="0"/>
                  <w:marBottom w:val="0"/>
                  <w:divBdr>
                    <w:top w:val="none" w:sz="0" w:space="0" w:color="auto"/>
                    <w:left w:val="none" w:sz="0" w:space="0" w:color="auto"/>
                    <w:bottom w:val="none" w:sz="0" w:space="0" w:color="auto"/>
                    <w:right w:val="none" w:sz="0" w:space="0" w:color="auto"/>
                  </w:divBdr>
                </w:div>
                <w:div w:id="175466449">
                  <w:marLeft w:val="0"/>
                  <w:marRight w:val="0"/>
                  <w:marTop w:val="0"/>
                  <w:marBottom w:val="0"/>
                  <w:divBdr>
                    <w:top w:val="none" w:sz="0" w:space="0" w:color="auto"/>
                    <w:left w:val="none" w:sz="0" w:space="0" w:color="auto"/>
                    <w:bottom w:val="none" w:sz="0" w:space="0" w:color="auto"/>
                    <w:right w:val="none" w:sz="0" w:space="0" w:color="auto"/>
                  </w:divBdr>
                  <w:divsChild>
                    <w:div w:id="1797869761">
                      <w:marLeft w:val="0"/>
                      <w:marRight w:val="0"/>
                      <w:marTop w:val="0"/>
                      <w:marBottom w:val="0"/>
                      <w:divBdr>
                        <w:top w:val="none" w:sz="0" w:space="0" w:color="auto"/>
                        <w:left w:val="none" w:sz="0" w:space="0" w:color="auto"/>
                        <w:bottom w:val="none" w:sz="0" w:space="0" w:color="auto"/>
                        <w:right w:val="none" w:sz="0" w:space="0" w:color="auto"/>
                      </w:divBdr>
                    </w:div>
                  </w:divsChild>
                </w:div>
                <w:div w:id="1948387321">
                  <w:marLeft w:val="0"/>
                  <w:marRight w:val="0"/>
                  <w:marTop w:val="0"/>
                  <w:marBottom w:val="0"/>
                  <w:divBdr>
                    <w:top w:val="none" w:sz="0" w:space="0" w:color="auto"/>
                    <w:left w:val="none" w:sz="0" w:space="0" w:color="auto"/>
                    <w:bottom w:val="none" w:sz="0" w:space="0" w:color="auto"/>
                    <w:right w:val="none" w:sz="0" w:space="0" w:color="auto"/>
                  </w:divBdr>
                </w:div>
              </w:divsChild>
            </w:div>
            <w:div w:id="754395784">
              <w:marLeft w:val="0"/>
              <w:marRight w:val="0"/>
              <w:marTop w:val="0"/>
              <w:marBottom w:val="0"/>
              <w:divBdr>
                <w:top w:val="none" w:sz="0" w:space="0" w:color="auto"/>
                <w:left w:val="none" w:sz="0" w:space="0" w:color="auto"/>
                <w:bottom w:val="none" w:sz="0" w:space="0" w:color="auto"/>
                <w:right w:val="none" w:sz="0" w:space="0" w:color="auto"/>
              </w:divBdr>
            </w:div>
            <w:div w:id="1439056905">
              <w:marLeft w:val="0"/>
              <w:marRight w:val="0"/>
              <w:marTop w:val="0"/>
              <w:marBottom w:val="0"/>
              <w:divBdr>
                <w:top w:val="none" w:sz="0" w:space="0" w:color="auto"/>
                <w:left w:val="none" w:sz="0" w:space="0" w:color="auto"/>
                <w:bottom w:val="none" w:sz="0" w:space="0" w:color="auto"/>
                <w:right w:val="none" w:sz="0" w:space="0" w:color="auto"/>
              </w:divBdr>
              <w:divsChild>
                <w:div w:id="786895962">
                  <w:marLeft w:val="0"/>
                  <w:marRight w:val="0"/>
                  <w:marTop w:val="0"/>
                  <w:marBottom w:val="0"/>
                  <w:divBdr>
                    <w:top w:val="none" w:sz="0" w:space="0" w:color="auto"/>
                    <w:left w:val="none" w:sz="0" w:space="0" w:color="auto"/>
                    <w:bottom w:val="none" w:sz="0" w:space="0" w:color="auto"/>
                    <w:right w:val="none" w:sz="0" w:space="0" w:color="auto"/>
                  </w:divBdr>
                </w:div>
              </w:divsChild>
            </w:div>
            <w:div w:id="1013914950">
              <w:marLeft w:val="0"/>
              <w:marRight w:val="0"/>
              <w:marTop w:val="0"/>
              <w:marBottom w:val="0"/>
              <w:divBdr>
                <w:top w:val="none" w:sz="0" w:space="0" w:color="auto"/>
                <w:left w:val="none" w:sz="0" w:space="0" w:color="auto"/>
                <w:bottom w:val="none" w:sz="0" w:space="0" w:color="auto"/>
                <w:right w:val="none" w:sz="0" w:space="0" w:color="auto"/>
              </w:divBdr>
              <w:divsChild>
                <w:div w:id="771359547">
                  <w:marLeft w:val="0"/>
                  <w:marRight w:val="0"/>
                  <w:marTop w:val="0"/>
                  <w:marBottom w:val="0"/>
                  <w:divBdr>
                    <w:top w:val="none" w:sz="0" w:space="0" w:color="auto"/>
                    <w:left w:val="none" w:sz="0" w:space="0" w:color="auto"/>
                    <w:bottom w:val="none" w:sz="0" w:space="0" w:color="auto"/>
                    <w:right w:val="none" w:sz="0" w:space="0" w:color="auto"/>
                  </w:divBdr>
                </w:div>
                <w:div w:id="1477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65">
          <w:marLeft w:val="0"/>
          <w:marRight w:val="0"/>
          <w:marTop w:val="0"/>
          <w:marBottom w:val="0"/>
          <w:divBdr>
            <w:top w:val="none" w:sz="0" w:space="0" w:color="auto"/>
            <w:left w:val="none" w:sz="0" w:space="0" w:color="auto"/>
            <w:bottom w:val="none" w:sz="0" w:space="0" w:color="auto"/>
            <w:right w:val="none" w:sz="0" w:space="0" w:color="auto"/>
          </w:divBdr>
        </w:div>
        <w:div w:id="591013762">
          <w:marLeft w:val="0"/>
          <w:marRight w:val="0"/>
          <w:marTop w:val="0"/>
          <w:marBottom w:val="0"/>
          <w:divBdr>
            <w:top w:val="none" w:sz="0" w:space="0" w:color="auto"/>
            <w:left w:val="none" w:sz="0" w:space="0" w:color="auto"/>
            <w:bottom w:val="none" w:sz="0" w:space="0" w:color="auto"/>
            <w:right w:val="none" w:sz="0" w:space="0" w:color="auto"/>
          </w:divBdr>
        </w:div>
        <w:div w:id="1208957091">
          <w:marLeft w:val="0"/>
          <w:marRight w:val="0"/>
          <w:marTop w:val="0"/>
          <w:marBottom w:val="0"/>
          <w:divBdr>
            <w:top w:val="none" w:sz="0" w:space="0" w:color="auto"/>
            <w:left w:val="none" w:sz="0" w:space="0" w:color="auto"/>
            <w:bottom w:val="none" w:sz="0" w:space="0" w:color="auto"/>
            <w:right w:val="none" w:sz="0" w:space="0" w:color="auto"/>
          </w:divBdr>
        </w:div>
        <w:div w:id="614947763">
          <w:marLeft w:val="0"/>
          <w:marRight w:val="0"/>
          <w:marTop w:val="0"/>
          <w:marBottom w:val="0"/>
          <w:divBdr>
            <w:top w:val="none" w:sz="0" w:space="0" w:color="auto"/>
            <w:left w:val="none" w:sz="0" w:space="0" w:color="auto"/>
            <w:bottom w:val="none" w:sz="0" w:space="0" w:color="auto"/>
            <w:right w:val="none" w:sz="0" w:space="0" w:color="auto"/>
          </w:divBdr>
          <w:divsChild>
            <w:div w:id="1759400978">
              <w:marLeft w:val="0"/>
              <w:marRight w:val="0"/>
              <w:marTop w:val="0"/>
              <w:marBottom w:val="0"/>
              <w:divBdr>
                <w:top w:val="none" w:sz="0" w:space="0" w:color="auto"/>
                <w:left w:val="none" w:sz="0" w:space="0" w:color="auto"/>
                <w:bottom w:val="none" w:sz="0" w:space="0" w:color="auto"/>
                <w:right w:val="none" w:sz="0" w:space="0" w:color="auto"/>
              </w:divBdr>
            </w:div>
            <w:div w:id="1433087870">
              <w:marLeft w:val="0"/>
              <w:marRight w:val="0"/>
              <w:marTop w:val="0"/>
              <w:marBottom w:val="0"/>
              <w:divBdr>
                <w:top w:val="none" w:sz="0" w:space="0" w:color="auto"/>
                <w:left w:val="none" w:sz="0" w:space="0" w:color="auto"/>
                <w:bottom w:val="none" w:sz="0" w:space="0" w:color="auto"/>
                <w:right w:val="none" w:sz="0" w:space="0" w:color="auto"/>
              </w:divBdr>
            </w:div>
            <w:div w:id="1569999797">
              <w:marLeft w:val="0"/>
              <w:marRight w:val="0"/>
              <w:marTop w:val="0"/>
              <w:marBottom w:val="0"/>
              <w:divBdr>
                <w:top w:val="none" w:sz="0" w:space="0" w:color="auto"/>
                <w:left w:val="none" w:sz="0" w:space="0" w:color="auto"/>
                <w:bottom w:val="none" w:sz="0" w:space="0" w:color="auto"/>
                <w:right w:val="none" w:sz="0" w:space="0" w:color="auto"/>
              </w:divBdr>
              <w:divsChild>
                <w:div w:id="328022094">
                  <w:marLeft w:val="0"/>
                  <w:marRight w:val="0"/>
                  <w:marTop w:val="0"/>
                  <w:marBottom w:val="0"/>
                  <w:divBdr>
                    <w:top w:val="none" w:sz="0" w:space="0" w:color="auto"/>
                    <w:left w:val="none" w:sz="0" w:space="0" w:color="auto"/>
                    <w:bottom w:val="none" w:sz="0" w:space="0" w:color="auto"/>
                    <w:right w:val="none" w:sz="0" w:space="0" w:color="auto"/>
                  </w:divBdr>
                </w:div>
                <w:div w:id="395520259">
                  <w:marLeft w:val="0"/>
                  <w:marRight w:val="0"/>
                  <w:marTop w:val="0"/>
                  <w:marBottom w:val="0"/>
                  <w:divBdr>
                    <w:top w:val="none" w:sz="0" w:space="0" w:color="auto"/>
                    <w:left w:val="none" w:sz="0" w:space="0" w:color="auto"/>
                    <w:bottom w:val="none" w:sz="0" w:space="0" w:color="auto"/>
                    <w:right w:val="none" w:sz="0" w:space="0" w:color="auto"/>
                  </w:divBdr>
                </w:div>
              </w:divsChild>
            </w:div>
            <w:div w:id="1481266720">
              <w:marLeft w:val="0"/>
              <w:marRight w:val="0"/>
              <w:marTop w:val="0"/>
              <w:marBottom w:val="0"/>
              <w:divBdr>
                <w:top w:val="none" w:sz="0" w:space="0" w:color="auto"/>
                <w:left w:val="none" w:sz="0" w:space="0" w:color="auto"/>
                <w:bottom w:val="none" w:sz="0" w:space="0" w:color="auto"/>
                <w:right w:val="none" w:sz="0" w:space="0" w:color="auto"/>
              </w:divBdr>
              <w:divsChild>
                <w:div w:id="1002584107">
                  <w:marLeft w:val="0"/>
                  <w:marRight w:val="0"/>
                  <w:marTop w:val="0"/>
                  <w:marBottom w:val="0"/>
                  <w:divBdr>
                    <w:top w:val="none" w:sz="0" w:space="0" w:color="auto"/>
                    <w:left w:val="none" w:sz="0" w:space="0" w:color="auto"/>
                    <w:bottom w:val="none" w:sz="0" w:space="0" w:color="auto"/>
                    <w:right w:val="none" w:sz="0" w:space="0" w:color="auto"/>
                  </w:divBdr>
                  <w:divsChild>
                    <w:div w:id="18037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0314">
              <w:marLeft w:val="0"/>
              <w:marRight w:val="0"/>
              <w:marTop w:val="0"/>
              <w:marBottom w:val="0"/>
              <w:divBdr>
                <w:top w:val="none" w:sz="0" w:space="0" w:color="auto"/>
                <w:left w:val="none" w:sz="0" w:space="0" w:color="auto"/>
                <w:bottom w:val="none" w:sz="0" w:space="0" w:color="auto"/>
                <w:right w:val="none" w:sz="0" w:space="0" w:color="auto"/>
              </w:divBdr>
            </w:div>
          </w:divsChild>
        </w:div>
        <w:div w:id="1754742603">
          <w:marLeft w:val="0"/>
          <w:marRight w:val="0"/>
          <w:marTop w:val="0"/>
          <w:marBottom w:val="0"/>
          <w:divBdr>
            <w:top w:val="none" w:sz="0" w:space="0" w:color="auto"/>
            <w:left w:val="none" w:sz="0" w:space="0" w:color="auto"/>
            <w:bottom w:val="none" w:sz="0" w:space="0" w:color="auto"/>
            <w:right w:val="none" w:sz="0" w:space="0" w:color="auto"/>
          </w:divBdr>
          <w:divsChild>
            <w:div w:id="172959864">
              <w:marLeft w:val="0"/>
              <w:marRight w:val="0"/>
              <w:marTop w:val="0"/>
              <w:marBottom w:val="0"/>
              <w:divBdr>
                <w:top w:val="none" w:sz="0" w:space="0" w:color="auto"/>
                <w:left w:val="none" w:sz="0" w:space="0" w:color="auto"/>
                <w:bottom w:val="none" w:sz="0" w:space="0" w:color="auto"/>
                <w:right w:val="none" w:sz="0" w:space="0" w:color="auto"/>
              </w:divBdr>
            </w:div>
            <w:div w:id="665088694">
              <w:marLeft w:val="0"/>
              <w:marRight w:val="0"/>
              <w:marTop w:val="0"/>
              <w:marBottom w:val="0"/>
              <w:divBdr>
                <w:top w:val="none" w:sz="0" w:space="0" w:color="auto"/>
                <w:left w:val="none" w:sz="0" w:space="0" w:color="auto"/>
                <w:bottom w:val="none" w:sz="0" w:space="0" w:color="auto"/>
                <w:right w:val="none" w:sz="0" w:space="0" w:color="auto"/>
              </w:divBdr>
            </w:div>
          </w:divsChild>
        </w:div>
        <w:div w:id="830414853">
          <w:marLeft w:val="0"/>
          <w:marRight w:val="0"/>
          <w:marTop w:val="0"/>
          <w:marBottom w:val="0"/>
          <w:divBdr>
            <w:top w:val="none" w:sz="0" w:space="0" w:color="auto"/>
            <w:left w:val="none" w:sz="0" w:space="0" w:color="auto"/>
            <w:bottom w:val="none" w:sz="0" w:space="0" w:color="auto"/>
            <w:right w:val="none" w:sz="0" w:space="0" w:color="auto"/>
          </w:divBdr>
        </w:div>
        <w:div w:id="2130858566">
          <w:marLeft w:val="0"/>
          <w:marRight w:val="0"/>
          <w:marTop w:val="0"/>
          <w:marBottom w:val="0"/>
          <w:divBdr>
            <w:top w:val="none" w:sz="0" w:space="0" w:color="auto"/>
            <w:left w:val="none" w:sz="0" w:space="0" w:color="auto"/>
            <w:bottom w:val="none" w:sz="0" w:space="0" w:color="auto"/>
            <w:right w:val="none" w:sz="0" w:space="0" w:color="auto"/>
          </w:divBdr>
        </w:div>
        <w:div w:id="1469515099">
          <w:marLeft w:val="0"/>
          <w:marRight w:val="0"/>
          <w:marTop w:val="0"/>
          <w:marBottom w:val="0"/>
          <w:divBdr>
            <w:top w:val="none" w:sz="0" w:space="0" w:color="auto"/>
            <w:left w:val="none" w:sz="0" w:space="0" w:color="auto"/>
            <w:bottom w:val="none" w:sz="0" w:space="0" w:color="auto"/>
            <w:right w:val="none" w:sz="0" w:space="0" w:color="auto"/>
          </w:divBdr>
        </w:div>
        <w:div w:id="941301294">
          <w:marLeft w:val="0"/>
          <w:marRight w:val="0"/>
          <w:marTop w:val="0"/>
          <w:marBottom w:val="0"/>
          <w:divBdr>
            <w:top w:val="none" w:sz="0" w:space="0" w:color="auto"/>
            <w:left w:val="none" w:sz="0" w:space="0" w:color="auto"/>
            <w:bottom w:val="none" w:sz="0" w:space="0" w:color="auto"/>
            <w:right w:val="none" w:sz="0" w:space="0" w:color="auto"/>
          </w:divBdr>
          <w:divsChild>
            <w:div w:id="1820461879">
              <w:marLeft w:val="0"/>
              <w:marRight w:val="0"/>
              <w:marTop w:val="0"/>
              <w:marBottom w:val="0"/>
              <w:divBdr>
                <w:top w:val="none" w:sz="0" w:space="0" w:color="auto"/>
                <w:left w:val="none" w:sz="0" w:space="0" w:color="auto"/>
                <w:bottom w:val="none" w:sz="0" w:space="0" w:color="auto"/>
                <w:right w:val="none" w:sz="0" w:space="0" w:color="auto"/>
              </w:divBdr>
            </w:div>
          </w:divsChild>
        </w:div>
        <w:div w:id="1555005082">
          <w:marLeft w:val="0"/>
          <w:marRight w:val="0"/>
          <w:marTop w:val="0"/>
          <w:marBottom w:val="0"/>
          <w:divBdr>
            <w:top w:val="none" w:sz="0" w:space="0" w:color="auto"/>
            <w:left w:val="none" w:sz="0" w:space="0" w:color="auto"/>
            <w:bottom w:val="none" w:sz="0" w:space="0" w:color="auto"/>
            <w:right w:val="none" w:sz="0" w:space="0" w:color="auto"/>
          </w:divBdr>
        </w:div>
        <w:div w:id="322204366">
          <w:marLeft w:val="0"/>
          <w:marRight w:val="0"/>
          <w:marTop w:val="0"/>
          <w:marBottom w:val="0"/>
          <w:divBdr>
            <w:top w:val="none" w:sz="0" w:space="0" w:color="auto"/>
            <w:left w:val="none" w:sz="0" w:space="0" w:color="auto"/>
            <w:bottom w:val="none" w:sz="0" w:space="0" w:color="auto"/>
            <w:right w:val="none" w:sz="0" w:space="0" w:color="auto"/>
          </w:divBdr>
        </w:div>
        <w:div w:id="1861041454">
          <w:marLeft w:val="0"/>
          <w:marRight w:val="0"/>
          <w:marTop w:val="0"/>
          <w:marBottom w:val="0"/>
          <w:divBdr>
            <w:top w:val="none" w:sz="0" w:space="0" w:color="auto"/>
            <w:left w:val="none" w:sz="0" w:space="0" w:color="auto"/>
            <w:bottom w:val="none" w:sz="0" w:space="0" w:color="auto"/>
            <w:right w:val="none" w:sz="0" w:space="0" w:color="auto"/>
          </w:divBdr>
        </w:div>
        <w:div w:id="538856757">
          <w:marLeft w:val="0"/>
          <w:marRight w:val="0"/>
          <w:marTop w:val="0"/>
          <w:marBottom w:val="0"/>
          <w:divBdr>
            <w:top w:val="none" w:sz="0" w:space="0" w:color="auto"/>
            <w:left w:val="none" w:sz="0" w:space="0" w:color="auto"/>
            <w:bottom w:val="none" w:sz="0" w:space="0" w:color="auto"/>
            <w:right w:val="none" w:sz="0" w:space="0" w:color="auto"/>
          </w:divBdr>
        </w:div>
        <w:div w:id="329718124">
          <w:marLeft w:val="0"/>
          <w:marRight w:val="0"/>
          <w:marTop w:val="0"/>
          <w:marBottom w:val="0"/>
          <w:divBdr>
            <w:top w:val="none" w:sz="0" w:space="0" w:color="auto"/>
            <w:left w:val="none" w:sz="0" w:space="0" w:color="auto"/>
            <w:bottom w:val="none" w:sz="0" w:space="0" w:color="auto"/>
            <w:right w:val="none" w:sz="0" w:space="0" w:color="auto"/>
          </w:divBdr>
        </w:div>
        <w:div w:id="1618221510">
          <w:marLeft w:val="0"/>
          <w:marRight w:val="0"/>
          <w:marTop w:val="0"/>
          <w:marBottom w:val="0"/>
          <w:divBdr>
            <w:top w:val="none" w:sz="0" w:space="0" w:color="auto"/>
            <w:left w:val="none" w:sz="0" w:space="0" w:color="auto"/>
            <w:bottom w:val="none" w:sz="0" w:space="0" w:color="auto"/>
            <w:right w:val="none" w:sz="0" w:space="0" w:color="auto"/>
          </w:divBdr>
        </w:div>
        <w:div w:id="1102073848">
          <w:marLeft w:val="0"/>
          <w:marRight w:val="0"/>
          <w:marTop w:val="0"/>
          <w:marBottom w:val="0"/>
          <w:divBdr>
            <w:top w:val="none" w:sz="0" w:space="0" w:color="auto"/>
            <w:left w:val="none" w:sz="0" w:space="0" w:color="auto"/>
            <w:bottom w:val="none" w:sz="0" w:space="0" w:color="auto"/>
            <w:right w:val="none" w:sz="0" w:space="0" w:color="auto"/>
          </w:divBdr>
        </w:div>
        <w:div w:id="2027706789">
          <w:marLeft w:val="0"/>
          <w:marRight w:val="0"/>
          <w:marTop w:val="0"/>
          <w:marBottom w:val="0"/>
          <w:divBdr>
            <w:top w:val="none" w:sz="0" w:space="0" w:color="auto"/>
            <w:left w:val="none" w:sz="0" w:space="0" w:color="auto"/>
            <w:bottom w:val="none" w:sz="0" w:space="0" w:color="auto"/>
            <w:right w:val="none" w:sz="0" w:space="0" w:color="auto"/>
          </w:divBdr>
        </w:div>
        <w:div w:id="1126582000">
          <w:marLeft w:val="0"/>
          <w:marRight w:val="0"/>
          <w:marTop w:val="0"/>
          <w:marBottom w:val="0"/>
          <w:divBdr>
            <w:top w:val="none" w:sz="0" w:space="0" w:color="auto"/>
            <w:left w:val="none" w:sz="0" w:space="0" w:color="auto"/>
            <w:bottom w:val="none" w:sz="0" w:space="0" w:color="auto"/>
            <w:right w:val="none" w:sz="0" w:space="0" w:color="auto"/>
          </w:divBdr>
        </w:div>
        <w:div w:id="84228514">
          <w:marLeft w:val="0"/>
          <w:marRight w:val="0"/>
          <w:marTop w:val="0"/>
          <w:marBottom w:val="0"/>
          <w:divBdr>
            <w:top w:val="none" w:sz="0" w:space="0" w:color="auto"/>
            <w:left w:val="none" w:sz="0" w:space="0" w:color="auto"/>
            <w:bottom w:val="none" w:sz="0" w:space="0" w:color="auto"/>
            <w:right w:val="none" w:sz="0" w:space="0" w:color="auto"/>
          </w:divBdr>
        </w:div>
        <w:div w:id="143088124">
          <w:marLeft w:val="0"/>
          <w:marRight w:val="0"/>
          <w:marTop w:val="0"/>
          <w:marBottom w:val="0"/>
          <w:divBdr>
            <w:top w:val="none" w:sz="0" w:space="0" w:color="auto"/>
            <w:left w:val="none" w:sz="0" w:space="0" w:color="auto"/>
            <w:bottom w:val="none" w:sz="0" w:space="0" w:color="auto"/>
            <w:right w:val="none" w:sz="0" w:space="0" w:color="auto"/>
          </w:divBdr>
        </w:div>
        <w:div w:id="879048853">
          <w:marLeft w:val="0"/>
          <w:marRight w:val="0"/>
          <w:marTop w:val="0"/>
          <w:marBottom w:val="0"/>
          <w:divBdr>
            <w:top w:val="none" w:sz="0" w:space="0" w:color="auto"/>
            <w:left w:val="none" w:sz="0" w:space="0" w:color="auto"/>
            <w:bottom w:val="none" w:sz="0" w:space="0" w:color="auto"/>
            <w:right w:val="none" w:sz="0" w:space="0" w:color="auto"/>
          </w:divBdr>
        </w:div>
        <w:div w:id="1343623580">
          <w:marLeft w:val="0"/>
          <w:marRight w:val="0"/>
          <w:marTop w:val="0"/>
          <w:marBottom w:val="0"/>
          <w:divBdr>
            <w:top w:val="none" w:sz="0" w:space="0" w:color="auto"/>
            <w:left w:val="none" w:sz="0" w:space="0" w:color="auto"/>
            <w:bottom w:val="none" w:sz="0" w:space="0" w:color="auto"/>
            <w:right w:val="none" w:sz="0" w:space="0" w:color="auto"/>
          </w:divBdr>
        </w:div>
        <w:div w:id="456876574">
          <w:marLeft w:val="0"/>
          <w:marRight w:val="0"/>
          <w:marTop w:val="0"/>
          <w:marBottom w:val="0"/>
          <w:divBdr>
            <w:top w:val="none" w:sz="0" w:space="0" w:color="auto"/>
            <w:left w:val="none" w:sz="0" w:space="0" w:color="auto"/>
            <w:bottom w:val="none" w:sz="0" w:space="0" w:color="auto"/>
            <w:right w:val="none" w:sz="0" w:space="0" w:color="auto"/>
          </w:divBdr>
        </w:div>
        <w:div w:id="1863395068">
          <w:marLeft w:val="0"/>
          <w:marRight w:val="0"/>
          <w:marTop w:val="0"/>
          <w:marBottom w:val="0"/>
          <w:divBdr>
            <w:top w:val="none" w:sz="0" w:space="0" w:color="auto"/>
            <w:left w:val="none" w:sz="0" w:space="0" w:color="auto"/>
            <w:bottom w:val="none" w:sz="0" w:space="0" w:color="auto"/>
            <w:right w:val="none" w:sz="0" w:space="0" w:color="auto"/>
          </w:divBdr>
          <w:divsChild>
            <w:div w:id="860314384">
              <w:marLeft w:val="0"/>
              <w:marRight w:val="0"/>
              <w:marTop w:val="0"/>
              <w:marBottom w:val="0"/>
              <w:divBdr>
                <w:top w:val="none" w:sz="0" w:space="0" w:color="auto"/>
                <w:left w:val="none" w:sz="0" w:space="0" w:color="auto"/>
                <w:bottom w:val="none" w:sz="0" w:space="0" w:color="auto"/>
                <w:right w:val="none" w:sz="0" w:space="0" w:color="auto"/>
              </w:divBdr>
            </w:div>
            <w:div w:id="606813236">
              <w:marLeft w:val="0"/>
              <w:marRight w:val="0"/>
              <w:marTop w:val="0"/>
              <w:marBottom w:val="0"/>
              <w:divBdr>
                <w:top w:val="none" w:sz="0" w:space="0" w:color="auto"/>
                <w:left w:val="none" w:sz="0" w:space="0" w:color="auto"/>
                <w:bottom w:val="none" w:sz="0" w:space="0" w:color="auto"/>
                <w:right w:val="none" w:sz="0" w:space="0" w:color="auto"/>
              </w:divBdr>
            </w:div>
            <w:div w:id="1095596764">
              <w:marLeft w:val="0"/>
              <w:marRight w:val="0"/>
              <w:marTop w:val="0"/>
              <w:marBottom w:val="0"/>
              <w:divBdr>
                <w:top w:val="none" w:sz="0" w:space="0" w:color="auto"/>
                <w:left w:val="none" w:sz="0" w:space="0" w:color="auto"/>
                <w:bottom w:val="none" w:sz="0" w:space="0" w:color="auto"/>
                <w:right w:val="none" w:sz="0" w:space="0" w:color="auto"/>
              </w:divBdr>
            </w:div>
            <w:div w:id="152843260">
              <w:marLeft w:val="0"/>
              <w:marRight w:val="0"/>
              <w:marTop w:val="0"/>
              <w:marBottom w:val="0"/>
              <w:divBdr>
                <w:top w:val="none" w:sz="0" w:space="0" w:color="auto"/>
                <w:left w:val="none" w:sz="0" w:space="0" w:color="auto"/>
                <w:bottom w:val="none" w:sz="0" w:space="0" w:color="auto"/>
                <w:right w:val="none" w:sz="0" w:space="0" w:color="auto"/>
              </w:divBdr>
            </w:div>
            <w:div w:id="1808429455">
              <w:marLeft w:val="0"/>
              <w:marRight w:val="0"/>
              <w:marTop w:val="0"/>
              <w:marBottom w:val="0"/>
              <w:divBdr>
                <w:top w:val="none" w:sz="0" w:space="0" w:color="auto"/>
                <w:left w:val="none" w:sz="0" w:space="0" w:color="auto"/>
                <w:bottom w:val="none" w:sz="0" w:space="0" w:color="auto"/>
                <w:right w:val="none" w:sz="0" w:space="0" w:color="auto"/>
              </w:divBdr>
            </w:div>
            <w:div w:id="388462593">
              <w:marLeft w:val="0"/>
              <w:marRight w:val="0"/>
              <w:marTop w:val="0"/>
              <w:marBottom w:val="0"/>
              <w:divBdr>
                <w:top w:val="none" w:sz="0" w:space="0" w:color="auto"/>
                <w:left w:val="none" w:sz="0" w:space="0" w:color="auto"/>
                <w:bottom w:val="none" w:sz="0" w:space="0" w:color="auto"/>
                <w:right w:val="none" w:sz="0" w:space="0" w:color="auto"/>
              </w:divBdr>
            </w:div>
          </w:divsChild>
        </w:div>
        <w:div w:id="447510672">
          <w:marLeft w:val="0"/>
          <w:marRight w:val="0"/>
          <w:marTop w:val="0"/>
          <w:marBottom w:val="0"/>
          <w:divBdr>
            <w:top w:val="none" w:sz="0" w:space="0" w:color="auto"/>
            <w:left w:val="none" w:sz="0" w:space="0" w:color="auto"/>
            <w:bottom w:val="none" w:sz="0" w:space="0" w:color="auto"/>
            <w:right w:val="none" w:sz="0" w:space="0" w:color="auto"/>
          </w:divBdr>
        </w:div>
        <w:div w:id="1624724355">
          <w:marLeft w:val="0"/>
          <w:marRight w:val="0"/>
          <w:marTop w:val="0"/>
          <w:marBottom w:val="0"/>
          <w:divBdr>
            <w:top w:val="none" w:sz="0" w:space="0" w:color="auto"/>
            <w:left w:val="none" w:sz="0" w:space="0" w:color="auto"/>
            <w:bottom w:val="none" w:sz="0" w:space="0" w:color="auto"/>
            <w:right w:val="none" w:sz="0" w:space="0" w:color="auto"/>
          </w:divBdr>
          <w:divsChild>
            <w:div w:id="1222670658">
              <w:marLeft w:val="0"/>
              <w:marRight w:val="0"/>
              <w:marTop w:val="0"/>
              <w:marBottom w:val="0"/>
              <w:divBdr>
                <w:top w:val="none" w:sz="0" w:space="0" w:color="auto"/>
                <w:left w:val="none" w:sz="0" w:space="0" w:color="auto"/>
                <w:bottom w:val="none" w:sz="0" w:space="0" w:color="auto"/>
                <w:right w:val="none" w:sz="0" w:space="0" w:color="auto"/>
              </w:divBdr>
            </w:div>
            <w:div w:id="2104762583">
              <w:marLeft w:val="0"/>
              <w:marRight w:val="0"/>
              <w:marTop w:val="0"/>
              <w:marBottom w:val="0"/>
              <w:divBdr>
                <w:top w:val="none" w:sz="0" w:space="0" w:color="auto"/>
                <w:left w:val="none" w:sz="0" w:space="0" w:color="auto"/>
                <w:bottom w:val="none" w:sz="0" w:space="0" w:color="auto"/>
                <w:right w:val="none" w:sz="0" w:space="0" w:color="auto"/>
              </w:divBdr>
            </w:div>
          </w:divsChild>
        </w:div>
        <w:div w:id="1027828846">
          <w:marLeft w:val="0"/>
          <w:marRight w:val="0"/>
          <w:marTop w:val="0"/>
          <w:marBottom w:val="0"/>
          <w:divBdr>
            <w:top w:val="none" w:sz="0" w:space="0" w:color="auto"/>
            <w:left w:val="none" w:sz="0" w:space="0" w:color="auto"/>
            <w:bottom w:val="none" w:sz="0" w:space="0" w:color="auto"/>
            <w:right w:val="none" w:sz="0" w:space="0" w:color="auto"/>
          </w:divBdr>
          <w:divsChild>
            <w:div w:id="1896352156">
              <w:marLeft w:val="0"/>
              <w:marRight w:val="0"/>
              <w:marTop w:val="0"/>
              <w:marBottom w:val="0"/>
              <w:divBdr>
                <w:top w:val="none" w:sz="0" w:space="0" w:color="auto"/>
                <w:left w:val="none" w:sz="0" w:space="0" w:color="auto"/>
                <w:bottom w:val="none" w:sz="0" w:space="0" w:color="auto"/>
                <w:right w:val="none" w:sz="0" w:space="0" w:color="auto"/>
              </w:divBdr>
            </w:div>
            <w:div w:id="797533136">
              <w:marLeft w:val="0"/>
              <w:marRight w:val="0"/>
              <w:marTop w:val="0"/>
              <w:marBottom w:val="0"/>
              <w:divBdr>
                <w:top w:val="none" w:sz="0" w:space="0" w:color="auto"/>
                <w:left w:val="none" w:sz="0" w:space="0" w:color="auto"/>
                <w:bottom w:val="none" w:sz="0" w:space="0" w:color="auto"/>
                <w:right w:val="none" w:sz="0" w:space="0" w:color="auto"/>
              </w:divBdr>
            </w:div>
            <w:div w:id="1305891197">
              <w:marLeft w:val="0"/>
              <w:marRight w:val="0"/>
              <w:marTop w:val="0"/>
              <w:marBottom w:val="0"/>
              <w:divBdr>
                <w:top w:val="none" w:sz="0" w:space="0" w:color="auto"/>
                <w:left w:val="none" w:sz="0" w:space="0" w:color="auto"/>
                <w:bottom w:val="none" w:sz="0" w:space="0" w:color="auto"/>
                <w:right w:val="none" w:sz="0" w:space="0" w:color="auto"/>
              </w:divBdr>
            </w:div>
          </w:divsChild>
        </w:div>
        <w:div w:id="1660309610">
          <w:marLeft w:val="0"/>
          <w:marRight w:val="0"/>
          <w:marTop w:val="0"/>
          <w:marBottom w:val="0"/>
          <w:divBdr>
            <w:top w:val="none" w:sz="0" w:space="0" w:color="auto"/>
            <w:left w:val="none" w:sz="0" w:space="0" w:color="auto"/>
            <w:bottom w:val="none" w:sz="0" w:space="0" w:color="auto"/>
            <w:right w:val="none" w:sz="0" w:space="0" w:color="auto"/>
          </w:divBdr>
        </w:div>
        <w:div w:id="443042226">
          <w:marLeft w:val="0"/>
          <w:marRight w:val="0"/>
          <w:marTop w:val="0"/>
          <w:marBottom w:val="0"/>
          <w:divBdr>
            <w:top w:val="none" w:sz="0" w:space="0" w:color="auto"/>
            <w:left w:val="none" w:sz="0" w:space="0" w:color="auto"/>
            <w:bottom w:val="none" w:sz="0" w:space="0" w:color="auto"/>
            <w:right w:val="none" w:sz="0" w:space="0" w:color="auto"/>
          </w:divBdr>
        </w:div>
        <w:div w:id="1880968506">
          <w:marLeft w:val="0"/>
          <w:marRight w:val="0"/>
          <w:marTop w:val="0"/>
          <w:marBottom w:val="0"/>
          <w:divBdr>
            <w:top w:val="none" w:sz="0" w:space="0" w:color="auto"/>
            <w:left w:val="none" w:sz="0" w:space="0" w:color="auto"/>
            <w:bottom w:val="none" w:sz="0" w:space="0" w:color="auto"/>
            <w:right w:val="none" w:sz="0" w:space="0" w:color="auto"/>
          </w:divBdr>
          <w:divsChild>
            <w:div w:id="1248922194">
              <w:marLeft w:val="0"/>
              <w:marRight w:val="0"/>
              <w:marTop w:val="0"/>
              <w:marBottom w:val="0"/>
              <w:divBdr>
                <w:top w:val="none" w:sz="0" w:space="0" w:color="auto"/>
                <w:left w:val="none" w:sz="0" w:space="0" w:color="auto"/>
                <w:bottom w:val="none" w:sz="0" w:space="0" w:color="auto"/>
                <w:right w:val="none" w:sz="0" w:space="0" w:color="auto"/>
              </w:divBdr>
            </w:div>
          </w:divsChild>
        </w:div>
        <w:div w:id="1130783886">
          <w:marLeft w:val="0"/>
          <w:marRight w:val="0"/>
          <w:marTop w:val="0"/>
          <w:marBottom w:val="0"/>
          <w:divBdr>
            <w:top w:val="none" w:sz="0" w:space="0" w:color="auto"/>
            <w:left w:val="none" w:sz="0" w:space="0" w:color="auto"/>
            <w:bottom w:val="none" w:sz="0" w:space="0" w:color="auto"/>
            <w:right w:val="none" w:sz="0" w:space="0" w:color="auto"/>
          </w:divBdr>
        </w:div>
        <w:div w:id="859973317">
          <w:marLeft w:val="0"/>
          <w:marRight w:val="0"/>
          <w:marTop w:val="0"/>
          <w:marBottom w:val="0"/>
          <w:divBdr>
            <w:top w:val="none" w:sz="0" w:space="0" w:color="auto"/>
            <w:left w:val="none" w:sz="0" w:space="0" w:color="auto"/>
            <w:bottom w:val="none" w:sz="0" w:space="0" w:color="auto"/>
            <w:right w:val="none" w:sz="0" w:space="0" w:color="auto"/>
          </w:divBdr>
        </w:div>
        <w:div w:id="1775855559">
          <w:marLeft w:val="0"/>
          <w:marRight w:val="0"/>
          <w:marTop w:val="0"/>
          <w:marBottom w:val="0"/>
          <w:divBdr>
            <w:top w:val="none" w:sz="0" w:space="0" w:color="auto"/>
            <w:left w:val="none" w:sz="0" w:space="0" w:color="auto"/>
            <w:bottom w:val="none" w:sz="0" w:space="0" w:color="auto"/>
            <w:right w:val="none" w:sz="0" w:space="0" w:color="auto"/>
          </w:divBdr>
        </w:div>
        <w:div w:id="1471289950">
          <w:marLeft w:val="0"/>
          <w:marRight w:val="0"/>
          <w:marTop w:val="0"/>
          <w:marBottom w:val="0"/>
          <w:divBdr>
            <w:top w:val="none" w:sz="0" w:space="0" w:color="auto"/>
            <w:left w:val="none" w:sz="0" w:space="0" w:color="auto"/>
            <w:bottom w:val="none" w:sz="0" w:space="0" w:color="auto"/>
            <w:right w:val="none" w:sz="0" w:space="0" w:color="auto"/>
          </w:divBdr>
        </w:div>
        <w:div w:id="509637932">
          <w:marLeft w:val="0"/>
          <w:marRight w:val="0"/>
          <w:marTop w:val="0"/>
          <w:marBottom w:val="0"/>
          <w:divBdr>
            <w:top w:val="none" w:sz="0" w:space="0" w:color="auto"/>
            <w:left w:val="none" w:sz="0" w:space="0" w:color="auto"/>
            <w:bottom w:val="none" w:sz="0" w:space="0" w:color="auto"/>
            <w:right w:val="none" w:sz="0" w:space="0" w:color="auto"/>
          </w:divBdr>
        </w:div>
        <w:div w:id="1156845057">
          <w:marLeft w:val="0"/>
          <w:marRight w:val="0"/>
          <w:marTop w:val="0"/>
          <w:marBottom w:val="0"/>
          <w:divBdr>
            <w:top w:val="none" w:sz="0" w:space="0" w:color="auto"/>
            <w:left w:val="none" w:sz="0" w:space="0" w:color="auto"/>
            <w:bottom w:val="none" w:sz="0" w:space="0" w:color="auto"/>
            <w:right w:val="none" w:sz="0" w:space="0" w:color="auto"/>
          </w:divBdr>
        </w:div>
        <w:div w:id="1462503052">
          <w:marLeft w:val="0"/>
          <w:marRight w:val="0"/>
          <w:marTop w:val="0"/>
          <w:marBottom w:val="0"/>
          <w:divBdr>
            <w:top w:val="none" w:sz="0" w:space="0" w:color="auto"/>
            <w:left w:val="none" w:sz="0" w:space="0" w:color="auto"/>
            <w:bottom w:val="none" w:sz="0" w:space="0" w:color="auto"/>
            <w:right w:val="none" w:sz="0" w:space="0" w:color="auto"/>
          </w:divBdr>
        </w:div>
        <w:div w:id="1111702203">
          <w:marLeft w:val="0"/>
          <w:marRight w:val="0"/>
          <w:marTop w:val="0"/>
          <w:marBottom w:val="0"/>
          <w:divBdr>
            <w:top w:val="none" w:sz="0" w:space="0" w:color="auto"/>
            <w:left w:val="none" w:sz="0" w:space="0" w:color="auto"/>
            <w:bottom w:val="none" w:sz="0" w:space="0" w:color="auto"/>
            <w:right w:val="none" w:sz="0" w:space="0" w:color="auto"/>
          </w:divBdr>
        </w:div>
        <w:div w:id="1098453603">
          <w:marLeft w:val="0"/>
          <w:marRight w:val="0"/>
          <w:marTop w:val="0"/>
          <w:marBottom w:val="0"/>
          <w:divBdr>
            <w:top w:val="none" w:sz="0" w:space="0" w:color="auto"/>
            <w:left w:val="none" w:sz="0" w:space="0" w:color="auto"/>
            <w:bottom w:val="none" w:sz="0" w:space="0" w:color="auto"/>
            <w:right w:val="none" w:sz="0" w:space="0" w:color="auto"/>
          </w:divBdr>
        </w:div>
        <w:div w:id="1893076457">
          <w:marLeft w:val="0"/>
          <w:marRight w:val="0"/>
          <w:marTop w:val="0"/>
          <w:marBottom w:val="0"/>
          <w:divBdr>
            <w:top w:val="none" w:sz="0" w:space="0" w:color="auto"/>
            <w:left w:val="none" w:sz="0" w:space="0" w:color="auto"/>
            <w:bottom w:val="none" w:sz="0" w:space="0" w:color="auto"/>
            <w:right w:val="none" w:sz="0" w:space="0" w:color="auto"/>
          </w:divBdr>
        </w:div>
        <w:div w:id="2119906050">
          <w:marLeft w:val="0"/>
          <w:marRight w:val="0"/>
          <w:marTop w:val="0"/>
          <w:marBottom w:val="0"/>
          <w:divBdr>
            <w:top w:val="none" w:sz="0" w:space="0" w:color="auto"/>
            <w:left w:val="none" w:sz="0" w:space="0" w:color="auto"/>
            <w:bottom w:val="none" w:sz="0" w:space="0" w:color="auto"/>
            <w:right w:val="none" w:sz="0" w:space="0" w:color="auto"/>
          </w:divBdr>
          <w:divsChild>
            <w:div w:id="711928304">
              <w:marLeft w:val="0"/>
              <w:marRight w:val="0"/>
              <w:marTop w:val="0"/>
              <w:marBottom w:val="0"/>
              <w:divBdr>
                <w:top w:val="none" w:sz="0" w:space="0" w:color="auto"/>
                <w:left w:val="none" w:sz="0" w:space="0" w:color="auto"/>
                <w:bottom w:val="none" w:sz="0" w:space="0" w:color="auto"/>
                <w:right w:val="none" w:sz="0" w:space="0" w:color="auto"/>
              </w:divBdr>
            </w:div>
          </w:divsChild>
        </w:div>
        <w:div w:id="2012558438">
          <w:marLeft w:val="0"/>
          <w:marRight w:val="0"/>
          <w:marTop w:val="0"/>
          <w:marBottom w:val="0"/>
          <w:divBdr>
            <w:top w:val="none" w:sz="0" w:space="0" w:color="auto"/>
            <w:left w:val="none" w:sz="0" w:space="0" w:color="auto"/>
            <w:bottom w:val="none" w:sz="0" w:space="0" w:color="auto"/>
            <w:right w:val="none" w:sz="0" w:space="0" w:color="auto"/>
          </w:divBdr>
        </w:div>
        <w:div w:id="1051198789">
          <w:marLeft w:val="0"/>
          <w:marRight w:val="0"/>
          <w:marTop w:val="0"/>
          <w:marBottom w:val="0"/>
          <w:divBdr>
            <w:top w:val="none" w:sz="0" w:space="0" w:color="auto"/>
            <w:left w:val="none" w:sz="0" w:space="0" w:color="auto"/>
            <w:bottom w:val="none" w:sz="0" w:space="0" w:color="auto"/>
            <w:right w:val="none" w:sz="0" w:space="0" w:color="auto"/>
          </w:divBdr>
        </w:div>
        <w:div w:id="1005403177">
          <w:marLeft w:val="0"/>
          <w:marRight w:val="0"/>
          <w:marTop w:val="0"/>
          <w:marBottom w:val="0"/>
          <w:divBdr>
            <w:top w:val="none" w:sz="0" w:space="0" w:color="auto"/>
            <w:left w:val="none" w:sz="0" w:space="0" w:color="auto"/>
            <w:bottom w:val="none" w:sz="0" w:space="0" w:color="auto"/>
            <w:right w:val="none" w:sz="0" w:space="0" w:color="auto"/>
          </w:divBdr>
        </w:div>
        <w:div w:id="1998074261">
          <w:marLeft w:val="0"/>
          <w:marRight w:val="0"/>
          <w:marTop w:val="0"/>
          <w:marBottom w:val="0"/>
          <w:divBdr>
            <w:top w:val="none" w:sz="0" w:space="0" w:color="auto"/>
            <w:left w:val="none" w:sz="0" w:space="0" w:color="auto"/>
            <w:bottom w:val="none" w:sz="0" w:space="0" w:color="auto"/>
            <w:right w:val="none" w:sz="0" w:space="0" w:color="auto"/>
          </w:divBdr>
          <w:divsChild>
            <w:div w:id="425730480">
              <w:marLeft w:val="0"/>
              <w:marRight w:val="0"/>
              <w:marTop w:val="0"/>
              <w:marBottom w:val="0"/>
              <w:divBdr>
                <w:top w:val="none" w:sz="0" w:space="0" w:color="auto"/>
                <w:left w:val="none" w:sz="0" w:space="0" w:color="auto"/>
                <w:bottom w:val="none" w:sz="0" w:space="0" w:color="auto"/>
                <w:right w:val="none" w:sz="0" w:space="0" w:color="auto"/>
              </w:divBdr>
            </w:div>
          </w:divsChild>
        </w:div>
        <w:div w:id="758528802">
          <w:marLeft w:val="0"/>
          <w:marRight w:val="0"/>
          <w:marTop w:val="0"/>
          <w:marBottom w:val="0"/>
          <w:divBdr>
            <w:top w:val="none" w:sz="0" w:space="0" w:color="auto"/>
            <w:left w:val="none" w:sz="0" w:space="0" w:color="auto"/>
            <w:bottom w:val="none" w:sz="0" w:space="0" w:color="auto"/>
            <w:right w:val="none" w:sz="0" w:space="0" w:color="auto"/>
          </w:divBdr>
        </w:div>
        <w:div w:id="571626750">
          <w:marLeft w:val="0"/>
          <w:marRight w:val="0"/>
          <w:marTop w:val="0"/>
          <w:marBottom w:val="0"/>
          <w:divBdr>
            <w:top w:val="none" w:sz="0" w:space="0" w:color="auto"/>
            <w:left w:val="none" w:sz="0" w:space="0" w:color="auto"/>
            <w:bottom w:val="none" w:sz="0" w:space="0" w:color="auto"/>
            <w:right w:val="none" w:sz="0" w:space="0" w:color="auto"/>
          </w:divBdr>
        </w:div>
        <w:div w:id="1134835879">
          <w:marLeft w:val="0"/>
          <w:marRight w:val="0"/>
          <w:marTop w:val="0"/>
          <w:marBottom w:val="0"/>
          <w:divBdr>
            <w:top w:val="none" w:sz="0" w:space="0" w:color="auto"/>
            <w:left w:val="none" w:sz="0" w:space="0" w:color="auto"/>
            <w:bottom w:val="none" w:sz="0" w:space="0" w:color="auto"/>
            <w:right w:val="none" w:sz="0" w:space="0" w:color="auto"/>
          </w:divBdr>
        </w:div>
      </w:divsChild>
    </w:div>
    <w:div w:id="402216147">
      <w:bodyDiv w:val="1"/>
      <w:marLeft w:val="0"/>
      <w:marRight w:val="0"/>
      <w:marTop w:val="0"/>
      <w:marBottom w:val="0"/>
      <w:divBdr>
        <w:top w:val="none" w:sz="0" w:space="0" w:color="auto"/>
        <w:left w:val="none" w:sz="0" w:space="0" w:color="auto"/>
        <w:bottom w:val="none" w:sz="0" w:space="0" w:color="auto"/>
        <w:right w:val="none" w:sz="0" w:space="0" w:color="auto"/>
      </w:divBdr>
      <w:divsChild>
        <w:div w:id="477262646">
          <w:marLeft w:val="0"/>
          <w:marRight w:val="0"/>
          <w:marTop w:val="0"/>
          <w:marBottom w:val="0"/>
          <w:divBdr>
            <w:top w:val="none" w:sz="0" w:space="0" w:color="auto"/>
            <w:left w:val="none" w:sz="0" w:space="0" w:color="auto"/>
            <w:bottom w:val="none" w:sz="0" w:space="0" w:color="auto"/>
            <w:right w:val="none" w:sz="0" w:space="0" w:color="auto"/>
          </w:divBdr>
          <w:divsChild>
            <w:div w:id="444036299">
              <w:marLeft w:val="0"/>
              <w:marRight w:val="0"/>
              <w:marTop w:val="0"/>
              <w:marBottom w:val="0"/>
              <w:divBdr>
                <w:top w:val="none" w:sz="0" w:space="0" w:color="auto"/>
                <w:left w:val="none" w:sz="0" w:space="0" w:color="auto"/>
                <w:bottom w:val="none" w:sz="0" w:space="0" w:color="auto"/>
                <w:right w:val="none" w:sz="0" w:space="0" w:color="auto"/>
              </w:divBdr>
              <w:divsChild>
                <w:div w:id="495923370">
                  <w:marLeft w:val="0"/>
                  <w:marRight w:val="0"/>
                  <w:marTop w:val="0"/>
                  <w:marBottom w:val="0"/>
                  <w:divBdr>
                    <w:top w:val="none" w:sz="0" w:space="0" w:color="auto"/>
                    <w:left w:val="none" w:sz="0" w:space="0" w:color="auto"/>
                    <w:bottom w:val="none" w:sz="0" w:space="0" w:color="auto"/>
                    <w:right w:val="none" w:sz="0" w:space="0" w:color="auto"/>
                  </w:divBdr>
                  <w:divsChild>
                    <w:div w:id="765618321">
                      <w:marLeft w:val="0"/>
                      <w:marRight w:val="0"/>
                      <w:marTop w:val="0"/>
                      <w:marBottom w:val="0"/>
                      <w:divBdr>
                        <w:top w:val="none" w:sz="0" w:space="0" w:color="auto"/>
                        <w:left w:val="none" w:sz="0" w:space="0" w:color="auto"/>
                        <w:bottom w:val="none" w:sz="0" w:space="0" w:color="auto"/>
                        <w:right w:val="none" w:sz="0" w:space="0" w:color="auto"/>
                      </w:divBdr>
                      <w:divsChild>
                        <w:div w:id="555093140">
                          <w:marLeft w:val="0"/>
                          <w:marRight w:val="0"/>
                          <w:marTop w:val="0"/>
                          <w:marBottom w:val="0"/>
                          <w:divBdr>
                            <w:top w:val="none" w:sz="0" w:space="0" w:color="auto"/>
                            <w:left w:val="none" w:sz="0" w:space="0" w:color="auto"/>
                            <w:bottom w:val="none" w:sz="0" w:space="0" w:color="auto"/>
                            <w:right w:val="none" w:sz="0" w:space="0" w:color="auto"/>
                          </w:divBdr>
                          <w:divsChild>
                            <w:div w:id="1968927547">
                              <w:marLeft w:val="0"/>
                              <w:marRight w:val="0"/>
                              <w:marTop w:val="0"/>
                              <w:marBottom w:val="0"/>
                              <w:divBdr>
                                <w:top w:val="none" w:sz="0" w:space="0" w:color="auto"/>
                                <w:left w:val="none" w:sz="0" w:space="0" w:color="auto"/>
                                <w:bottom w:val="none" w:sz="0" w:space="0" w:color="auto"/>
                                <w:right w:val="none" w:sz="0" w:space="0" w:color="auto"/>
                              </w:divBdr>
                              <w:divsChild>
                                <w:div w:id="947152793">
                                  <w:marLeft w:val="0"/>
                                  <w:marRight w:val="0"/>
                                  <w:marTop w:val="0"/>
                                  <w:marBottom w:val="0"/>
                                  <w:divBdr>
                                    <w:top w:val="none" w:sz="0" w:space="0" w:color="auto"/>
                                    <w:left w:val="none" w:sz="0" w:space="0" w:color="auto"/>
                                    <w:bottom w:val="none" w:sz="0" w:space="0" w:color="auto"/>
                                    <w:right w:val="none" w:sz="0" w:space="0" w:color="auto"/>
                                  </w:divBdr>
                                  <w:divsChild>
                                    <w:div w:id="61484690">
                                      <w:marLeft w:val="0"/>
                                      <w:marRight w:val="0"/>
                                      <w:marTop w:val="0"/>
                                      <w:marBottom w:val="0"/>
                                      <w:divBdr>
                                        <w:top w:val="none" w:sz="0" w:space="0" w:color="auto"/>
                                        <w:left w:val="none" w:sz="0" w:space="0" w:color="auto"/>
                                        <w:bottom w:val="none" w:sz="0" w:space="0" w:color="auto"/>
                                        <w:right w:val="none" w:sz="0" w:space="0" w:color="auto"/>
                                      </w:divBdr>
                                      <w:divsChild>
                                        <w:div w:id="690179974">
                                          <w:marLeft w:val="0"/>
                                          <w:marRight w:val="0"/>
                                          <w:marTop w:val="0"/>
                                          <w:marBottom w:val="0"/>
                                          <w:divBdr>
                                            <w:top w:val="none" w:sz="0" w:space="0" w:color="auto"/>
                                            <w:left w:val="none" w:sz="0" w:space="0" w:color="auto"/>
                                            <w:bottom w:val="none" w:sz="0" w:space="0" w:color="auto"/>
                                            <w:right w:val="none" w:sz="0" w:space="0" w:color="auto"/>
                                          </w:divBdr>
                                          <w:divsChild>
                                            <w:div w:id="1049108178">
                                              <w:marLeft w:val="0"/>
                                              <w:marRight w:val="0"/>
                                              <w:marTop w:val="0"/>
                                              <w:marBottom w:val="0"/>
                                              <w:divBdr>
                                                <w:top w:val="none" w:sz="0" w:space="0" w:color="auto"/>
                                                <w:left w:val="none" w:sz="0" w:space="0" w:color="auto"/>
                                                <w:bottom w:val="none" w:sz="0" w:space="0" w:color="auto"/>
                                                <w:right w:val="none" w:sz="0" w:space="0" w:color="auto"/>
                                              </w:divBdr>
                                              <w:divsChild>
                                                <w:div w:id="547185991">
                                                  <w:marLeft w:val="0"/>
                                                  <w:marRight w:val="0"/>
                                                  <w:marTop w:val="0"/>
                                                  <w:marBottom w:val="0"/>
                                                  <w:divBdr>
                                                    <w:top w:val="none" w:sz="0" w:space="0" w:color="auto"/>
                                                    <w:left w:val="none" w:sz="0" w:space="0" w:color="auto"/>
                                                    <w:bottom w:val="none" w:sz="0" w:space="0" w:color="auto"/>
                                                    <w:right w:val="none" w:sz="0" w:space="0" w:color="auto"/>
                                                  </w:divBdr>
                                                  <w:divsChild>
                                                    <w:div w:id="1089809758">
                                                      <w:marLeft w:val="0"/>
                                                      <w:marRight w:val="0"/>
                                                      <w:marTop w:val="0"/>
                                                      <w:marBottom w:val="0"/>
                                                      <w:divBdr>
                                                        <w:top w:val="none" w:sz="0" w:space="0" w:color="auto"/>
                                                        <w:left w:val="none" w:sz="0" w:space="0" w:color="auto"/>
                                                        <w:bottom w:val="none" w:sz="0" w:space="0" w:color="auto"/>
                                                        <w:right w:val="none" w:sz="0" w:space="0" w:color="auto"/>
                                                      </w:divBdr>
                                                      <w:divsChild>
                                                        <w:div w:id="1615358615">
                                                          <w:marLeft w:val="0"/>
                                                          <w:marRight w:val="0"/>
                                                          <w:marTop w:val="0"/>
                                                          <w:marBottom w:val="0"/>
                                                          <w:divBdr>
                                                            <w:top w:val="none" w:sz="0" w:space="0" w:color="auto"/>
                                                            <w:left w:val="none" w:sz="0" w:space="0" w:color="auto"/>
                                                            <w:bottom w:val="none" w:sz="0" w:space="0" w:color="auto"/>
                                                            <w:right w:val="none" w:sz="0" w:space="0" w:color="auto"/>
                                                          </w:divBdr>
                                                          <w:divsChild>
                                                            <w:div w:id="1826970549">
                                                              <w:marLeft w:val="0"/>
                                                              <w:marRight w:val="0"/>
                                                              <w:marTop w:val="0"/>
                                                              <w:marBottom w:val="0"/>
                                                              <w:divBdr>
                                                                <w:top w:val="none" w:sz="0" w:space="0" w:color="auto"/>
                                                                <w:left w:val="none" w:sz="0" w:space="0" w:color="auto"/>
                                                                <w:bottom w:val="none" w:sz="0" w:space="0" w:color="auto"/>
                                                                <w:right w:val="none" w:sz="0" w:space="0" w:color="auto"/>
                                                              </w:divBdr>
                                                              <w:divsChild>
                                                                <w:div w:id="38943280">
                                                                  <w:marLeft w:val="0"/>
                                                                  <w:marRight w:val="0"/>
                                                                  <w:marTop w:val="0"/>
                                                                  <w:marBottom w:val="0"/>
                                                                  <w:divBdr>
                                                                    <w:top w:val="none" w:sz="0" w:space="0" w:color="auto"/>
                                                                    <w:left w:val="none" w:sz="0" w:space="0" w:color="auto"/>
                                                                    <w:bottom w:val="none" w:sz="0" w:space="0" w:color="auto"/>
                                                                    <w:right w:val="none" w:sz="0" w:space="0" w:color="auto"/>
                                                                  </w:divBdr>
                                                                  <w:divsChild>
                                                                    <w:div w:id="1490825211">
                                                                      <w:marLeft w:val="0"/>
                                                                      <w:marRight w:val="0"/>
                                                                      <w:marTop w:val="0"/>
                                                                      <w:marBottom w:val="0"/>
                                                                      <w:divBdr>
                                                                        <w:top w:val="none" w:sz="0" w:space="0" w:color="auto"/>
                                                                        <w:left w:val="none" w:sz="0" w:space="0" w:color="auto"/>
                                                                        <w:bottom w:val="none" w:sz="0" w:space="0" w:color="auto"/>
                                                                        <w:right w:val="none" w:sz="0" w:space="0" w:color="auto"/>
                                                                      </w:divBdr>
                                                                      <w:divsChild>
                                                                        <w:div w:id="1531603289">
                                                                          <w:marLeft w:val="0"/>
                                                                          <w:marRight w:val="0"/>
                                                                          <w:marTop w:val="0"/>
                                                                          <w:marBottom w:val="0"/>
                                                                          <w:divBdr>
                                                                            <w:top w:val="none" w:sz="0" w:space="0" w:color="auto"/>
                                                                            <w:left w:val="none" w:sz="0" w:space="0" w:color="auto"/>
                                                                            <w:bottom w:val="none" w:sz="0" w:space="0" w:color="auto"/>
                                                                            <w:right w:val="none" w:sz="0" w:space="0" w:color="auto"/>
                                                                          </w:divBdr>
                                                                          <w:divsChild>
                                                                            <w:div w:id="1254432218">
                                                                              <w:marLeft w:val="0"/>
                                                                              <w:marRight w:val="0"/>
                                                                              <w:marTop w:val="0"/>
                                                                              <w:marBottom w:val="0"/>
                                                                              <w:divBdr>
                                                                                <w:top w:val="none" w:sz="0" w:space="0" w:color="auto"/>
                                                                                <w:left w:val="none" w:sz="0" w:space="0" w:color="auto"/>
                                                                                <w:bottom w:val="none" w:sz="0" w:space="0" w:color="auto"/>
                                                                                <w:right w:val="none" w:sz="0" w:space="0" w:color="auto"/>
                                                                              </w:divBdr>
                                                                              <w:divsChild>
                                                                                <w:div w:id="2051681774">
                                                                                  <w:marLeft w:val="0"/>
                                                                                  <w:marRight w:val="0"/>
                                                                                  <w:marTop w:val="0"/>
                                                                                  <w:marBottom w:val="0"/>
                                                                                  <w:divBdr>
                                                                                    <w:top w:val="none" w:sz="0" w:space="0" w:color="auto"/>
                                                                                    <w:left w:val="none" w:sz="0" w:space="0" w:color="auto"/>
                                                                                    <w:bottom w:val="none" w:sz="0" w:space="0" w:color="auto"/>
                                                                                    <w:right w:val="none" w:sz="0" w:space="0" w:color="auto"/>
                                                                                  </w:divBdr>
                                                                                  <w:divsChild>
                                                                                    <w:div w:id="1578854769">
                                                                                      <w:marLeft w:val="0"/>
                                                                                      <w:marRight w:val="0"/>
                                                                                      <w:marTop w:val="0"/>
                                                                                      <w:marBottom w:val="0"/>
                                                                                      <w:divBdr>
                                                                                        <w:top w:val="none" w:sz="0" w:space="0" w:color="auto"/>
                                                                                        <w:left w:val="none" w:sz="0" w:space="0" w:color="auto"/>
                                                                                        <w:bottom w:val="none" w:sz="0" w:space="0" w:color="auto"/>
                                                                                        <w:right w:val="none" w:sz="0" w:space="0" w:color="auto"/>
                                                                                      </w:divBdr>
                                                                                      <w:divsChild>
                                                                                        <w:div w:id="1431731566">
                                                                                          <w:marLeft w:val="0"/>
                                                                                          <w:marRight w:val="0"/>
                                                                                          <w:marTop w:val="0"/>
                                                                                          <w:marBottom w:val="0"/>
                                                                                          <w:divBdr>
                                                                                            <w:top w:val="none" w:sz="0" w:space="0" w:color="auto"/>
                                                                                            <w:left w:val="none" w:sz="0" w:space="0" w:color="auto"/>
                                                                                            <w:bottom w:val="none" w:sz="0" w:space="0" w:color="auto"/>
                                                                                            <w:right w:val="none" w:sz="0" w:space="0" w:color="auto"/>
                                                                                          </w:divBdr>
                                                                                          <w:divsChild>
                                                                                            <w:div w:id="793213480">
                                                                                              <w:marLeft w:val="0"/>
                                                                                              <w:marRight w:val="0"/>
                                                                                              <w:marTop w:val="0"/>
                                                                                              <w:marBottom w:val="0"/>
                                                                                              <w:divBdr>
                                                                                                <w:top w:val="none" w:sz="0" w:space="0" w:color="auto"/>
                                                                                                <w:left w:val="none" w:sz="0" w:space="0" w:color="auto"/>
                                                                                                <w:bottom w:val="none" w:sz="0" w:space="0" w:color="auto"/>
                                                                                                <w:right w:val="none" w:sz="0" w:space="0" w:color="auto"/>
                                                                                              </w:divBdr>
                                                                                              <w:divsChild>
                                                                                                <w:div w:id="1316841607">
                                                                                                  <w:marLeft w:val="0"/>
                                                                                                  <w:marRight w:val="0"/>
                                                                                                  <w:marTop w:val="0"/>
                                                                                                  <w:marBottom w:val="0"/>
                                                                                                  <w:divBdr>
                                                                                                    <w:top w:val="none" w:sz="0" w:space="0" w:color="auto"/>
                                                                                                    <w:left w:val="none" w:sz="0" w:space="0" w:color="auto"/>
                                                                                                    <w:bottom w:val="none" w:sz="0" w:space="0" w:color="auto"/>
                                                                                                    <w:right w:val="none" w:sz="0" w:space="0" w:color="auto"/>
                                                                                                  </w:divBdr>
                                                                                                  <w:divsChild>
                                                                                                    <w:div w:id="1135871256">
                                                                                                      <w:marLeft w:val="0"/>
                                                                                                      <w:marRight w:val="0"/>
                                                                                                      <w:marTop w:val="0"/>
                                                                                                      <w:marBottom w:val="0"/>
                                                                                                      <w:divBdr>
                                                                                                        <w:top w:val="none" w:sz="0" w:space="0" w:color="auto"/>
                                                                                                        <w:left w:val="none" w:sz="0" w:space="0" w:color="auto"/>
                                                                                                        <w:bottom w:val="none" w:sz="0" w:space="0" w:color="auto"/>
                                                                                                        <w:right w:val="none" w:sz="0" w:space="0" w:color="auto"/>
                                                                                                      </w:divBdr>
                                                                                                      <w:divsChild>
                                                                                                        <w:div w:id="337777577">
                                                                                                          <w:marLeft w:val="0"/>
                                                                                                          <w:marRight w:val="0"/>
                                                                                                          <w:marTop w:val="0"/>
                                                                                                          <w:marBottom w:val="0"/>
                                                                                                          <w:divBdr>
                                                                                                            <w:top w:val="none" w:sz="0" w:space="0" w:color="auto"/>
                                                                                                            <w:left w:val="none" w:sz="0" w:space="0" w:color="auto"/>
                                                                                                            <w:bottom w:val="none" w:sz="0" w:space="0" w:color="auto"/>
                                                                                                            <w:right w:val="none" w:sz="0" w:space="0" w:color="auto"/>
                                                                                                          </w:divBdr>
                                                                                                          <w:divsChild>
                                                                                                            <w:div w:id="436873536">
                                                                                                              <w:marLeft w:val="0"/>
                                                                                                              <w:marRight w:val="0"/>
                                                                                                              <w:marTop w:val="0"/>
                                                                                                              <w:marBottom w:val="0"/>
                                                                                                              <w:divBdr>
                                                                                                                <w:top w:val="none" w:sz="0" w:space="0" w:color="auto"/>
                                                                                                                <w:left w:val="none" w:sz="0" w:space="0" w:color="auto"/>
                                                                                                                <w:bottom w:val="none" w:sz="0" w:space="0" w:color="auto"/>
                                                                                                                <w:right w:val="none" w:sz="0" w:space="0" w:color="auto"/>
                                                                                                              </w:divBdr>
                                                                                                              <w:divsChild>
                                                                                                                <w:div w:id="1874419091">
                                                                                                                  <w:marLeft w:val="0"/>
                                                                                                                  <w:marRight w:val="0"/>
                                                                                                                  <w:marTop w:val="0"/>
                                                                                                                  <w:marBottom w:val="0"/>
                                                                                                                  <w:divBdr>
                                                                                                                    <w:top w:val="none" w:sz="0" w:space="0" w:color="auto"/>
                                                                                                                    <w:left w:val="none" w:sz="0" w:space="0" w:color="auto"/>
                                                                                                                    <w:bottom w:val="none" w:sz="0" w:space="0" w:color="auto"/>
                                                                                                                    <w:right w:val="none" w:sz="0" w:space="0" w:color="auto"/>
                                                                                                                  </w:divBdr>
                                                                                                                  <w:divsChild>
                                                                                                                    <w:div w:id="1537935353">
                                                                                                                      <w:marLeft w:val="0"/>
                                                                                                                      <w:marRight w:val="0"/>
                                                                                                                      <w:marTop w:val="0"/>
                                                                                                                      <w:marBottom w:val="0"/>
                                                                                                                      <w:divBdr>
                                                                                                                        <w:top w:val="none" w:sz="0" w:space="0" w:color="auto"/>
                                                                                                                        <w:left w:val="none" w:sz="0" w:space="0" w:color="auto"/>
                                                                                                                        <w:bottom w:val="none" w:sz="0" w:space="0" w:color="auto"/>
                                                                                                                        <w:right w:val="none" w:sz="0" w:space="0" w:color="auto"/>
                                                                                                                      </w:divBdr>
                                                                                                                      <w:divsChild>
                                                                                                                        <w:div w:id="743185856">
                                                                                                                          <w:marLeft w:val="0"/>
                                                                                                                          <w:marRight w:val="0"/>
                                                                                                                          <w:marTop w:val="0"/>
                                                                                                                          <w:marBottom w:val="0"/>
                                                                                                                          <w:divBdr>
                                                                                                                            <w:top w:val="none" w:sz="0" w:space="0" w:color="auto"/>
                                                                                                                            <w:left w:val="none" w:sz="0" w:space="0" w:color="auto"/>
                                                                                                                            <w:bottom w:val="none" w:sz="0" w:space="0" w:color="auto"/>
                                                                                                                            <w:right w:val="none" w:sz="0" w:space="0" w:color="auto"/>
                                                                                                                          </w:divBdr>
                                                                                                                          <w:divsChild>
                                                                                                                            <w:div w:id="917908670">
                                                                                                                              <w:marLeft w:val="0"/>
                                                                                                                              <w:marRight w:val="0"/>
                                                                                                                              <w:marTop w:val="0"/>
                                                                                                                              <w:marBottom w:val="0"/>
                                                                                                                              <w:divBdr>
                                                                                                                                <w:top w:val="none" w:sz="0" w:space="0" w:color="auto"/>
                                                                                                                                <w:left w:val="none" w:sz="0" w:space="0" w:color="auto"/>
                                                                                                                                <w:bottom w:val="none" w:sz="0" w:space="0" w:color="auto"/>
                                                                                                                                <w:right w:val="none" w:sz="0" w:space="0" w:color="auto"/>
                                                                                                                              </w:divBdr>
                                                                                                                              <w:divsChild>
                                                                                                                                <w:div w:id="1664165844">
                                                                                                                                  <w:marLeft w:val="0"/>
                                                                                                                                  <w:marRight w:val="0"/>
                                                                                                                                  <w:marTop w:val="0"/>
                                                                                                                                  <w:marBottom w:val="0"/>
                                                                                                                                  <w:divBdr>
                                                                                                                                    <w:top w:val="none" w:sz="0" w:space="0" w:color="auto"/>
                                                                                                                                    <w:left w:val="none" w:sz="0" w:space="0" w:color="auto"/>
                                                                                                                                    <w:bottom w:val="none" w:sz="0" w:space="0" w:color="auto"/>
                                                                                                                                    <w:right w:val="none" w:sz="0" w:space="0" w:color="auto"/>
                                                                                                                                  </w:divBdr>
                                                                                                                                  <w:divsChild>
                                                                                                                                    <w:div w:id="2027058353">
                                                                                                                                      <w:marLeft w:val="0"/>
                                                                                                                                      <w:marRight w:val="0"/>
                                                                                                                                      <w:marTop w:val="0"/>
                                                                                                                                      <w:marBottom w:val="0"/>
                                                                                                                                      <w:divBdr>
                                                                                                                                        <w:top w:val="none" w:sz="0" w:space="0" w:color="auto"/>
                                                                                                                                        <w:left w:val="none" w:sz="0" w:space="0" w:color="auto"/>
                                                                                                                                        <w:bottom w:val="none" w:sz="0" w:space="0" w:color="auto"/>
                                                                                                                                        <w:right w:val="none" w:sz="0" w:space="0" w:color="auto"/>
                                                                                                                                      </w:divBdr>
                                                                                                                                      <w:divsChild>
                                                                                                                                        <w:div w:id="1231501589">
                                                                                                                                          <w:marLeft w:val="0"/>
                                                                                                                                          <w:marRight w:val="0"/>
                                                                                                                                          <w:marTop w:val="0"/>
                                                                                                                                          <w:marBottom w:val="0"/>
                                                                                                                                          <w:divBdr>
                                                                                                                                            <w:top w:val="none" w:sz="0" w:space="0" w:color="auto"/>
                                                                                                                                            <w:left w:val="none" w:sz="0" w:space="0" w:color="auto"/>
                                                                                                                                            <w:bottom w:val="none" w:sz="0" w:space="0" w:color="auto"/>
                                                                                                                                            <w:right w:val="none" w:sz="0" w:space="0" w:color="auto"/>
                                                                                                                                          </w:divBdr>
                                                                                                                                          <w:divsChild>
                                                                                                                                            <w:div w:id="19212487">
                                                                                                                                              <w:marLeft w:val="0"/>
                                                                                                                                              <w:marRight w:val="0"/>
                                                                                                                                              <w:marTop w:val="0"/>
                                                                                                                                              <w:marBottom w:val="0"/>
                                                                                                                                              <w:divBdr>
                                                                                                                                                <w:top w:val="none" w:sz="0" w:space="0" w:color="auto"/>
                                                                                                                                                <w:left w:val="none" w:sz="0" w:space="0" w:color="auto"/>
                                                                                                                                                <w:bottom w:val="none" w:sz="0" w:space="0" w:color="auto"/>
                                                                                                                                                <w:right w:val="none" w:sz="0" w:space="0" w:color="auto"/>
                                                                                                                                              </w:divBdr>
                                                                                                                                              <w:divsChild>
                                                                                                                                                <w:div w:id="1495948965">
                                                                                                                                                  <w:marLeft w:val="0"/>
                                                                                                                                                  <w:marRight w:val="0"/>
                                                                                                                                                  <w:marTop w:val="0"/>
                                                                                                                                                  <w:marBottom w:val="0"/>
                                                                                                                                                  <w:divBdr>
                                                                                                                                                    <w:top w:val="none" w:sz="0" w:space="0" w:color="auto"/>
                                                                                                                                                    <w:left w:val="none" w:sz="0" w:space="0" w:color="auto"/>
                                                                                                                                                    <w:bottom w:val="none" w:sz="0" w:space="0" w:color="auto"/>
                                                                                                                                                    <w:right w:val="none" w:sz="0" w:space="0" w:color="auto"/>
                                                                                                                                                  </w:divBdr>
                                                                                                                                                  <w:divsChild>
                                                                                                                                                    <w:div w:id="509027728">
                                                                                                                                                      <w:marLeft w:val="0"/>
                                                                                                                                                      <w:marRight w:val="0"/>
                                                                                                                                                      <w:marTop w:val="0"/>
                                                                                                                                                      <w:marBottom w:val="0"/>
                                                                                                                                                      <w:divBdr>
                                                                                                                                                        <w:top w:val="none" w:sz="0" w:space="0" w:color="auto"/>
                                                                                                                                                        <w:left w:val="none" w:sz="0" w:space="0" w:color="auto"/>
                                                                                                                                                        <w:bottom w:val="none" w:sz="0" w:space="0" w:color="auto"/>
                                                                                                                                                        <w:right w:val="none" w:sz="0" w:space="0" w:color="auto"/>
                                                                                                                                                      </w:divBdr>
                                                                                                                                                      <w:divsChild>
                                                                                                                                                        <w:div w:id="2103068871">
                                                                                                                                                          <w:marLeft w:val="0"/>
                                                                                                                                                          <w:marRight w:val="0"/>
                                                                                                                                                          <w:marTop w:val="0"/>
                                                                                                                                                          <w:marBottom w:val="0"/>
                                                                                                                                                          <w:divBdr>
                                                                                                                                                            <w:top w:val="none" w:sz="0" w:space="0" w:color="auto"/>
                                                                                                                                                            <w:left w:val="none" w:sz="0" w:space="0" w:color="auto"/>
                                                                                                                                                            <w:bottom w:val="none" w:sz="0" w:space="0" w:color="auto"/>
                                                                                                                                                            <w:right w:val="none" w:sz="0" w:space="0" w:color="auto"/>
                                                                                                                                                          </w:divBdr>
                                                                                                                                                          <w:divsChild>
                                                                                                                                                            <w:div w:id="1975063170">
                                                                                                                                                              <w:marLeft w:val="0"/>
                                                                                                                                                              <w:marRight w:val="0"/>
                                                                                                                                                              <w:marTop w:val="0"/>
                                                                                                                                                              <w:marBottom w:val="0"/>
                                                                                                                                                              <w:divBdr>
                                                                                                                                                                <w:top w:val="none" w:sz="0" w:space="0" w:color="auto"/>
                                                                                                                                                                <w:left w:val="none" w:sz="0" w:space="0" w:color="auto"/>
                                                                                                                                                                <w:bottom w:val="none" w:sz="0" w:space="0" w:color="auto"/>
                                                                                                                                                                <w:right w:val="none" w:sz="0" w:space="0" w:color="auto"/>
                                                                                                                                                              </w:divBdr>
                                                                                                                                                              <w:divsChild>
                                                                                                                                                                <w:div w:id="1811745631">
                                                                                                                                                                  <w:marLeft w:val="0"/>
                                                                                                                                                                  <w:marRight w:val="0"/>
                                                                                                                                                                  <w:marTop w:val="0"/>
                                                                                                                                                                  <w:marBottom w:val="0"/>
                                                                                                                                                                  <w:divBdr>
                                                                                                                                                                    <w:top w:val="none" w:sz="0" w:space="0" w:color="auto"/>
                                                                                                                                                                    <w:left w:val="none" w:sz="0" w:space="0" w:color="auto"/>
                                                                                                                                                                    <w:bottom w:val="none" w:sz="0" w:space="0" w:color="auto"/>
                                                                                                                                                                    <w:right w:val="none" w:sz="0" w:space="0" w:color="auto"/>
                                                                                                                                                                  </w:divBdr>
                                                                                                                                                                  <w:divsChild>
                                                                                                                                                                    <w:div w:id="1807509252">
                                                                                                                                                                      <w:marLeft w:val="0"/>
                                                                                                                                                                      <w:marRight w:val="0"/>
                                                                                                                                                                      <w:marTop w:val="0"/>
                                                                                                                                                                      <w:marBottom w:val="0"/>
                                                                                                                                                                      <w:divBdr>
                                                                                                                                                                        <w:top w:val="none" w:sz="0" w:space="0" w:color="auto"/>
                                                                                                                                                                        <w:left w:val="none" w:sz="0" w:space="0" w:color="auto"/>
                                                                                                                                                                        <w:bottom w:val="none" w:sz="0" w:space="0" w:color="auto"/>
                                                                                                                                                                        <w:right w:val="none" w:sz="0" w:space="0" w:color="auto"/>
                                                                                                                                                                      </w:divBdr>
                                                                                                                                                                      <w:divsChild>
                                                                                                                                                                        <w:div w:id="1508907790">
                                                                                                                                                                          <w:marLeft w:val="0"/>
                                                                                                                                                                          <w:marRight w:val="0"/>
                                                                                                                                                                          <w:marTop w:val="0"/>
                                                                                                                                                                          <w:marBottom w:val="0"/>
                                                                                                                                                                          <w:divBdr>
                                                                                                                                                                            <w:top w:val="none" w:sz="0" w:space="0" w:color="auto"/>
                                                                                                                                                                            <w:left w:val="none" w:sz="0" w:space="0" w:color="auto"/>
                                                                                                                                                                            <w:bottom w:val="none" w:sz="0" w:space="0" w:color="auto"/>
                                                                                                                                                                            <w:right w:val="none" w:sz="0" w:space="0" w:color="auto"/>
                                                                                                                                                                          </w:divBdr>
                                                                                                                                                                          <w:divsChild>
                                                                                                                                                                            <w:div w:id="2127038379">
                                                                                                                                                                              <w:marLeft w:val="0"/>
                                                                                                                                                                              <w:marRight w:val="0"/>
                                                                                                                                                                              <w:marTop w:val="0"/>
                                                                                                                                                                              <w:marBottom w:val="0"/>
                                                                                                                                                                              <w:divBdr>
                                                                                                                                                                                <w:top w:val="none" w:sz="0" w:space="0" w:color="auto"/>
                                                                                                                                                                                <w:left w:val="none" w:sz="0" w:space="0" w:color="auto"/>
                                                                                                                                                                                <w:bottom w:val="none" w:sz="0" w:space="0" w:color="auto"/>
                                                                                                                                                                                <w:right w:val="none" w:sz="0" w:space="0" w:color="auto"/>
                                                                                                                                                                              </w:divBdr>
                                                                                                                                                                              <w:divsChild>
                                                                                                                                                                                <w:div w:id="1557664718">
                                                                                                                                                                                  <w:marLeft w:val="0"/>
                                                                                                                                                                                  <w:marRight w:val="0"/>
                                                                                                                                                                                  <w:marTop w:val="0"/>
                                                                                                                                                                                  <w:marBottom w:val="0"/>
                                                                                                                                                                                  <w:divBdr>
                                                                                                                                                                                    <w:top w:val="none" w:sz="0" w:space="0" w:color="auto"/>
                                                                                                                                                                                    <w:left w:val="none" w:sz="0" w:space="0" w:color="auto"/>
                                                                                                                                                                                    <w:bottom w:val="none" w:sz="0" w:space="0" w:color="auto"/>
                                                                                                                                                                                    <w:right w:val="none" w:sz="0" w:space="0" w:color="auto"/>
                                                                                                                                                                                  </w:divBdr>
                                                                                                                                                                                  <w:divsChild>
                                                                                                                                                                                    <w:div w:id="112870421">
                                                                                                                                                                                      <w:marLeft w:val="0"/>
                                                                                                                                                                                      <w:marRight w:val="0"/>
                                                                                                                                                                                      <w:marTop w:val="0"/>
                                                                                                                                                                                      <w:marBottom w:val="0"/>
                                                                                                                                                                                      <w:divBdr>
                                                                                                                                                                                        <w:top w:val="none" w:sz="0" w:space="0" w:color="auto"/>
                                                                                                                                                                                        <w:left w:val="none" w:sz="0" w:space="0" w:color="auto"/>
                                                                                                                                                                                        <w:bottom w:val="none" w:sz="0" w:space="0" w:color="auto"/>
                                                                                                                                                                                        <w:right w:val="none" w:sz="0" w:space="0" w:color="auto"/>
                                                                                                                                                                                      </w:divBdr>
                                                                                                                                                                                      <w:divsChild>
                                                                                                                                                                                        <w:div w:id="2016150553">
                                                                                                                                                                                          <w:marLeft w:val="0"/>
                                                                                                                                                                                          <w:marRight w:val="0"/>
                                                                                                                                                                                          <w:marTop w:val="0"/>
                                                                                                                                                                                          <w:marBottom w:val="0"/>
                                                                                                                                                                                          <w:divBdr>
                                                                                                                                                                                            <w:top w:val="none" w:sz="0" w:space="0" w:color="auto"/>
                                                                                                                                                                                            <w:left w:val="none" w:sz="0" w:space="0" w:color="auto"/>
                                                                                                                                                                                            <w:bottom w:val="none" w:sz="0" w:space="0" w:color="auto"/>
                                                                                                                                                                                            <w:right w:val="none" w:sz="0" w:space="0" w:color="auto"/>
                                                                                                                                                                                          </w:divBdr>
                                                                                                                                                                                          <w:divsChild>
                                                                                                                                                                                            <w:div w:id="1186867816">
                                                                                                                                                                                              <w:marLeft w:val="0"/>
                                                                                                                                                                                              <w:marRight w:val="0"/>
                                                                                                                                                                                              <w:marTop w:val="0"/>
                                                                                                                                                                                              <w:marBottom w:val="0"/>
                                                                                                                                                                                              <w:divBdr>
                                                                                                                                                                                                <w:top w:val="none" w:sz="0" w:space="0" w:color="auto"/>
                                                                                                                                                                                                <w:left w:val="none" w:sz="0" w:space="0" w:color="auto"/>
                                                                                                                                                                                                <w:bottom w:val="none" w:sz="0" w:space="0" w:color="auto"/>
                                                                                                                                                                                                <w:right w:val="none" w:sz="0" w:space="0" w:color="auto"/>
                                                                                                                                                                                              </w:divBdr>
                                                                                                                                                                                              <w:divsChild>
                                                                                                                                                                                                <w:div w:id="1259673750">
                                                                                                                                                                                                  <w:marLeft w:val="0"/>
                                                                                                                                                                                                  <w:marRight w:val="0"/>
                                                                                                                                                                                                  <w:marTop w:val="0"/>
                                                                                                                                                                                                  <w:marBottom w:val="0"/>
                                                                                                                                                                                                  <w:divBdr>
                                                                                                                                                                                                    <w:top w:val="none" w:sz="0" w:space="0" w:color="auto"/>
                                                                                                                                                                                                    <w:left w:val="none" w:sz="0" w:space="0" w:color="auto"/>
                                                                                                                                                                                                    <w:bottom w:val="none" w:sz="0" w:space="0" w:color="auto"/>
                                                                                                                                                                                                    <w:right w:val="none" w:sz="0" w:space="0" w:color="auto"/>
                                                                                                                                                                                                  </w:divBdr>
                                                                                                                                                                                                  <w:divsChild>
                                                                                                                                                                                                    <w:div w:id="185217290">
                                                                                                                                                                                                      <w:marLeft w:val="0"/>
                                                                                                                                                                                                      <w:marRight w:val="0"/>
                                                                                                                                                                                                      <w:marTop w:val="0"/>
                                                                                                                                                                                                      <w:marBottom w:val="0"/>
                                                                                                                                                                                                      <w:divBdr>
                                                                                                                                                                                                        <w:top w:val="none" w:sz="0" w:space="0" w:color="auto"/>
                                                                                                                                                                                                        <w:left w:val="none" w:sz="0" w:space="0" w:color="auto"/>
                                                                                                                                                                                                        <w:bottom w:val="none" w:sz="0" w:space="0" w:color="auto"/>
                                                                                                                                                                                                        <w:right w:val="none" w:sz="0" w:space="0" w:color="auto"/>
                                                                                                                                                                                                      </w:divBdr>
                                                                                                                                                                                                      <w:divsChild>
                                                                                                                                                                                                        <w:div w:id="2117168907">
                                                                                                                                                                                                          <w:marLeft w:val="0"/>
                                                                                                                                                                                                          <w:marRight w:val="0"/>
                                                                                                                                                                                                          <w:marTop w:val="0"/>
                                                                                                                                                                                                          <w:marBottom w:val="0"/>
                                                                                                                                                                                                          <w:divBdr>
                                                                                                                                                                                                            <w:top w:val="none" w:sz="0" w:space="0" w:color="auto"/>
                                                                                                                                                                                                            <w:left w:val="none" w:sz="0" w:space="0" w:color="auto"/>
                                                                                                                                                                                                            <w:bottom w:val="none" w:sz="0" w:space="0" w:color="auto"/>
                                                                                                                                                                                                            <w:right w:val="none" w:sz="0" w:space="0" w:color="auto"/>
                                                                                                                                                                                                          </w:divBdr>
                                                                                                                                                                                                          <w:divsChild>
                                                                                                                                                                                                            <w:div w:id="1954284192">
                                                                                                                                                                                                              <w:marLeft w:val="0"/>
                                                                                                                                                                                                              <w:marRight w:val="0"/>
                                                                                                                                                                                                              <w:marTop w:val="0"/>
                                                                                                                                                                                                              <w:marBottom w:val="0"/>
                                                                                                                                                                                                              <w:divBdr>
                                                                                                                                                                                                                <w:top w:val="none" w:sz="0" w:space="0" w:color="auto"/>
                                                                                                                                                                                                                <w:left w:val="none" w:sz="0" w:space="0" w:color="auto"/>
                                                                                                                                                                                                                <w:bottom w:val="none" w:sz="0" w:space="0" w:color="auto"/>
                                                                                                                                                                                                                <w:right w:val="none" w:sz="0" w:space="0" w:color="auto"/>
                                                                                                                                                                                                              </w:divBdr>
                                                                                                                                                                                                              <w:divsChild>
                                                                                                                                                                                                                <w:div w:id="552890138">
                                                                                                                                                                                                                  <w:marLeft w:val="0"/>
                                                                                                                                                                                                                  <w:marRight w:val="0"/>
                                                                                                                                                                                                                  <w:marTop w:val="0"/>
                                                                                                                                                                                                                  <w:marBottom w:val="0"/>
                                                                                                                                                                                                                  <w:divBdr>
                                                                                                                                                                                                                    <w:top w:val="none" w:sz="0" w:space="0" w:color="auto"/>
                                                                                                                                                                                                                    <w:left w:val="none" w:sz="0" w:space="0" w:color="auto"/>
                                                                                                                                                                                                                    <w:bottom w:val="none" w:sz="0" w:space="0" w:color="auto"/>
                                                                                                                                                                                                                    <w:right w:val="none" w:sz="0" w:space="0" w:color="auto"/>
                                                                                                                                                                                                                  </w:divBdr>
                                                                                                                                                                                                                  <w:divsChild>
                                                                                                                                                                                                                    <w:div w:id="1193108783">
                                                                                                                                                                                                                      <w:marLeft w:val="0"/>
                                                                                                                                                                                                                      <w:marRight w:val="0"/>
                                                                                                                                                                                                                      <w:marTop w:val="0"/>
                                                                                                                                                                                                                      <w:marBottom w:val="0"/>
                                                                                                                                                                                                                      <w:divBdr>
                                                                                                                                                                                                                        <w:top w:val="none" w:sz="0" w:space="0" w:color="auto"/>
                                                                                                                                                                                                                        <w:left w:val="none" w:sz="0" w:space="0" w:color="auto"/>
                                                                                                                                                                                                                        <w:bottom w:val="none" w:sz="0" w:space="0" w:color="auto"/>
                                                                                                                                                                                                                        <w:right w:val="none" w:sz="0" w:space="0" w:color="auto"/>
                                                                                                                                                                                                                      </w:divBdr>
                                                                                                                                                                                                                      <w:divsChild>
                                                                                                                                                                                                                        <w:div w:id="2112049591">
                                                                                                                                                                                                                          <w:marLeft w:val="0"/>
                                                                                                                                                                                                                          <w:marRight w:val="0"/>
                                                                                                                                                                                                                          <w:marTop w:val="0"/>
                                                                                                                                                                                                                          <w:marBottom w:val="0"/>
                                                                                                                                                                                                                          <w:divBdr>
                                                                                                                                                                                                                            <w:top w:val="none" w:sz="0" w:space="0" w:color="auto"/>
                                                                                                                                                                                                                            <w:left w:val="none" w:sz="0" w:space="0" w:color="auto"/>
                                                                                                                                                                                                                            <w:bottom w:val="none" w:sz="0" w:space="0" w:color="auto"/>
                                                                                                                                                                                                                            <w:right w:val="none" w:sz="0" w:space="0" w:color="auto"/>
                                                                                                                                                                                                                          </w:divBdr>
                                                                                                                                                                                                                          <w:divsChild>
                                                                                                                                                                                                                            <w:div w:id="232738755">
                                                                                                                                                                                                                              <w:marLeft w:val="0"/>
                                                                                                                                                                                                                              <w:marRight w:val="0"/>
                                                                                                                                                                                                                              <w:marTop w:val="0"/>
                                                                                                                                                                                                                              <w:marBottom w:val="0"/>
                                                                                                                                                                                                                              <w:divBdr>
                                                                                                                                                                                                                                <w:top w:val="none" w:sz="0" w:space="0" w:color="auto"/>
                                                                                                                                                                                                                                <w:left w:val="none" w:sz="0" w:space="0" w:color="auto"/>
                                                                                                                                                                                                                                <w:bottom w:val="none" w:sz="0" w:space="0" w:color="auto"/>
                                                                                                                                                                                                                                <w:right w:val="none" w:sz="0" w:space="0" w:color="auto"/>
                                                                                                                                                                                                                              </w:divBdr>
                                                                                                                                                                                                                              <w:divsChild>
                                                                                                                                                                                                                                <w:div w:id="1665353275">
                                                                                                                                                                                                                                  <w:marLeft w:val="0"/>
                                                                                                                                                                                                                                  <w:marRight w:val="0"/>
                                                                                                                                                                                                                                  <w:marTop w:val="0"/>
                                                                                                                                                                                                                                  <w:marBottom w:val="0"/>
                                                                                                                                                                                                                                  <w:divBdr>
                                                                                                                                                                                                                                    <w:top w:val="none" w:sz="0" w:space="0" w:color="auto"/>
                                                                                                                                                                                                                                    <w:left w:val="none" w:sz="0" w:space="0" w:color="auto"/>
                                                                                                                                                                                                                                    <w:bottom w:val="none" w:sz="0" w:space="0" w:color="auto"/>
                                                                                                                                                                                                                                    <w:right w:val="none" w:sz="0" w:space="0" w:color="auto"/>
                                                                                                                                                                                                                                  </w:divBdr>
                                                                                                                                                                                                                                  <w:divsChild>
                                                                                                                                                                                                                                    <w:div w:id="179978993">
                                                                                                                                                                                                                                      <w:marLeft w:val="0"/>
                                                                                                                                                                                                                                      <w:marRight w:val="0"/>
                                                                                                                                                                                                                                      <w:marTop w:val="0"/>
                                                                                                                                                                                                                                      <w:marBottom w:val="0"/>
                                                                                                                                                                                                                                      <w:divBdr>
                                                                                                                                                                                                                                        <w:top w:val="none" w:sz="0" w:space="0" w:color="auto"/>
                                                                                                                                                                                                                                        <w:left w:val="none" w:sz="0" w:space="0" w:color="auto"/>
                                                                                                                                                                                                                                        <w:bottom w:val="none" w:sz="0" w:space="0" w:color="auto"/>
                                                                                                                                                                                                                                        <w:right w:val="none" w:sz="0" w:space="0" w:color="auto"/>
                                                                                                                                                                                                                                      </w:divBdr>
                                                                                                                                                                                                                                      <w:divsChild>
                                                                                                                                                                                                                                        <w:div w:id="1792942434">
                                                                                                                                                                                                                                          <w:marLeft w:val="0"/>
                                                                                                                                                                                                                                          <w:marRight w:val="0"/>
                                                                                                                                                                                                                                          <w:marTop w:val="0"/>
                                                                                                                                                                                                                                          <w:marBottom w:val="0"/>
                                                                                                                                                                                                                                          <w:divBdr>
                                                                                                                                                                                                                                            <w:top w:val="none" w:sz="0" w:space="0" w:color="auto"/>
                                                                                                                                                                                                                                            <w:left w:val="none" w:sz="0" w:space="0" w:color="auto"/>
                                                                                                                                                                                                                                            <w:bottom w:val="none" w:sz="0" w:space="0" w:color="auto"/>
                                                                                                                                                                                                                                            <w:right w:val="none" w:sz="0" w:space="0" w:color="auto"/>
                                                                                                                                                                                                                                          </w:divBdr>
                                                                                                                                                                                                                                          <w:divsChild>
                                                                                                                                                                                                                                            <w:div w:id="1878856927">
                                                                                                                                                                                                                                              <w:marLeft w:val="0"/>
                                                                                                                                                                                                                                              <w:marRight w:val="0"/>
                                                                                                                                                                                                                                              <w:marTop w:val="0"/>
                                                                                                                                                                                                                                              <w:marBottom w:val="0"/>
                                                                                                                                                                                                                                              <w:divBdr>
                                                                                                                                                                                                                                                <w:top w:val="none" w:sz="0" w:space="0" w:color="auto"/>
                                                                                                                                                                                                                                                <w:left w:val="none" w:sz="0" w:space="0" w:color="auto"/>
                                                                                                                                                                                                                                                <w:bottom w:val="none" w:sz="0" w:space="0" w:color="auto"/>
                                                                                                                                                                                                                                                <w:right w:val="none" w:sz="0" w:space="0" w:color="auto"/>
                                                                                                                                                                                                                                              </w:divBdr>
                                                                                                                                                                                                                                              <w:divsChild>
                                                                                                                                                                                                                                                <w:div w:id="331370197">
                                                                                                                                                                                                                                                  <w:marLeft w:val="0"/>
                                                                                                                                                                                                                                                  <w:marRight w:val="0"/>
                                                                                                                                                                                                                                                  <w:marTop w:val="0"/>
                                                                                                                                                                                                                                                  <w:marBottom w:val="0"/>
                                                                                                                                                                                                                                                  <w:divBdr>
                                                                                                                                                                                                                                                    <w:top w:val="none" w:sz="0" w:space="0" w:color="auto"/>
                                                                                                                                                                                                                                                    <w:left w:val="none" w:sz="0" w:space="0" w:color="auto"/>
                                                                                                                                                                                                                                                    <w:bottom w:val="none" w:sz="0" w:space="0" w:color="auto"/>
                                                                                                                                                                                                                                                    <w:right w:val="none" w:sz="0" w:space="0" w:color="auto"/>
                                                                                                                                                                                                                                                  </w:divBdr>
                                                                                                                                                                                                                                                  <w:divsChild>
                                                                                                                                                                                                                                                    <w:div w:id="1697341071">
                                                                                                                                                                                                                                                      <w:marLeft w:val="0"/>
                                                                                                                                                                                                                                                      <w:marRight w:val="0"/>
                                                                                                                                                                                                                                                      <w:marTop w:val="0"/>
                                                                                                                                                                                                                                                      <w:marBottom w:val="0"/>
                                                                                                                                                                                                                                                      <w:divBdr>
                                                                                                                                                                                                                                                        <w:top w:val="none" w:sz="0" w:space="0" w:color="auto"/>
                                                                                                                                                                                                                                                        <w:left w:val="none" w:sz="0" w:space="0" w:color="auto"/>
                                                                                                                                                                                                                                                        <w:bottom w:val="none" w:sz="0" w:space="0" w:color="auto"/>
                                                                                                                                                                                                                                                        <w:right w:val="none" w:sz="0" w:space="0" w:color="auto"/>
                                                                                                                                                                                                                                                      </w:divBdr>
                                                                                                                                                                                                                                                      <w:divsChild>
                                                                                                                                                                                                                                                        <w:div w:id="518933582">
                                                                                                                                                                                                                                                          <w:marLeft w:val="0"/>
                                                                                                                                                                                                                                                          <w:marRight w:val="0"/>
                                                                                                                                                                                                                                                          <w:marTop w:val="0"/>
                                                                                                                                                                                                                                                          <w:marBottom w:val="0"/>
                                                                                                                                                                                                                                                          <w:divBdr>
                                                                                                                                                                                                                                                            <w:top w:val="none" w:sz="0" w:space="0" w:color="auto"/>
                                                                                                                                                                                                                                                            <w:left w:val="none" w:sz="0" w:space="0" w:color="auto"/>
                                                                                                                                                                                                                                                            <w:bottom w:val="none" w:sz="0" w:space="0" w:color="auto"/>
                                                                                                                                                                                                                                                            <w:right w:val="none" w:sz="0" w:space="0" w:color="auto"/>
                                                                                                                                                                                                                                                          </w:divBdr>
                                                                                                                                                                                                                                                          <w:divsChild>
                                                                                                                                                                                                                                                            <w:div w:id="1769501024">
                                                                                                                                                                                                                                                              <w:marLeft w:val="0"/>
                                                                                                                                                                                                                                                              <w:marRight w:val="0"/>
                                                                                                                                                                                                                                                              <w:marTop w:val="0"/>
                                                                                                                                                                                                                                                              <w:marBottom w:val="0"/>
                                                                                                                                                                                                                                                              <w:divBdr>
                                                                                                                                                                                                                                                                <w:top w:val="none" w:sz="0" w:space="0" w:color="auto"/>
                                                                                                                                                                                                                                                                <w:left w:val="none" w:sz="0" w:space="0" w:color="auto"/>
                                                                                                                                                                                                                                                                <w:bottom w:val="none" w:sz="0" w:space="0" w:color="auto"/>
                                                                                                                                                                                                                                                                <w:right w:val="none" w:sz="0" w:space="0" w:color="auto"/>
                                                                                                                                                                                                                                                              </w:divBdr>
                                                                                                                                                                                                                                                              <w:divsChild>
                                                                                                                                                                                                                                                                <w:div w:id="1539705461">
                                                                                                                                                                                                                                                                  <w:marLeft w:val="0"/>
                                                                                                                                                                                                                                                                  <w:marRight w:val="0"/>
                                                                                                                                                                                                                                                                  <w:marTop w:val="0"/>
                                                                                                                                                                                                                                                                  <w:marBottom w:val="0"/>
                                                                                                                                                                                                                                                                  <w:divBdr>
                                                                                                                                                                                                                                                                    <w:top w:val="none" w:sz="0" w:space="0" w:color="auto"/>
                                                                                                                                                                                                                                                                    <w:left w:val="none" w:sz="0" w:space="0" w:color="auto"/>
                                                                                                                                                                                                                                                                    <w:bottom w:val="none" w:sz="0" w:space="0" w:color="auto"/>
                                                                                                                                                                                                                                                                    <w:right w:val="none" w:sz="0" w:space="0" w:color="auto"/>
                                                                                                                                                                                                                                                                  </w:divBdr>
                                                                                                                                                                                                                                                                  <w:divsChild>
                                                                                                                                                                                                                                                                    <w:div w:id="111746822">
                                                                                                                                                                                                                                                                      <w:marLeft w:val="0"/>
                                                                                                                                                                                                                                                                      <w:marRight w:val="0"/>
                                                                                                                                                                                                                                                                      <w:marTop w:val="0"/>
                                                                                                                                                                                                                                                                      <w:marBottom w:val="0"/>
                                                                                                                                                                                                                                                                      <w:divBdr>
                                                                                                                                                                                                                                                                        <w:top w:val="none" w:sz="0" w:space="0" w:color="auto"/>
                                                                                                                                                                                                                                                                        <w:left w:val="none" w:sz="0" w:space="0" w:color="auto"/>
                                                                                                                                                                                                                                                                        <w:bottom w:val="none" w:sz="0" w:space="0" w:color="auto"/>
                                                                                                                                                                                                                                                                        <w:right w:val="none" w:sz="0" w:space="0" w:color="auto"/>
                                                                                                                                                                                                                                                                      </w:divBdr>
                                                                                                                                                                                                                                                                      <w:divsChild>
                                                                                                                                                                                                                                                                        <w:div w:id="976645927">
                                                                                                                                                                                                                                                                          <w:marLeft w:val="0"/>
                                                                                                                                                                                                                                                                          <w:marRight w:val="0"/>
                                                                                                                                                                                                                                                                          <w:marTop w:val="0"/>
                                                                                                                                                                                                                                                                          <w:marBottom w:val="0"/>
                                                                                                                                                                                                                                                                          <w:divBdr>
                                                                                                                                                                                                                                                                            <w:top w:val="none" w:sz="0" w:space="0" w:color="auto"/>
                                                                                                                                                                                                                                                                            <w:left w:val="none" w:sz="0" w:space="0" w:color="auto"/>
                                                                                                                                                                                                                                                                            <w:bottom w:val="none" w:sz="0" w:space="0" w:color="auto"/>
                                                                                                                                                                                                                                                                            <w:right w:val="none" w:sz="0" w:space="0" w:color="auto"/>
                                                                                                                                                                                                                                                                          </w:divBdr>
                                                                                                                                                                                                                                                                          <w:divsChild>
                                                                                                                                                                                                                                                                            <w:div w:id="87241488">
                                                                                                                                                                                                                                                                              <w:marLeft w:val="0"/>
                                                                                                                                                                                                                                                                              <w:marRight w:val="0"/>
                                                                                                                                                                                                                                                                              <w:marTop w:val="0"/>
                                                                                                                                                                                                                                                                              <w:marBottom w:val="0"/>
                                                                                                                                                                                                                                                                              <w:divBdr>
                                                                                                                                                                                                                                                                                <w:top w:val="none" w:sz="0" w:space="0" w:color="auto"/>
                                                                                                                                                                                                                                                                                <w:left w:val="none" w:sz="0" w:space="0" w:color="auto"/>
                                                                                                                                                                                                                                                                                <w:bottom w:val="none" w:sz="0" w:space="0" w:color="auto"/>
                                                                                                                                                                                                                                                                                <w:right w:val="none" w:sz="0" w:space="0" w:color="auto"/>
                                                                                                                                                                                                                                                                              </w:divBdr>
                                                                                                                                                                                                                                                                              <w:divsChild>
                                                                                                                                                                                                                                                                                <w:div w:id="1759474399">
                                                                                                                                                                                                                                                                                  <w:marLeft w:val="0"/>
                                                                                                                                                                                                                                                                                  <w:marRight w:val="0"/>
                                                                                                                                                                                                                                                                                  <w:marTop w:val="0"/>
                                                                                                                                                                                                                                                                                  <w:marBottom w:val="0"/>
                                                                                                                                                                                                                                                                                  <w:divBdr>
                                                                                                                                                                                                                                                                                    <w:top w:val="none" w:sz="0" w:space="0" w:color="auto"/>
                                                                                                                                                                                                                                                                                    <w:left w:val="none" w:sz="0" w:space="0" w:color="auto"/>
                                                                                                                                                                                                                                                                                    <w:bottom w:val="none" w:sz="0" w:space="0" w:color="auto"/>
                                                                                                                                                                                                                                                                                    <w:right w:val="none" w:sz="0" w:space="0" w:color="auto"/>
                                                                                                                                                                                                                                                                                  </w:divBdr>
                                                                                                                                                                                                                                                                                  <w:divsChild>
                                                                                                                                                                                                                                                                                    <w:div w:id="1359549796">
                                                                                                                                                                                                                                                                                      <w:marLeft w:val="0"/>
                                                                                                                                                                                                                                                                                      <w:marRight w:val="0"/>
                                                                                                                                                                                                                                                                                      <w:marTop w:val="0"/>
                                                                                                                                                                                                                                                                                      <w:marBottom w:val="0"/>
                                                                                                                                                                                                                                                                                      <w:divBdr>
                                                                                                                                                                                                                                                                                        <w:top w:val="none" w:sz="0" w:space="0" w:color="auto"/>
                                                                                                                                                                                                                                                                                        <w:left w:val="none" w:sz="0" w:space="0" w:color="auto"/>
                                                                                                                                                                                                                                                                                        <w:bottom w:val="none" w:sz="0" w:space="0" w:color="auto"/>
                                                                                                                                                                                                                                                                                        <w:right w:val="none" w:sz="0" w:space="0" w:color="auto"/>
                                                                                                                                                                                                                                                                                      </w:divBdr>
                                                                                                                                                                                                                                                                                      <w:divsChild>
                                                                                                                                                                                                                                                                                        <w:div w:id="1130514048">
                                                                                                                                                                                                                                                                                          <w:marLeft w:val="0"/>
                                                                                                                                                                                                                                                                                          <w:marRight w:val="0"/>
                                                                                                                                                                                                                                                                                          <w:marTop w:val="0"/>
                                                                                                                                                                                                                                                                                          <w:marBottom w:val="0"/>
                                                                                                                                                                                                                                                                                          <w:divBdr>
                                                                                                                                                                                                                                                                                            <w:top w:val="none" w:sz="0" w:space="0" w:color="auto"/>
                                                                                                                                                                                                                                                                                            <w:left w:val="none" w:sz="0" w:space="0" w:color="auto"/>
                                                                                                                                                                                                                                                                                            <w:bottom w:val="none" w:sz="0" w:space="0" w:color="auto"/>
                                                                                                                                                                                                                                                                                            <w:right w:val="none" w:sz="0" w:space="0" w:color="auto"/>
                                                                                                                                                                                                                                                                                          </w:divBdr>
                                                                                                                                                                                                                                                                                          <w:divsChild>
                                                                                                                                                                                                                                                                                            <w:div w:id="1749957098">
                                                                                                                                                                                                                                                                                              <w:marLeft w:val="0"/>
                                                                                                                                                                                                                                                                                              <w:marRight w:val="0"/>
                                                                                                                                                                                                                                                                                              <w:marTop w:val="0"/>
                                                                                                                                                                                                                                                                                              <w:marBottom w:val="0"/>
                                                                                                                                                                                                                                                                                              <w:divBdr>
                                                                                                                                                                                                                                                                                                <w:top w:val="none" w:sz="0" w:space="0" w:color="auto"/>
                                                                                                                                                                                                                                                                                                <w:left w:val="none" w:sz="0" w:space="0" w:color="auto"/>
                                                                                                                                                                                                                                                                                                <w:bottom w:val="none" w:sz="0" w:space="0" w:color="auto"/>
                                                                                                                                                                                                                                                                                                <w:right w:val="none" w:sz="0" w:space="0" w:color="auto"/>
                                                                                                                                                                                                                                                                                              </w:divBdr>
                                                                                                                                                                                                                                                                                              <w:divsChild>
                                                                                                                                                                                                                                                                                                <w:div w:id="1407997388">
                                                                                                                                                                                                                                                                                                  <w:marLeft w:val="0"/>
                                                                                                                                                                                                                                                                                                  <w:marRight w:val="0"/>
                                                                                                                                                                                                                                                                                                  <w:marTop w:val="0"/>
                                                                                                                                                                                                                                                                                                  <w:marBottom w:val="0"/>
                                                                                                                                                                                                                                                                                                  <w:divBdr>
                                                                                                                                                                                                                                                                                                    <w:top w:val="none" w:sz="0" w:space="0" w:color="auto"/>
                                                                                                                                                                                                                                                                                                    <w:left w:val="none" w:sz="0" w:space="0" w:color="auto"/>
                                                                                                                                                                                                                                                                                                    <w:bottom w:val="none" w:sz="0" w:space="0" w:color="auto"/>
                                                                                                                                                                                                                                                                                                    <w:right w:val="none" w:sz="0" w:space="0" w:color="auto"/>
                                                                                                                                                                                                                                                                                                  </w:divBdr>
                                                                                                                                                                                                                                                                                                  <w:divsChild>
                                                                                                                                                                                                                                                                                                    <w:div w:id="266929732">
                                                                                                                                                                                                                                                                                                      <w:marLeft w:val="0"/>
                                                                                                                                                                                                                                                                                                      <w:marRight w:val="0"/>
                                                                                                                                                                                                                                                                                                      <w:marTop w:val="0"/>
                                                                                                                                                                                                                                                                                                      <w:marBottom w:val="0"/>
                                                                                                                                                                                                                                                                                                      <w:divBdr>
                                                                                                                                                                                                                                                                                                        <w:top w:val="none" w:sz="0" w:space="0" w:color="auto"/>
                                                                                                                                                                                                                                                                                                        <w:left w:val="none" w:sz="0" w:space="0" w:color="auto"/>
                                                                                                                                                                                                                                                                                                        <w:bottom w:val="none" w:sz="0" w:space="0" w:color="auto"/>
                                                                                                                                                                                                                                                                                                        <w:right w:val="none" w:sz="0" w:space="0" w:color="auto"/>
                                                                                                                                                                                                                                                                                                      </w:divBdr>
                                                                                                                                                                                                                                                                                                      <w:divsChild>
                                                                                                                                                                                                                                                                                                        <w:div w:id="931819783">
                                                                                                                                                                                                                                                                                                          <w:marLeft w:val="0"/>
                                                                                                                                                                                                                                                                                                          <w:marRight w:val="0"/>
                                                                                                                                                                                                                                                                                                          <w:marTop w:val="0"/>
                                                                                                                                                                                                                                                                                                          <w:marBottom w:val="0"/>
                                                                                                                                                                                                                                                                                                          <w:divBdr>
                                                                                                                                                                                                                                                                                                            <w:top w:val="none" w:sz="0" w:space="0" w:color="auto"/>
                                                                                                                                                                                                                                                                                                            <w:left w:val="none" w:sz="0" w:space="0" w:color="auto"/>
                                                                                                                                                                                                                                                                                                            <w:bottom w:val="none" w:sz="0" w:space="0" w:color="auto"/>
                                                                                                                                                                                                                                                                                                            <w:right w:val="none" w:sz="0" w:space="0" w:color="auto"/>
                                                                                                                                                                                                                                                                                                          </w:divBdr>
                                                                                                                                                                                                                                                                                                          <w:divsChild>
                                                                                                                                                                                                                                                                                                            <w:div w:id="734012567">
                                                                                                                                                                                                                                                                                                              <w:marLeft w:val="0"/>
                                                                                                                                                                                                                                                                                                              <w:marRight w:val="0"/>
                                                                                                                                                                                                                                                                                                              <w:marTop w:val="0"/>
                                                                                                                                                                                                                                                                                                              <w:marBottom w:val="0"/>
                                                                                                                                                                                                                                                                                                              <w:divBdr>
                                                                                                                                                                                                                                                                                                                <w:top w:val="none" w:sz="0" w:space="0" w:color="auto"/>
                                                                                                                                                                                                                                                                                                                <w:left w:val="none" w:sz="0" w:space="0" w:color="auto"/>
                                                                                                                                                                                                                                                                                                                <w:bottom w:val="none" w:sz="0" w:space="0" w:color="auto"/>
                                                                                                                                                                                                                                                                                                                <w:right w:val="none" w:sz="0" w:space="0" w:color="auto"/>
                                                                                                                                                                                                                                                                                                              </w:divBdr>
                                                                                                                                                                                                                                                                                                              <w:divsChild>
                                                                                                                                                                                                                                                                                                                <w:div w:id="1622489327">
                                                                                                                                                                                                                                                                                                                  <w:marLeft w:val="0"/>
                                                                                                                                                                                                                                                                                                                  <w:marRight w:val="0"/>
                                                                                                                                                                                                                                                                                                                  <w:marTop w:val="0"/>
                                                                                                                                                                                                                                                                                                                  <w:marBottom w:val="0"/>
                                                                                                                                                                                                                                                                                                                  <w:divBdr>
                                                                                                                                                                                                                                                                                                                    <w:top w:val="none" w:sz="0" w:space="0" w:color="auto"/>
                                                                                                                                                                                                                                                                                                                    <w:left w:val="none" w:sz="0" w:space="0" w:color="auto"/>
                                                                                                                                                                                                                                                                                                                    <w:bottom w:val="none" w:sz="0" w:space="0" w:color="auto"/>
                                                                                                                                                                                                                                                                                                                    <w:right w:val="none" w:sz="0" w:space="0" w:color="auto"/>
                                                                                                                                                                                                                                                                                                                  </w:divBdr>
                                                                                                                                                                                                                                                                                                                  <w:divsChild>
                                                                                                                                                                                                                                                                                                                    <w:div w:id="11241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0271563">
      <w:bodyDiv w:val="1"/>
      <w:marLeft w:val="0"/>
      <w:marRight w:val="0"/>
      <w:marTop w:val="0"/>
      <w:marBottom w:val="0"/>
      <w:divBdr>
        <w:top w:val="none" w:sz="0" w:space="0" w:color="auto"/>
        <w:left w:val="none" w:sz="0" w:space="0" w:color="auto"/>
        <w:bottom w:val="none" w:sz="0" w:space="0" w:color="auto"/>
        <w:right w:val="none" w:sz="0" w:space="0" w:color="auto"/>
      </w:divBdr>
    </w:div>
    <w:div w:id="578371262">
      <w:bodyDiv w:val="1"/>
      <w:marLeft w:val="0"/>
      <w:marRight w:val="0"/>
      <w:marTop w:val="0"/>
      <w:marBottom w:val="0"/>
      <w:divBdr>
        <w:top w:val="none" w:sz="0" w:space="0" w:color="auto"/>
        <w:left w:val="none" w:sz="0" w:space="0" w:color="auto"/>
        <w:bottom w:val="none" w:sz="0" w:space="0" w:color="auto"/>
        <w:right w:val="none" w:sz="0" w:space="0" w:color="auto"/>
      </w:divBdr>
      <w:divsChild>
        <w:div w:id="1894416352">
          <w:marLeft w:val="0"/>
          <w:marRight w:val="0"/>
          <w:marTop w:val="0"/>
          <w:marBottom w:val="0"/>
          <w:divBdr>
            <w:top w:val="none" w:sz="0" w:space="0" w:color="auto"/>
            <w:left w:val="none" w:sz="0" w:space="0" w:color="auto"/>
            <w:bottom w:val="none" w:sz="0" w:space="0" w:color="auto"/>
            <w:right w:val="none" w:sz="0" w:space="0" w:color="auto"/>
          </w:divBdr>
          <w:divsChild>
            <w:div w:id="1539929388">
              <w:marLeft w:val="0"/>
              <w:marRight w:val="0"/>
              <w:marTop w:val="0"/>
              <w:marBottom w:val="0"/>
              <w:divBdr>
                <w:top w:val="none" w:sz="0" w:space="0" w:color="auto"/>
                <w:left w:val="none" w:sz="0" w:space="0" w:color="auto"/>
                <w:bottom w:val="none" w:sz="0" w:space="0" w:color="auto"/>
                <w:right w:val="none" w:sz="0" w:space="0" w:color="auto"/>
              </w:divBdr>
              <w:divsChild>
                <w:div w:id="4284170">
                  <w:marLeft w:val="0"/>
                  <w:marRight w:val="0"/>
                  <w:marTop w:val="0"/>
                  <w:marBottom w:val="0"/>
                  <w:divBdr>
                    <w:top w:val="none" w:sz="0" w:space="0" w:color="auto"/>
                    <w:left w:val="none" w:sz="0" w:space="0" w:color="auto"/>
                    <w:bottom w:val="none" w:sz="0" w:space="0" w:color="auto"/>
                    <w:right w:val="none" w:sz="0" w:space="0" w:color="auto"/>
                  </w:divBdr>
                  <w:divsChild>
                    <w:div w:id="1859848611">
                      <w:marLeft w:val="0"/>
                      <w:marRight w:val="0"/>
                      <w:marTop w:val="0"/>
                      <w:marBottom w:val="0"/>
                      <w:divBdr>
                        <w:top w:val="none" w:sz="0" w:space="0" w:color="auto"/>
                        <w:left w:val="none" w:sz="0" w:space="0" w:color="auto"/>
                        <w:bottom w:val="none" w:sz="0" w:space="0" w:color="auto"/>
                        <w:right w:val="none" w:sz="0" w:space="0" w:color="auto"/>
                      </w:divBdr>
                      <w:divsChild>
                        <w:div w:id="44454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402019">
      <w:bodyDiv w:val="1"/>
      <w:marLeft w:val="0"/>
      <w:marRight w:val="0"/>
      <w:marTop w:val="0"/>
      <w:marBottom w:val="0"/>
      <w:divBdr>
        <w:top w:val="none" w:sz="0" w:space="0" w:color="auto"/>
        <w:left w:val="none" w:sz="0" w:space="0" w:color="auto"/>
        <w:bottom w:val="none" w:sz="0" w:space="0" w:color="auto"/>
        <w:right w:val="none" w:sz="0" w:space="0" w:color="auto"/>
      </w:divBdr>
    </w:div>
    <w:div w:id="729881738">
      <w:bodyDiv w:val="1"/>
      <w:marLeft w:val="0"/>
      <w:marRight w:val="0"/>
      <w:marTop w:val="0"/>
      <w:marBottom w:val="0"/>
      <w:divBdr>
        <w:top w:val="none" w:sz="0" w:space="0" w:color="auto"/>
        <w:left w:val="none" w:sz="0" w:space="0" w:color="auto"/>
        <w:bottom w:val="none" w:sz="0" w:space="0" w:color="auto"/>
        <w:right w:val="none" w:sz="0" w:space="0" w:color="auto"/>
      </w:divBdr>
    </w:div>
    <w:div w:id="846747398">
      <w:bodyDiv w:val="1"/>
      <w:marLeft w:val="0"/>
      <w:marRight w:val="0"/>
      <w:marTop w:val="0"/>
      <w:marBottom w:val="0"/>
      <w:divBdr>
        <w:top w:val="none" w:sz="0" w:space="0" w:color="auto"/>
        <w:left w:val="none" w:sz="0" w:space="0" w:color="auto"/>
        <w:bottom w:val="none" w:sz="0" w:space="0" w:color="auto"/>
        <w:right w:val="none" w:sz="0" w:space="0" w:color="auto"/>
      </w:divBdr>
    </w:div>
    <w:div w:id="882643801">
      <w:bodyDiv w:val="1"/>
      <w:marLeft w:val="0"/>
      <w:marRight w:val="0"/>
      <w:marTop w:val="0"/>
      <w:marBottom w:val="0"/>
      <w:divBdr>
        <w:top w:val="none" w:sz="0" w:space="0" w:color="auto"/>
        <w:left w:val="none" w:sz="0" w:space="0" w:color="auto"/>
        <w:bottom w:val="none" w:sz="0" w:space="0" w:color="auto"/>
        <w:right w:val="none" w:sz="0" w:space="0" w:color="auto"/>
      </w:divBdr>
    </w:div>
    <w:div w:id="969700553">
      <w:bodyDiv w:val="1"/>
      <w:marLeft w:val="0"/>
      <w:marRight w:val="0"/>
      <w:marTop w:val="0"/>
      <w:marBottom w:val="0"/>
      <w:divBdr>
        <w:top w:val="none" w:sz="0" w:space="0" w:color="auto"/>
        <w:left w:val="none" w:sz="0" w:space="0" w:color="auto"/>
        <w:bottom w:val="none" w:sz="0" w:space="0" w:color="auto"/>
        <w:right w:val="none" w:sz="0" w:space="0" w:color="auto"/>
      </w:divBdr>
      <w:divsChild>
        <w:div w:id="165676987">
          <w:marLeft w:val="0"/>
          <w:marRight w:val="0"/>
          <w:marTop w:val="0"/>
          <w:marBottom w:val="0"/>
          <w:divBdr>
            <w:top w:val="none" w:sz="0" w:space="0" w:color="auto"/>
            <w:left w:val="none" w:sz="0" w:space="0" w:color="auto"/>
            <w:bottom w:val="none" w:sz="0" w:space="0" w:color="auto"/>
            <w:right w:val="none" w:sz="0" w:space="0" w:color="auto"/>
          </w:divBdr>
          <w:divsChild>
            <w:div w:id="1725910584">
              <w:marLeft w:val="0"/>
              <w:marRight w:val="0"/>
              <w:marTop w:val="0"/>
              <w:marBottom w:val="0"/>
              <w:divBdr>
                <w:top w:val="none" w:sz="0" w:space="0" w:color="auto"/>
                <w:left w:val="none" w:sz="0" w:space="0" w:color="auto"/>
                <w:bottom w:val="none" w:sz="0" w:space="0" w:color="auto"/>
                <w:right w:val="none" w:sz="0" w:space="0" w:color="auto"/>
              </w:divBdr>
              <w:divsChild>
                <w:div w:id="134428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83858">
      <w:bodyDiv w:val="1"/>
      <w:marLeft w:val="0"/>
      <w:marRight w:val="0"/>
      <w:marTop w:val="0"/>
      <w:marBottom w:val="0"/>
      <w:divBdr>
        <w:top w:val="none" w:sz="0" w:space="0" w:color="auto"/>
        <w:left w:val="none" w:sz="0" w:space="0" w:color="auto"/>
        <w:bottom w:val="none" w:sz="0" w:space="0" w:color="auto"/>
        <w:right w:val="none" w:sz="0" w:space="0" w:color="auto"/>
      </w:divBdr>
      <w:divsChild>
        <w:div w:id="1116675566">
          <w:marLeft w:val="0"/>
          <w:marRight w:val="0"/>
          <w:marTop w:val="0"/>
          <w:marBottom w:val="0"/>
          <w:divBdr>
            <w:top w:val="none" w:sz="0" w:space="0" w:color="auto"/>
            <w:left w:val="none" w:sz="0" w:space="0" w:color="auto"/>
            <w:bottom w:val="none" w:sz="0" w:space="0" w:color="auto"/>
            <w:right w:val="none" w:sz="0" w:space="0" w:color="auto"/>
          </w:divBdr>
        </w:div>
        <w:div w:id="835999963">
          <w:marLeft w:val="0"/>
          <w:marRight w:val="0"/>
          <w:marTop w:val="0"/>
          <w:marBottom w:val="0"/>
          <w:divBdr>
            <w:top w:val="none" w:sz="0" w:space="0" w:color="auto"/>
            <w:left w:val="none" w:sz="0" w:space="0" w:color="auto"/>
            <w:bottom w:val="none" w:sz="0" w:space="0" w:color="auto"/>
            <w:right w:val="none" w:sz="0" w:space="0" w:color="auto"/>
          </w:divBdr>
        </w:div>
        <w:div w:id="2010520373">
          <w:marLeft w:val="0"/>
          <w:marRight w:val="0"/>
          <w:marTop w:val="0"/>
          <w:marBottom w:val="0"/>
          <w:divBdr>
            <w:top w:val="none" w:sz="0" w:space="0" w:color="auto"/>
            <w:left w:val="none" w:sz="0" w:space="0" w:color="auto"/>
            <w:bottom w:val="none" w:sz="0" w:space="0" w:color="auto"/>
            <w:right w:val="none" w:sz="0" w:space="0" w:color="auto"/>
          </w:divBdr>
        </w:div>
        <w:div w:id="1258758621">
          <w:marLeft w:val="0"/>
          <w:marRight w:val="0"/>
          <w:marTop w:val="0"/>
          <w:marBottom w:val="0"/>
          <w:divBdr>
            <w:top w:val="none" w:sz="0" w:space="0" w:color="auto"/>
            <w:left w:val="none" w:sz="0" w:space="0" w:color="auto"/>
            <w:bottom w:val="none" w:sz="0" w:space="0" w:color="auto"/>
            <w:right w:val="none" w:sz="0" w:space="0" w:color="auto"/>
          </w:divBdr>
        </w:div>
        <w:div w:id="537550762">
          <w:marLeft w:val="0"/>
          <w:marRight w:val="0"/>
          <w:marTop w:val="0"/>
          <w:marBottom w:val="0"/>
          <w:divBdr>
            <w:top w:val="none" w:sz="0" w:space="0" w:color="auto"/>
            <w:left w:val="none" w:sz="0" w:space="0" w:color="auto"/>
            <w:bottom w:val="none" w:sz="0" w:space="0" w:color="auto"/>
            <w:right w:val="none" w:sz="0" w:space="0" w:color="auto"/>
          </w:divBdr>
        </w:div>
        <w:div w:id="809369889">
          <w:marLeft w:val="0"/>
          <w:marRight w:val="0"/>
          <w:marTop w:val="0"/>
          <w:marBottom w:val="0"/>
          <w:divBdr>
            <w:top w:val="none" w:sz="0" w:space="0" w:color="auto"/>
            <w:left w:val="none" w:sz="0" w:space="0" w:color="auto"/>
            <w:bottom w:val="none" w:sz="0" w:space="0" w:color="auto"/>
            <w:right w:val="none" w:sz="0" w:space="0" w:color="auto"/>
          </w:divBdr>
          <w:divsChild>
            <w:div w:id="354617496">
              <w:marLeft w:val="0"/>
              <w:marRight w:val="0"/>
              <w:marTop w:val="0"/>
              <w:marBottom w:val="0"/>
              <w:divBdr>
                <w:top w:val="none" w:sz="0" w:space="0" w:color="auto"/>
                <w:left w:val="none" w:sz="0" w:space="0" w:color="auto"/>
                <w:bottom w:val="none" w:sz="0" w:space="0" w:color="auto"/>
                <w:right w:val="none" w:sz="0" w:space="0" w:color="auto"/>
              </w:divBdr>
            </w:div>
          </w:divsChild>
        </w:div>
        <w:div w:id="1361786551">
          <w:marLeft w:val="0"/>
          <w:marRight w:val="0"/>
          <w:marTop w:val="0"/>
          <w:marBottom w:val="0"/>
          <w:divBdr>
            <w:top w:val="none" w:sz="0" w:space="0" w:color="auto"/>
            <w:left w:val="none" w:sz="0" w:space="0" w:color="auto"/>
            <w:bottom w:val="none" w:sz="0" w:space="0" w:color="auto"/>
            <w:right w:val="none" w:sz="0" w:space="0" w:color="auto"/>
          </w:divBdr>
          <w:divsChild>
            <w:div w:id="1431581208">
              <w:marLeft w:val="0"/>
              <w:marRight w:val="0"/>
              <w:marTop w:val="0"/>
              <w:marBottom w:val="0"/>
              <w:divBdr>
                <w:top w:val="none" w:sz="0" w:space="0" w:color="auto"/>
                <w:left w:val="none" w:sz="0" w:space="0" w:color="auto"/>
                <w:bottom w:val="none" w:sz="0" w:space="0" w:color="auto"/>
                <w:right w:val="none" w:sz="0" w:space="0" w:color="auto"/>
              </w:divBdr>
            </w:div>
          </w:divsChild>
        </w:div>
        <w:div w:id="502476283">
          <w:marLeft w:val="0"/>
          <w:marRight w:val="0"/>
          <w:marTop w:val="0"/>
          <w:marBottom w:val="0"/>
          <w:divBdr>
            <w:top w:val="none" w:sz="0" w:space="0" w:color="auto"/>
            <w:left w:val="none" w:sz="0" w:space="0" w:color="auto"/>
            <w:bottom w:val="none" w:sz="0" w:space="0" w:color="auto"/>
            <w:right w:val="none" w:sz="0" w:space="0" w:color="auto"/>
          </w:divBdr>
        </w:div>
        <w:div w:id="270284558">
          <w:marLeft w:val="0"/>
          <w:marRight w:val="0"/>
          <w:marTop w:val="0"/>
          <w:marBottom w:val="0"/>
          <w:divBdr>
            <w:top w:val="none" w:sz="0" w:space="0" w:color="auto"/>
            <w:left w:val="none" w:sz="0" w:space="0" w:color="auto"/>
            <w:bottom w:val="none" w:sz="0" w:space="0" w:color="auto"/>
            <w:right w:val="none" w:sz="0" w:space="0" w:color="auto"/>
          </w:divBdr>
        </w:div>
        <w:div w:id="734359512">
          <w:marLeft w:val="0"/>
          <w:marRight w:val="0"/>
          <w:marTop w:val="0"/>
          <w:marBottom w:val="0"/>
          <w:divBdr>
            <w:top w:val="none" w:sz="0" w:space="0" w:color="auto"/>
            <w:left w:val="none" w:sz="0" w:space="0" w:color="auto"/>
            <w:bottom w:val="none" w:sz="0" w:space="0" w:color="auto"/>
            <w:right w:val="none" w:sz="0" w:space="0" w:color="auto"/>
          </w:divBdr>
        </w:div>
        <w:div w:id="1525748703">
          <w:marLeft w:val="0"/>
          <w:marRight w:val="0"/>
          <w:marTop w:val="0"/>
          <w:marBottom w:val="0"/>
          <w:divBdr>
            <w:top w:val="none" w:sz="0" w:space="0" w:color="auto"/>
            <w:left w:val="none" w:sz="0" w:space="0" w:color="auto"/>
            <w:bottom w:val="none" w:sz="0" w:space="0" w:color="auto"/>
            <w:right w:val="none" w:sz="0" w:space="0" w:color="auto"/>
          </w:divBdr>
        </w:div>
        <w:div w:id="1351251499">
          <w:marLeft w:val="0"/>
          <w:marRight w:val="0"/>
          <w:marTop w:val="0"/>
          <w:marBottom w:val="0"/>
          <w:divBdr>
            <w:top w:val="none" w:sz="0" w:space="0" w:color="auto"/>
            <w:left w:val="none" w:sz="0" w:space="0" w:color="auto"/>
            <w:bottom w:val="none" w:sz="0" w:space="0" w:color="auto"/>
            <w:right w:val="none" w:sz="0" w:space="0" w:color="auto"/>
          </w:divBdr>
        </w:div>
        <w:div w:id="1887178431">
          <w:marLeft w:val="0"/>
          <w:marRight w:val="0"/>
          <w:marTop w:val="0"/>
          <w:marBottom w:val="0"/>
          <w:divBdr>
            <w:top w:val="none" w:sz="0" w:space="0" w:color="auto"/>
            <w:left w:val="none" w:sz="0" w:space="0" w:color="auto"/>
            <w:bottom w:val="none" w:sz="0" w:space="0" w:color="auto"/>
            <w:right w:val="none" w:sz="0" w:space="0" w:color="auto"/>
          </w:divBdr>
        </w:div>
        <w:div w:id="1097288715">
          <w:marLeft w:val="0"/>
          <w:marRight w:val="0"/>
          <w:marTop w:val="0"/>
          <w:marBottom w:val="0"/>
          <w:divBdr>
            <w:top w:val="none" w:sz="0" w:space="0" w:color="auto"/>
            <w:left w:val="none" w:sz="0" w:space="0" w:color="auto"/>
            <w:bottom w:val="none" w:sz="0" w:space="0" w:color="auto"/>
            <w:right w:val="none" w:sz="0" w:space="0" w:color="auto"/>
          </w:divBdr>
        </w:div>
        <w:div w:id="1769079540">
          <w:marLeft w:val="0"/>
          <w:marRight w:val="0"/>
          <w:marTop w:val="0"/>
          <w:marBottom w:val="0"/>
          <w:divBdr>
            <w:top w:val="none" w:sz="0" w:space="0" w:color="auto"/>
            <w:left w:val="none" w:sz="0" w:space="0" w:color="auto"/>
            <w:bottom w:val="none" w:sz="0" w:space="0" w:color="auto"/>
            <w:right w:val="none" w:sz="0" w:space="0" w:color="auto"/>
          </w:divBdr>
        </w:div>
        <w:div w:id="1710648560">
          <w:marLeft w:val="0"/>
          <w:marRight w:val="0"/>
          <w:marTop w:val="0"/>
          <w:marBottom w:val="0"/>
          <w:divBdr>
            <w:top w:val="none" w:sz="0" w:space="0" w:color="auto"/>
            <w:left w:val="none" w:sz="0" w:space="0" w:color="auto"/>
            <w:bottom w:val="none" w:sz="0" w:space="0" w:color="auto"/>
            <w:right w:val="none" w:sz="0" w:space="0" w:color="auto"/>
          </w:divBdr>
        </w:div>
        <w:div w:id="1300648005">
          <w:marLeft w:val="0"/>
          <w:marRight w:val="0"/>
          <w:marTop w:val="0"/>
          <w:marBottom w:val="0"/>
          <w:divBdr>
            <w:top w:val="none" w:sz="0" w:space="0" w:color="auto"/>
            <w:left w:val="none" w:sz="0" w:space="0" w:color="auto"/>
            <w:bottom w:val="none" w:sz="0" w:space="0" w:color="auto"/>
            <w:right w:val="none" w:sz="0" w:space="0" w:color="auto"/>
          </w:divBdr>
        </w:div>
        <w:div w:id="399795635">
          <w:marLeft w:val="0"/>
          <w:marRight w:val="0"/>
          <w:marTop w:val="0"/>
          <w:marBottom w:val="0"/>
          <w:divBdr>
            <w:top w:val="none" w:sz="0" w:space="0" w:color="auto"/>
            <w:left w:val="none" w:sz="0" w:space="0" w:color="auto"/>
            <w:bottom w:val="none" w:sz="0" w:space="0" w:color="auto"/>
            <w:right w:val="none" w:sz="0" w:space="0" w:color="auto"/>
          </w:divBdr>
        </w:div>
        <w:div w:id="72627663">
          <w:marLeft w:val="0"/>
          <w:marRight w:val="0"/>
          <w:marTop w:val="0"/>
          <w:marBottom w:val="0"/>
          <w:divBdr>
            <w:top w:val="none" w:sz="0" w:space="0" w:color="auto"/>
            <w:left w:val="none" w:sz="0" w:space="0" w:color="auto"/>
            <w:bottom w:val="none" w:sz="0" w:space="0" w:color="auto"/>
            <w:right w:val="none" w:sz="0" w:space="0" w:color="auto"/>
          </w:divBdr>
          <w:divsChild>
            <w:div w:id="163015414">
              <w:marLeft w:val="0"/>
              <w:marRight w:val="0"/>
              <w:marTop w:val="0"/>
              <w:marBottom w:val="0"/>
              <w:divBdr>
                <w:top w:val="none" w:sz="0" w:space="0" w:color="auto"/>
                <w:left w:val="none" w:sz="0" w:space="0" w:color="auto"/>
                <w:bottom w:val="none" w:sz="0" w:space="0" w:color="auto"/>
                <w:right w:val="none" w:sz="0" w:space="0" w:color="auto"/>
              </w:divBdr>
              <w:divsChild>
                <w:div w:id="674453617">
                  <w:marLeft w:val="0"/>
                  <w:marRight w:val="0"/>
                  <w:marTop w:val="0"/>
                  <w:marBottom w:val="0"/>
                  <w:divBdr>
                    <w:top w:val="none" w:sz="0" w:space="0" w:color="auto"/>
                    <w:left w:val="none" w:sz="0" w:space="0" w:color="auto"/>
                    <w:bottom w:val="none" w:sz="0" w:space="0" w:color="auto"/>
                    <w:right w:val="none" w:sz="0" w:space="0" w:color="auto"/>
                  </w:divBdr>
                </w:div>
                <w:div w:id="54596529">
                  <w:marLeft w:val="0"/>
                  <w:marRight w:val="0"/>
                  <w:marTop w:val="0"/>
                  <w:marBottom w:val="0"/>
                  <w:divBdr>
                    <w:top w:val="none" w:sz="0" w:space="0" w:color="auto"/>
                    <w:left w:val="none" w:sz="0" w:space="0" w:color="auto"/>
                    <w:bottom w:val="none" w:sz="0" w:space="0" w:color="auto"/>
                    <w:right w:val="none" w:sz="0" w:space="0" w:color="auto"/>
                  </w:divBdr>
                </w:div>
                <w:div w:id="106891595">
                  <w:marLeft w:val="0"/>
                  <w:marRight w:val="0"/>
                  <w:marTop w:val="0"/>
                  <w:marBottom w:val="0"/>
                  <w:divBdr>
                    <w:top w:val="none" w:sz="0" w:space="0" w:color="auto"/>
                    <w:left w:val="none" w:sz="0" w:space="0" w:color="auto"/>
                    <w:bottom w:val="none" w:sz="0" w:space="0" w:color="auto"/>
                    <w:right w:val="none" w:sz="0" w:space="0" w:color="auto"/>
                  </w:divBdr>
                </w:div>
              </w:divsChild>
            </w:div>
            <w:div w:id="169105978">
              <w:marLeft w:val="0"/>
              <w:marRight w:val="0"/>
              <w:marTop w:val="0"/>
              <w:marBottom w:val="0"/>
              <w:divBdr>
                <w:top w:val="none" w:sz="0" w:space="0" w:color="auto"/>
                <w:left w:val="none" w:sz="0" w:space="0" w:color="auto"/>
                <w:bottom w:val="none" w:sz="0" w:space="0" w:color="auto"/>
                <w:right w:val="none" w:sz="0" w:space="0" w:color="auto"/>
              </w:divBdr>
            </w:div>
            <w:div w:id="130826506">
              <w:marLeft w:val="0"/>
              <w:marRight w:val="0"/>
              <w:marTop w:val="0"/>
              <w:marBottom w:val="0"/>
              <w:divBdr>
                <w:top w:val="none" w:sz="0" w:space="0" w:color="auto"/>
                <w:left w:val="none" w:sz="0" w:space="0" w:color="auto"/>
                <w:bottom w:val="none" w:sz="0" w:space="0" w:color="auto"/>
                <w:right w:val="none" w:sz="0" w:space="0" w:color="auto"/>
              </w:divBdr>
            </w:div>
            <w:div w:id="643317165">
              <w:marLeft w:val="0"/>
              <w:marRight w:val="0"/>
              <w:marTop w:val="0"/>
              <w:marBottom w:val="0"/>
              <w:divBdr>
                <w:top w:val="none" w:sz="0" w:space="0" w:color="auto"/>
                <w:left w:val="none" w:sz="0" w:space="0" w:color="auto"/>
                <w:bottom w:val="none" w:sz="0" w:space="0" w:color="auto"/>
                <w:right w:val="none" w:sz="0" w:space="0" w:color="auto"/>
              </w:divBdr>
            </w:div>
            <w:div w:id="840857217">
              <w:marLeft w:val="0"/>
              <w:marRight w:val="0"/>
              <w:marTop w:val="0"/>
              <w:marBottom w:val="0"/>
              <w:divBdr>
                <w:top w:val="none" w:sz="0" w:space="0" w:color="auto"/>
                <w:left w:val="none" w:sz="0" w:space="0" w:color="auto"/>
                <w:bottom w:val="none" w:sz="0" w:space="0" w:color="auto"/>
                <w:right w:val="none" w:sz="0" w:space="0" w:color="auto"/>
              </w:divBdr>
            </w:div>
            <w:div w:id="1276790576">
              <w:marLeft w:val="0"/>
              <w:marRight w:val="0"/>
              <w:marTop w:val="0"/>
              <w:marBottom w:val="0"/>
              <w:divBdr>
                <w:top w:val="none" w:sz="0" w:space="0" w:color="auto"/>
                <w:left w:val="none" w:sz="0" w:space="0" w:color="auto"/>
                <w:bottom w:val="none" w:sz="0" w:space="0" w:color="auto"/>
                <w:right w:val="none" w:sz="0" w:space="0" w:color="auto"/>
              </w:divBdr>
            </w:div>
            <w:div w:id="670135711">
              <w:marLeft w:val="0"/>
              <w:marRight w:val="0"/>
              <w:marTop w:val="0"/>
              <w:marBottom w:val="0"/>
              <w:divBdr>
                <w:top w:val="none" w:sz="0" w:space="0" w:color="auto"/>
                <w:left w:val="none" w:sz="0" w:space="0" w:color="auto"/>
                <w:bottom w:val="none" w:sz="0" w:space="0" w:color="auto"/>
                <w:right w:val="none" w:sz="0" w:space="0" w:color="auto"/>
              </w:divBdr>
            </w:div>
          </w:divsChild>
        </w:div>
        <w:div w:id="174073084">
          <w:marLeft w:val="0"/>
          <w:marRight w:val="0"/>
          <w:marTop w:val="0"/>
          <w:marBottom w:val="0"/>
          <w:divBdr>
            <w:top w:val="none" w:sz="0" w:space="0" w:color="auto"/>
            <w:left w:val="none" w:sz="0" w:space="0" w:color="auto"/>
            <w:bottom w:val="none" w:sz="0" w:space="0" w:color="auto"/>
            <w:right w:val="none" w:sz="0" w:space="0" w:color="auto"/>
          </w:divBdr>
          <w:divsChild>
            <w:div w:id="1843668494">
              <w:marLeft w:val="0"/>
              <w:marRight w:val="0"/>
              <w:marTop w:val="0"/>
              <w:marBottom w:val="0"/>
              <w:divBdr>
                <w:top w:val="none" w:sz="0" w:space="0" w:color="auto"/>
                <w:left w:val="none" w:sz="0" w:space="0" w:color="auto"/>
                <w:bottom w:val="none" w:sz="0" w:space="0" w:color="auto"/>
                <w:right w:val="none" w:sz="0" w:space="0" w:color="auto"/>
              </w:divBdr>
            </w:div>
          </w:divsChild>
        </w:div>
        <w:div w:id="1539926978">
          <w:marLeft w:val="0"/>
          <w:marRight w:val="0"/>
          <w:marTop w:val="0"/>
          <w:marBottom w:val="0"/>
          <w:divBdr>
            <w:top w:val="none" w:sz="0" w:space="0" w:color="auto"/>
            <w:left w:val="none" w:sz="0" w:space="0" w:color="auto"/>
            <w:bottom w:val="none" w:sz="0" w:space="0" w:color="auto"/>
            <w:right w:val="none" w:sz="0" w:space="0" w:color="auto"/>
          </w:divBdr>
          <w:divsChild>
            <w:div w:id="1929733913">
              <w:marLeft w:val="0"/>
              <w:marRight w:val="0"/>
              <w:marTop w:val="0"/>
              <w:marBottom w:val="0"/>
              <w:divBdr>
                <w:top w:val="none" w:sz="0" w:space="0" w:color="auto"/>
                <w:left w:val="none" w:sz="0" w:space="0" w:color="auto"/>
                <w:bottom w:val="none" w:sz="0" w:space="0" w:color="auto"/>
                <w:right w:val="none" w:sz="0" w:space="0" w:color="auto"/>
              </w:divBdr>
            </w:div>
          </w:divsChild>
        </w:div>
        <w:div w:id="213660240">
          <w:marLeft w:val="0"/>
          <w:marRight w:val="0"/>
          <w:marTop w:val="0"/>
          <w:marBottom w:val="0"/>
          <w:divBdr>
            <w:top w:val="none" w:sz="0" w:space="0" w:color="auto"/>
            <w:left w:val="none" w:sz="0" w:space="0" w:color="auto"/>
            <w:bottom w:val="none" w:sz="0" w:space="0" w:color="auto"/>
            <w:right w:val="none" w:sz="0" w:space="0" w:color="auto"/>
          </w:divBdr>
        </w:div>
        <w:div w:id="1245649999">
          <w:marLeft w:val="0"/>
          <w:marRight w:val="0"/>
          <w:marTop w:val="0"/>
          <w:marBottom w:val="0"/>
          <w:divBdr>
            <w:top w:val="none" w:sz="0" w:space="0" w:color="auto"/>
            <w:left w:val="none" w:sz="0" w:space="0" w:color="auto"/>
            <w:bottom w:val="none" w:sz="0" w:space="0" w:color="auto"/>
            <w:right w:val="none" w:sz="0" w:space="0" w:color="auto"/>
          </w:divBdr>
        </w:div>
        <w:div w:id="421489067">
          <w:marLeft w:val="0"/>
          <w:marRight w:val="0"/>
          <w:marTop w:val="0"/>
          <w:marBottom w:val="0"/>
          <w:divBdr>
            <w:top w:val="none" w:sz="0" w:space="0" w:color="auto"/>
            <w:left w:val="none" w:sz="0" w:space="0" w:color="auto"/>
            <w:bottom w:val="none" w:sz="0" w:space="0" w:color="auto"/>
            <w:right w:val="none" w:sz="0" w:space="0" w:color="auto"/>
          </w:divBdr>
        </w:div>
        <w:div w:id="2016608909">
          <w:marLeft w:val="0"/>
          <w:marRight w:val="0"/>
          <w:marTop w:val="0"/>
          <w:marBottom w:val="0"/>
          <w:divBdr>
            <w:top w:val="none" w:sz="0" w:space="0" w:color="auto"/>
            <w:left w:val="none" w:sz="0" w:space="0" w:color="auto"/>
            <w:bottom w:val="none" w:sz="0" w:space="0" w:color="auto"/>
            <w:right w:val="none" w:sz="0" w:space="0" w:color="auto"/>
          </w:divBdr>
        </w:div>
        <w:div w:id="1635020530">
          <w:marLeft w:val="0"/>
          <w:marRight w:val="0"/>
          <w:marTop w:val="0"/>
          <w:marBottom w:val="0"/>
          <w:divBdr>
            <w:top w:val="none" w:sz="0" w:space="0" w:color="auto"/>
            <w:left w:val="none" w:sz="0" w:space="0" w:color="auto"/>
            <w:bottom w:val="none" w:sz="0" w:space="0" w:color="auto"/>
            <w:right w:val="none" w:sz="0" w:space="0" w:color="auto"/>
          </w:divBdr>
        </w:div>
        <w:div w:id="1936669107">
          <w:marLeft w:val="0"/>
          <w:marRight w:val="0"/>
          <w:marTop w:val="0"/>
          <w:marBottom w:val="0"/>
          <w:divBdr>
            <w:top w:val="none" w:sz="0" w:space="0" w:color="auto"/>
            <w:left w:val="none" w:sz="0" w:space="0" w:color="auto"/>
            <w:bottom w:val="none" w:sz="0" w:space="0" w:color="auto"/>
            <w:right w:val="none" w:sz="0" w:space="0" w:color="auto"/>
          </w:divBdr>
        </w:div>
        <w:div w:id="476072610">
          <w:marLeft w:val="0"/>
          <w:marRight w:val="0"/>
          <w:marTop w:val="0"/>
          <w:marBottom w:val="0"/>
          <w:divBdr>
            <w:top w:val="none" w:sz="0" w:space="0" w:color="auto"/>
            <w:left w:val="none" w:sz="0" w:space="0" w:color="auto"/>
            <w:bottom w:val="none" w:sz="0" w:space="0" w:color="auto"/>
            <w:right w:val="none" w:sz="0" w:space="0" w:color="auto"/>
          </w:divBdr>
        </w:div>
        <w:div w:id="1106576586">
          <w:marLeft w:val="0"/>
          <w:marRight w:val="0"/>
          <w:marTop w:val="0"/>
          <w:marBottom w:val="0"/>
          <w:divBdr>
            <w:top w:val="none" w:sz="0" w:space="0" w:color="auto"/>
            <w:left w:val="none" w:sz="0" w:space="0" w:color="auto"/>
            <w:bottom w:val="none" w:sz="0" w:space="0" w:color="auto"/>
            <w:right w:val="none" w:sz="0" w:space="0" w:color="auto"/>
          </w:divBdr>
        </w:div>
        <w:div w:id="1371950506">
          <w:marLeft w:val="0"/>
          <w:marRight w:val="0"/>
          <w:marTop w:val="0"/>
          <w:marBottom w:val="0"/>
          <w:divBdr>
            <w:top w:val="none" w:sz="0" w:space="0" w:color="auto"/>
            <w:left w:val="none" w:sz="0" w:space="0" w:color="auto"/>
            <w:bottom w:val="none" w:sz="0" w:space="0" w:color="auto"/>
            <w:right w:val="none" w:sz="0" w:space="0" w:color="auto"/>
          </w:divBdr>
        </w:div>
        <w:div w:id="463427726">
          <w:marLeft w:val="0"/>
          <w:marRight w:val="0"/>
          <w:marTop w:val="0"/>
          <w:marBottom w:val="0"/>
          <w:divBdr>
            <w:top w:val="none" w:sz="0" w:space="0" w:color="auto"/>
            <w:left w:val="none" w:sz="0" w:space="0" w:color="auto"/>
            <w:bottom w:val="none" w:sz="0" w:space="0" w:color="auto"/>
            <w:right w:val="none" w:sz="0" w:space="0" w:color="auto"/>
          </w:divBdr>
        </w:div>
        <w:div w:id="2134446192">
          <w:marLeft w:val="0"/>
          <w:marRight w:val="0"/>
          <w:marTop w:val="0"/>
          <w:marBottom w:val="0"/>
          <w:divBdr>
            <w:top w:val="none" w:sz="0" w:space="0" w:color="auto"/>
            <w:left w:val="none" w:sz="0" w:space="0" w:color="auto"/>
            <w:bottom w:val="none" w:sz="0" w:space="0" w:color="auto"/>
            <w:right w:val="none" w:sz="0" w:space="0" w:color="auto"/>
          </w:divBdr>
          <w:divsChild>
            <w:div w:id="1868252798">
              <w:marLeft w:val="0"/>
              <w:marRight w:val="0"/>
              <w:marTop w:val="0"/>
              <w:marBottom w:val="0"/>
              <w:divBdr>
                <w:top w:val="none" w:sz="0" w:space="0" w:color="auto"/>
                <w:left w:val="none" w:sz="0" w:space="0" w:color="auto"/>
                <w:bottom w:val="none" w:sz="0" w:space="0" w:color="auto"/>
                <w:right w:val="none" w:sz="0" w:space="0" w:color="auto"/>
              </w:divBdr>
            </w:div>
          </w:divsChild>
        </w:div>
        <w:div w:id="700940113">
          <w:marLeft w:val="0"/>
          <w:marRight w:val="0"/>
          <w:marTop w:val="0"/>
          <w:marBottom w:val="0"/>
          <w:divBdr>
            <w:top w:val="none" w:sz="0" w:space="0" w:color="auto"/>
            <w:left w:val="none" w:sz="0" w:space="0" w:color="auto"/>
            <w:bottom w:val="none" w:sz="0" w:space="0" w:color="auto"/>
            <w:right w:val="none" w:sz="0" w:space="0" w:color="auto"/>
          </w:divBdr>
        </w:div>
        <w:div w:id="52657608">
          <w:marLeft w:val="0"/>
          <w:marRight w:val="0"/>
          <w:marTop w:val="0"/>
          <w:marBottom w:val="0"/>
          <w:divBdr>
            <w:top w:val="none" w:sz="0" w:space="0" w:color="auto"/>
            <w:left w:val="none" w:sz="0" w:space="0" w:color="auto"/>
            <w:bottom w:val="none" w:sz="0" w:space="0" w:color="auto"/>
            <w:right w:val="none" w:sz="0" w:space="0" w:color="auto"/>
          </w:divBdr>
        </w:div>
        <w:div w:id="508444220">
          <w:marLeft w:val="0"/>
          <w:marRight w:val="0"/>
          <w:marTop w:val="0"/>
          <w:marBottom w:val="0"/>
          <w:divBdr>
            <w:top w:val="none" w:sz="0" w:space="0" w:color="auto"/>
            <w:left w:val="none" w:sz="0" w:space="0" w:color="auto"/>
            <w:bottom w:val="none" w:sz="0" w:space="0" w:color="auto"/>
            <w:right w:val="none" w:sz="0" w:space="0" w:color="auto"/>
          </w:divBdr>
        </w:div>
        <w:div w:id="333653373">
          <w:marLeft w:val="0"/>
          <w:marRight w:val="0"/>
          <w:marTop w:val="0"/>
          <w:marBottom w:val="0"/>
          <w:divBdr>
            <w:top w:val="none" w:sz="0" w:space="0" w:color="auto"/>
            <w:left w:val="none" w:sz="0" w:space="0" w:color="auto"/>
            <w:bottom w:val="none" w:sz="0" w:space="0" w:color="auto"/>
            <w:right w:val="none" w:sz="0" w:space="0" w:color="auto"/>
          </w:divBdr>
        </w:div>
        <w:div w:id="868883070">
          <w:marLeft w:val="0"/>
          <w:marRight w:val="0"/>
          <w:marTop w:val="0"/>
          <w:marBottom w:val="0"/>
          <w:divBdr>
            <w:top w:val="none" w:sz="0" w:space="0" w:color="auto"/>
            <w:left w:val="none" w:sz="0" w:space="0" w:color="auto"/>
            <w:bottom w:val="none" w:sz="0" w:space="0" w:color="auto"/>
            <w:right w:val="none" w:sz="0" w:space="0" w:color="auto"/>
          </w:divBdr>
        </w:div>
        <w:div w:id="1410810997">
          <w:marLeft w:val="0"/>
          <w:marRight w:val="0"/>
          <w:marTop w:val="0"/>
          <w:marBottom w:val="0"/>
          <w:divBdr>
            <w:top w:val="none" w:sz="0" w:space="0" w:color="auto"/>
            <w:left w:val="none" w:sz="0" w:space="0" w:color="auto"/>
            <w:bottom w:val="none" w:sz="0" w:space="0" w:color="auto"/>
            <w:right w:val="none" w:sz="0" w:space="0" w:color="auto"/>
          </w:divBdr>
        </w:div>
        <w:div w:id="1245604661">
          <w:marLeft w:val="0"/>
          <w:marRight w:val="0"/>
          <w:marTop w:val="0"/>
          <w:marBottom w:val="0"/>
          <w:divBdr>
            <w:top w:val="none" w:sz="0" w:space="0" w:color="auto"/>
            <w:left w:val="none" w:sz="0" w:space="0" w:color="auto"/>
            <w:bottom w:val="none" w:sz="0" w:space="0" w:color="auto"/>
            <w:right w:val="none" w:sz="0" w:space="0" w:color="auto"/>
          </w:divBdr>
        </w:div>
        <w:div w:id="23946295">
          <w:marLeft w:val="0"/>
          <w:marRight w:val="0"/>
          <w:marTop w:val="0"/>
          <w:marBottom w:val="0"/>
          <w:divBdr>
            <w:top w:val="none" w:sz="0" w:space="0" w:color="auto"/>
            <w:left w:val="none" w:sz="0" w:space="0" w:color="auto"/>
            <w:bottom w:val="none" w:sz="0" w:space="0" w:color="auto"/>
            <w:right w:val="none" w:sz="0" w:space="0" w:color="auto"/>
          </w:divBdr>
        </w:div>
        <w:div w:id="1020428053">
          <w:marLeft w:val="0"/>
          <w:marRight w:val="0"/>
          <w:marTop w:val="0"/>
          <w:marBottom w:val="0"/>
          <w:divBdr>
            <w:top w:val="none" w:sz="0" w:space="0" w:color="auto"/>
            <w:left w:val="none" w:sz="0" w:space="0" w:color="auto"/>
            <w:bottom w:val="none" w:sz="0" w:space="0" w:color="auto"/>
            <w:right w:val="none" w:sz="0" w:space="0" w:color="auto"/>
          </w:divBdr>
        </w:div>
        <w:div w:id="1917781900">
          <w:marLeft w:val="0"/>
          <w:marRight w:val="0"/>
          <w:marTop w:val="0"/>
          <w:marBottom w:val="0"/>
          <w:divBdr>
            <w:top w:val="none" w:sz="0" w:space="0" w:color="auto"/>
            <w:left w:val="none" w:sz="0" w:space="0" w:color="auto"/>
            <w:bottom w:val="none" w:sz="0" w:space="0" w:color="auto"/>
            <w:right w:val="none" w:sz="0" w:space="0" w:color="auto"/>
          </w:divBdr>
        </w:div>
        <w:div w:id="1893275331">
          <w:marLeft w:val="0"/>
          <w:marRight w:val="0"/>
          <w:marTop w:val="0"/>
          <w:marBottom w:val="0"/>
          <w:divBdr>
            <w:top w:val="none" w:sz="0" w:space="0" w:color="auto"/>
            <w:left w:val="none" w:sz="0" w:space="0" w:color="auto"/>
            <w:bottom w:val="none" w:sz="0" w:space="0" w:color="auto"/>
            <w:right w:val="none" w:sz="0" w:space="0" w:color="auto"/>
          </w:divBdr>
          <w:divsChild>
            <w:div w:id="1932203963">
              <w:marLeft w:val="0"/>
              <w:marRight w:val="0"/>
              <w:marTop w:val="0"/>
              <w:marBottom w:val="0"/>
              <w:divBdr>
                <w:top w:val="none" w:sz="0" w:space="0" w:color="auto"/>
                <w:left w:val="none" w:sz="0" w:space="0" w:color="auto"/>
                <w:bottom w:val="none" w:sz="0" w:space="0" w:color="auto"/>
                <w:right w:val="none" w:sz="0" w:space="0" w:color="auto"/>
              </w:divBdr>
              <w:divsChild>
                <w:div w:id="2029674522">
                  <w:marLeft w:val="0"/>
                  <w:marRight w:val="0"/>
                  <w:marTop w:val="0"/>
                  <w:marBottom w:val="0"/>
                  <w:divBdr>
                    <w:top w:val="none" w:sz="0" w:space="0" w:color="auto"/>
                    <w:left w:val="none" w:sz="0" w:space="0" w:color="auto"/>
                    <w:bottom w:val="none" w:sz="0" w:space="0" w:color="auto"/>
                    <w:right w:val="none" w:sz="0" w:space="0" w:color="auto"/>
                  </w:divBdr>
                  <w:divsChild>
                    <w:div w:id="1853566364">
                      <w:marLeft w:val="0"/>
                      <w:marRight w:val="0"/>
                      <w:marTop w:val="0"/>
                      <w:marBottom w:val="0"/>
                      <w:divBdr>
                        <w:top w:val="none" w:sz="0" w:space="0" w:color="auto"/>
                        <w:left w:val="none" w:sz="0" w:space="0" w:color="auto"/>
                        <w:bottom w:val="none" w:sz="0" w:space="0" w:color="auto"/>
                        <w:right w:val="none" w:sz="0" w:space="0" w:color="auto"/>
                      </w:divBdr>
                      <w:divsChild>
                        <w:div w:id="256256527">
                          <w:marLeft w:val="0"/>
                          <w:marRight w:val="0"/>
                          <w:marTop w:val="0"/>
                          <w:marBottom w:val="0"/>
                          <w:divBdr>
                            <w:top w:val="none" w:sz="0" w:space="0" w:color="auto"/>
                            <w:left w:val="none" w:sz="0" w:space="0" w:color="auto"/>
                            <w:bottom w:val="none" w:sz="0" w:space="0" w:color="auto"/>
                            <w:right w:val="none" w:sz="0" w:space="0" w:color="auto"/>
                          </w:divBdr>
                        </w:div>
                        <w:div w:id="385422704">
                          <w:marLeft w:val="0"/>
                          <w:marRight w:val="0"/>
                          <w:marTop w:val="0"/>
                          <w:marBottom w:val="0"/>
                          <w:divBdr>
                            <w:top w:val="none" w:sz="0" w:space="0" w:color="auto"/>
                            <w:left w:val="none" w:sz="0" w:space="0" w:color="auto"/>
                            <w:bottom w:val="none" w:sz="0" w:space="0" w:color="auto"/>
                            <w:right w:val="none" w:sz="0" w:space="0" w:color="auto"/>
                          </w:divBdr>
                        </w:div>
                      </w:divsChild>
                    </w:div>
                    <w:div w:id="1112631178">
                      <w:marLeft w:val="0"/>
                      <w:marRight w:val="0"/>
                      <w:marTop w:val="0"/>
                      <w:marBottom w:val="0"/>
                      <w:divBdr>
                        <w:top w:val="none" w:sz="0" w:space="0" w:color="auto"/>
                        <w:left w:val="none" w:sz="0" w:space="0" w:color="auto"/>
                        <w:bottom w:val="none" w:sz="0" w:space="0" w:color="auto"/>
                        <w:right w:val="none" w:sz="0" w:space="0" w:color="auto"/>
                      </w:divBdr>
                    </w:div>
                    <w:div w:id="1123497664">
                      <w:marLeft w:val="0"/>
                      <w:marRight w:val="0"/>
                      <w:marTop w:val="0"/>
                      <w:marBottom w:val="0"/>
                      <w:divBdr>
                        <w:top w:val="none" w:sz="0" w:space="0" w:color="auto"/>
                        <w:left w:val="none" w:sz="0" w:space="0" w:color="auto"/>
                        <w:bottom w:val="none" w:sz="0" w:space="0" w:color="auto"/>
                        <w:right w:val="none" w:sz="0" w:space="0" w:color="auto"/>
                      </w:divBdr>
                    </w:div>
                  </w:divsChild>
                </w:div>
                <w:div w:id="616058717">
                  <w:marLeft w:val="0"/>
                  <w:marRight w:val="0"/>
                  <w:marTop w:val="0"/>
                  <w:marBottom w:val="0"/>
                  <w:divBdr>
                    <w:top w:val="none" w:sz="0" w:space="0" w:color="auto"/>
                    <w:left w:val="none" w:sz="0" w:space="0" w:color="auto"/>
                    <w:bottom w:val="none" w:sz="0" w:space="0" w:color="auto"/>
                    <w:right w:val="none" w:sz="0" w:space="0" w:color="auto"/>
                  </w:divBdr>
                  <w:divsChild>
                    <w:div w:id="91127284">
                      <w:marLeft w:val="0"/>
                      <w:marRight w:val="0"/>
                      <w:marTop w:val="0"/>
                      <w:marBottom w:val="0"/>
                      <w:divBdr>
                        <w:top w:val="none" w:sz="0" w:space="0" w:color="auto"/>
                        <w:left w:val="none" w:sz="0" w:space="0" w:color="auto"/>
                        <w:bottom w:val="none" w:sz="0" w:space="0" w:color="auto"/>
                        <w:right w:val="none" w:sz="0" w:space="0" w:color="auto"/>
                      </w:divBdr>
                      <w:divsChild>
                        <w:div w:id="170382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06022">
                  <w:marLeft w:val="0"/>
                  <w:marRight w:val="0"/>
                  <w:marTop w:val="0"/>
                  <w:marBottom w:val="0"/>
                  <w:divBdr>
                    <w:top w:val="none" w:sz="0" w:space="0" w:color="auto"/>
                    <w:left w:val="none" w:sz="0" w:space="0" w:color="auto"/>
                    <w:bottom w:val="none" w:sz="0" w:space="0" w:color="auto"/>
                    <w:right w:val="none" w:sz="0" w:space="0" w:color="auto"/>
                  </w:divBdr>
                </w:div>
                <w:div w:id="1075401148">
                  <w:marLeft w:val="0"/>
                  <w:marRight w:val="0"/>
                  <w:marTop w:val="0"/>
                  <w:marBottom w:val="0"/>
                  <w:divBdr>
                    <w:top w:val="none" w:sz="0" w:space="0" w:color="auto"/>
                    <w:left w:val="none" w:sz="0" w:space="0" w:color="auto"/>
                    <w:bottom w:val="none" w:sz="0" w:space="0" w:color="auto"/>
                    <w:right w:val="none" w:sz="0" w:space="0" w:color="auto"/>
                  </w:divBdr>
                </w:div>
                <w:div w:id="1284579324">
                  <w:marLeft w:val="0"/>
                  <w:marRight w:val="0"/>
                  <w:marTop w:val="0"/>
                  <w:marBottom w:val="0"/>
                  <w:divBdr>
                    <w:top w:val="none" w:sz="0" w:space="0" w:color="auto"/>
                    <w:left w:val="none" w:sz="0" w:space="0" w:color="auto"/>
                    <w:bottom w:val="none" w:sz="0" w:space="0" w:color="auto"/>
                    <w:right w:val="none" w:sz="0" w:space="0" w:color="auto"/>
                  </w:divBdr>
                </w:div>
                <w:div w:id="232739526">
                  <w:marLeft w:val="0"/>
                  <w:marRight w:val="0"/>
                  <w:marTop w:val="0"/>
                  <w:marBottom w:val="0"/>
                  <w:divBdr>
                    <w:top w:val="none" w:sz="0" w:space="0" w:color="auto"/>
                    <w:left w:val="none" w:sz="0" w:space="0" w:color="auto"/>
                    <w:bottom w:val="none" w:sz="0" w:space="0" w:color="auto"/>
                    <w:right w:val="none" w:sz="0" w:space="0" w:color="auto"/>
                  </w:divBdr>
                </w:div>
                <w:div w:id="205990960">
                  <w:marLeft w:val="0"/>
                  <w:marRight w:val="0"/>
                  <w:marTop w:val="0"/>
                  <w:marBottom w:val="0"/>
                  <w:divBdr>
                    <w:top w:val="none" w:sz="0" w:space="0" w:color="auto"/>
                    <w:left w:val="none" w:sz="0" w:space="0" w:color="auto"/>
                    <w:bottom w:val="none" w:sz="0" w:space="0" w:color="auto"/>
                    <w:right w:val="none" w:sz="0" w:space="0" w:color="auto"/>
                  </w:divBdr>
                </w:div>
                <w:div w:id="930354030">
                  <w:marLeft w:val="0"/>
                  <w:marRight w:val="0"/>
                  <w:marTop w:val="0"/>
                  <w:marBottom w:val="0"/>
                  <w:divBdr>
                    <w:top w:val="none" w:sz="0" w:space="0" w:color="auto"/>
                    <w:left w:val="none" w:sz="0" w:space="0" w:color="auto"/>
                    <w:bottom w:val="none" w:sz="0" w:space="0" w:color="auto"/>
                    <w:right w:val="none" w:sz="0" w:space="0" w:color="auto"/>
                  </w:divBdr>
                </w:div>
                <w:div w:id="2003384899">
                  <w:marLeft w:val="0"/>
                  <w:marRight w:val="0"/>
                  <w:marTop w:val="0"/>
                  <w:marBottom w:val="0"/>
                  <w:divBdr>
                    <w:top w:val="none" w:sz="0" w:space="0" w:color="auto"/>
                    <w:left w:val="none" w:sz="0" w:space="0" w:color="auto"/>
                    <w:bottom w:val="none" w:sz="0" w:space="0" w:color="auto"/>
                    <w:right w:val="none" w:sz="0" w:space="0" w:color="auto"/>
                  </w:divBdr>
                </w:div>
                <w:div w:id="843932783">
                  <w:marLeft w:val="0"/>
                  <w:marRight w:val="0"/>
                  <w:marTop w:val="0"/>
                  <w:marBottom w:val="0"/>
                  <w:divBdr>
                    <w:top w:val="none" w:sz="0" w:space="0" w:color="auto"/>
                    <w:left w:val="none" w:sz="0" w:space="0" w:color="auto"/>
                    <w:bottom w:val="none" w:sz="0" w:space="0" w:color="auto"/>
                    <w:right w:val="none" w:sz="0" w:space="0" w:color="auto"/>
                  </w:divBdr>
                </w:div>
                <w:div w:id="530538127">
                  <w:marLeft w:val="0"/>
                  <w:marRight w:val="0"/>
                  <w:marTop w:val="0"/>
                  <w:marBottom w:val="0"/>
                  <w:divBdr>
                    <w:top w:val="none" w:sz="0" w:space="0" w:color="auto"/>
                    <w:left w:val="none" w:sz="0" w:space="0" w:color="auto"/>
                    <w:bottom w:val="none" w:sz="0" w:space="0" w:color="auto"/>
                    <w:right w:val="none" w:sz="0" w:space="0" w:color="auto"/>
                  </w:divBdr>
                </w:div>
                <w:div w:id="1042555920">
                  <w:marLeft w:val="0"/>
                  <w:marRight w:val="0"/>
                  <w:marTop w:val="0"/>
                  <w:marBottom w:val="0"/>
                  <w:divBdr>
                    <w:top w:val="none" w:sz="0" w:space="0" w:color="auto"/>
                    <w:left w:val="none" w:sz="0" w:space="0" w:color="auto"/>
                    <w:bottom w:val="none" w:sz="0" w:space="0" w:color="auto"/>
                    <w:right w:val="none" w:sz="0" w:space="0" w:color="auto"/>
                  </w:divBdr>
                </w:div>
                <w:div w:id="65736139">
                  <w:marLeft w:val="0"/>
                  <w:marRight w:val="0"/>
                  <w:marTop w:val="0"/>
                  <w:marBottom w:val="0"/>
                  <w:divBdr>
                    <w:top w:val="none" w:sz="0" w:space="0" w:color="auto"/>
                    <w:left w:val="none" w:sz="0" w:space="0" w:color="auto"/>
                    <w:bottom w:val="none" w:sz="0" w:space="0" w:color="auto"/>
                    <w:right w:val="none" w:sz="0" w:space="0" w:color="auto"/>
                  </w:divBdr>
                </w:div>
                <w:div w:id="648287409">
                  <w:marLeft w:val="0"/>
                  <w:marRight w:val="0"/>
                  <w:marTop w:val="0"/>
                  <w:marBottom w:val="0"/>
                  <w:divBdr>
                    <w:top w:val="none" w:sz="0" w:space="0" w:color="auto"/>
                    <w:left w:val="none" w:sz="0" w:space="0" w:color="auto"/>
                    <w:bottom w:val="none" w:sz="0" w:space="0" w:color="auto"/>
                    <w:right w:val="none" w:sz="0" w:space="0" w:color="auto"/>
                  </w:divBdr>
                </w:div>
                <w:div w:id="449009213">
                  <w:marLeft w:val="0"/>
                  <w:marRight w:val="0"/>
                  <w:marTop w:val="0"/>
                  <w:marBottom w:val="0"/>
                  <w:divBdr>
                    <w:top w:val="none" w:sz="0" w:space="0" w:color="auto"/>
                    <w:left w:val="none" w:sz="0" w:space="0" w:color="auto"/>
                    <w:bottom w:val="none" w:sz="0" w:space="0" w:color="auto"/>
                    <w:right w:val="none" w:sz="0" w:space="0" w:color="auto"/>
                  </w:divBdr>
                  <w:divsChild>
                    <w:div w:id="1500927052">
                      <w:marLeft w:val="0"/>
                      <w:marRight w:val="0"/>
                      <w:marTop w:val="0"/>
                      <w:marBottom w:val="0"/>
                      <w:divBdr>
                        <w:top w:val="none" w:sz="0" w:space="0" w:color="auto"/>
                        <w:left w:val="none" w:sz="0" w:space="0" w:color="auto"/>
                        <w:bottom w:val="none" w:sz="0" w:space="0" w:color="auto"/>
                        <w:right w:val="none" w:sz="0" w:space="0" w:color="auto"/>
                      </w:divBdr>
                    </w:div>
                    <w:div w:id="457145773">
                      <w:marLeft w:val="0"/>
                      <w:marRight w:val="0"/>
                      <w:marTop w:val="0"/>
                      <w:marBottom w:val="0"/>
                      <w:divBdr>
                        <w:top w:val="none" w:sz="0" w:space="0" w:color="auto"/>
                        <w:left w:val="none" w:sz="0" w:space="0" w:color="auto"/>
                        <w:bottom w:val="none" w:sz="0" w:space="0" w:color="auto"/>
                        <w:right w:val="none" w:sz="0" w:space="0" w:color="auto"/>
                      </w:divBdr>
                    </w:div>
                    <w:div w:id="316421938">
                      <w:marLeft w:val="0"/>
                      <w:marRight w:val="0"/>
                      <w:marTop w:val="0"/>
                      <w:marBottom w:val="0"/>
                      <w:divBdr>
                        <w:top w:val="none" w:sz="0" w:space="0" w:color="auto"/>
                        <w:left w:val="none" w:sz="0" w:space="0" w:color="auto"/>
                        <w:bottom w:val="none" w:sz="0" w:space="0" w:color="auto"/>
                        <w:right w:val="none" w:sz="0" w:space="0" w:color="auto"/>
                      </w:divBdr>
                    </w:div>
                    <w:div w:id="1011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06751">
      <w:bodyDiv w:val="1"/>
      <w:marLeft w:val="0"/>
      <w:marRight w:val="0"/>
      <w:marTop w:val="0"/>
      <w:marBottom w:val="0"/>
      <w:divBdr>
        <w:top w:val="none" w:sz="0" w:space="0" w:color="auto"/>
        <w:left w:val="none" w:sz="0" w:space="0" w:color="auto"/>
        <w:bottom w:val="none" w:sz="0" w:space="0" w:color="auto"/>
        <w:right w:val="none" w:sz="0" w:space="0" w:color="auto"/>
      </w:divBdr>
      <w:divsChild>
        <w:div w:id="698967617">
          <w:marLeft w:val="0"/>
          <w:marRight w:val="0"/>
          <w:marTop w:val="0"/>
          <w:marBottom w:val="0"/>
          <w:divBdr>
            <w:top w:val="none" w:sz="0" w:space="0" w:color="auto"/>
            <w:left w:val="none" w:sz="0" w:space="0" w:color="auto"/>
            <w:bottom w:val="none" w:sz="0" w:space="0" w:color="auto"/>
            <w:right w:val="none" w:sz="0" w:space="0" w:color="auto"/>
          </w:divBdr>
        </w:div>
        <w:div w:id="1695226140">
          <w:marLeft w:val="0"/>
          <w:marRight w:val="0"/>
          <w:marTop w:val="0"/>
          <w:marBottom w:val="0"/>
          <w:divBdr>
            <w:top w:val="none" w:sz="0" w:space="0" w:color="auto"/>
            <w:left w:val="none" w:sz="0" w:space="0" w:color="auto"/>
            <w:bottom w:val="none" w:sz="0" w:space="0" w:color="auto"/>
            <w:right w:val="none" w:sz="0" w:space="0" w:color="auto"/>
          </w:divBdr>
        </w:div>
      </w:divsChild>
    </w:div>
    <w:div w:id="1258951453">
      <w:bodyDiv w:val="1"/>
      <w:marLeft w:val="0"/>
      <w:marRight w:val="0"/>
      <w:marTop w:val="0"/>
      <w:marBottom w:val="0"/>
      <w:divBdr>
        <w:top w:val="none" w:sz="0" w:space="0" w:color="auto"/>
        <w:left w:val="none" w:sz="0" w:space="0" w:color="auto"/>
        <w:bottom w:val="none" w:sz="0" w:space="0" w:color="auto"/>
        <w:right w:val="none" w:sz="0" w:space="0" w:color="auto"/>
      </w:divBdr>
    </w:div>
    <w:div w:id="1726222807">
      <w:bodyDiv w:val="1"/>
      <w:marLeft w:val="0"/>
      <w:marRight w:val="0"/>
      <w:marTop w:val="0"/>
      <w:marBottom w:val="0"/>
      <w:divBdr>
        <w:top w:val="none" w:sz="0" w:space="0" w:color="auto"/>
        <w:left w:val="none" w:sz="0" w:space="0" w:color="auto"/>
        <w:bottom w:val="none" w:sz="0" w:space="0" w:color="auto"/>
        <w:right w:val="none" w:sz="0" w:space="0" w:color="auto"/>
      </w:divBdr>
      <w:divsChild>
        <w:div w:id="1880431090">
          <w:marLeft w:val="0"/>
          <w:marRight w:val="0"/>
          <w:marTop w:val="0"/>
          <w:marBottom w:val="0"/>
          <w:divBdr>
            <w:top w:val="none" w:sz="0" w:space="0" w:color="auto"/>
            <w:left w:val="none" w:sz="0" w:space="0" w:color="auto"/>
            <w:bottom w:val="none" w:sz="0" w:space="0" w:color="auto"/>
            <w:right w:val="none" w:sz="0" w:space="0" w:color="auto"/>
          </w:divBdr>
        </w:div>
        <w:div w:id="1552810871">
          <w:marLeft w:val="0"/>
          <w:marRight w:val="0"/>
          <w:marTop w:val="0"/>
          <w:marBottom w:val="0"/>
          <w:divBdr>
            <w:top w:val="none" w:sz="0" w:space="0" w:color="auto"/>
            <w:left w:val="none" w:sz="0" w:space="0" w:color="auto"/>
            <w:bottom w:val="none" w:sz="0" w:space="0" w:color="auto"/>
            <w:right w:val="none" w:sz="0" w:space="0" w:color="auto"/>
          </w:divBdr>
        </w:div>
        <w:div w:id="1707175248">
          <w:marLeft w:val="0"/>
          <w:marRight w:val="0"/>
          <w:marTop w:val="0"/>
          <w:marBottom w:val="0"/>
          <w:divBdr>
            <w:top w:val="none" w:sz="0" w:space="0" w:color="auto"/>
            <w:left w:val="none" w:sz="0" w:space="0" w:color="auto"/>
            <w:bottom w:val="none" w:sz="0" w:space="0" w:color="auto"/>
            <w:right w:val="none" w:sz="0" w:space="0" w:color="auto"/>
          </w:divBdr>
        </w:div>
        <w:div w:id="945887687">
          <w:marLeft w:val="0"/>
          <w:marRight w:val="0"/>
          <w:marTop w:val="0"/>
          <w:marBottom w:val="0"/>
          <w:divBdr>
            <w:top w:val="none" w:sz="0" w:space="0" w:color="auto"/>
            <w:left w:val="none" w:sz="0" w:space="0" w:color="auto"/>
            <w:bottom w:val="none" w:sz="0" w:space="0" w:color="auto"/>
            <w:right w:val="none" w:sz="0" w:space="0" w:color="auto"/>
          </w:divBdr>
        </w:div>
        <w:div w:id="1823304739">
          <w:marLeft w:val="0"/>
          <w:marRight w:val="0"/>
          <w:marTop w:val="0"/>
          <w:marBottom w:val="0"/>
          <w:divBdr>
            <w:top w:val="none" w:sz="0" w:space="0" w:color="auto"/>
            <w:left w:val="none" w:sz="0" w:space="0" w:color="auto"/>
            <w:bottom w:val="none" w:sz="0" w:space="0" w:color="auto"/>
            <w:right w:val="none" w:sz="0" w:space="0" w:color="auto"/>
          </w:divBdr>
        </w:div>
        <w:div w:id="702022705">
          <w:marLeft w:val="0"/>
          <w:marRight w:val="0"/>
          <w:marTop w:val="0"/>
          <w:marBottom w:val="0"/>
          <w:divBdr>
            <w:top w:val="none" w:sz="0" w:space="0" w:color="auto"/>
            <w:left w:val="none" w:sz="0" w:space="0" w:color="auto"/>
            <w:bottom w:val="none" w:sz="0" w:space="0" w:color="auto"/>
            <w:right w:val="none" w:sz="0" w:space="0" w:color="auto"/>
          </w:divBdr>
        </w:div>
        <w:div w:id="1437411247">
          <w:marLeft w:val="0"/>
          <w:marRight w:val="0"/>
          <w:marTop w:val="0"/>
          <w:marBottom w:val="0"/>
          <w:divBdr>
            <w:top w:val="none" w:sz="0" w:space="0" w:color="auto"/>
            <w:left w:val="none" w:sz="0" w:space="0" w:color="auto"/>
            <w:bottom w:val="none" w:sz="0" w:space="0" w:color="auto"/>
            <w:right w:val="none" w:sz="0" w:space="0" w:color="auto"/>
          </w:divBdr>
        </w:div>
        <w:div w:id="1732192334">
          <w:marLeft w:val="0"/>
          <w:marRight w:val="0"/>
          <w:marTop w:val="0"/>
          <w:marBottom w:val="0"/>
          <w:divBdr>
            <w:top w:val="none" w:sz="0" w:space="0" w:color="auto"/>
            <w:left w:val="none" w:sz="0" w:space="0" w:color="auto"/>
            <w:bottom w:val="none" w:sz="0" w:space="0" w:color="auto"/>
            <w:right w:val="none" w:sz="0" w:space="0" w:color="auto"/>
          </w:divBdr>
        </w:div>
        <w:div w:id="1047335071">
          <w:marLeft w:val="0"/>
          <w:marRight w:val="0"/>
          <w:marTop w:val="0"/>
          <w:marBottom w:val="0"/>
          <w:divBdr>
            <w:top w:val="none" w:sz="0" w:space="0" w:color="auto"/>
            <w:left w:val="none" w:sz="0" w:space="0" w:color="auto"/>
            <w:bottom w:val="none" w:sz="0" w:space="0" w:color="auto"/>
            <w:right w:val="none" w:sz="0" w:space="0" w:color="auto"/>
          </w:divBdr>
        </w:div>
        <w:div w:id="1060330060">
          <w:marLeft w:val="0"/>
          <w:marRight w:val="0"/>
          <w:marTop w:val="0"/>
          <w:marBottom w:val="0"/>
          <w:divBdr>
            <w:top w:val="none" w:sz="0" w:space="0" w:color="auto"/>
            <w:left w:val="none" w:sz="0" w:space="0" w:color="auto"/>
            <w:bottom w:val="none" w:sz="0" w:space="0" w:color="auto"/>
            <w:right w:val="none" w:sz="0" w:space="0" w:color="auto"/>
          </w:divBdr>
        </w:div>
        <w:div w:id="724646057">
          <w:marLeft w:val="0"/>
          <w:marRight w:val="0"/>
          <w:marTop w:val="0"/>
          <w:marBottom w:val="0"/>
          <w:divBdr>
            <w:top w:val="none" w:sz="0" w:space="0" w:color="auto"/>
            <w:left w:val="none" w:sz="0" w:space="0" w:color="auto"/>
            <w:bottom w:val="none" w:sz="0" w:space="0" w:color="auto"/>
            <w:right w:val="none" w:sz="0" w:space="0" w:color="auto"/>
          </w:divBdr>
        </w:div>
        <w:div w:id="947157693">
          <w:marLeft w:val="0"/>
          <w:marRight w:val="0"/>
          <w:marTop w:val="0"/>
          <w:marBottom w:val="0"/>
          <w:divBdr>
            <w:top w:val="none" w:sz="0" w:space="0" w:color="auto"/>
            <w:left w:val="none" w:sz="0" w:space="0" w:color="auto"/>
            <w:bottom w:val="none" w:sz="0" w:space="0" w:color="auto"/>
            <w:right w:val="none" w:sz="0" w:space="0" w:color="auto"/>
          </w:divBdr>
        </w:div>
        <w:div w:id="1431664432">
          <w:marLeft w:val="0"/>
          <w:marRight w:val="0"/>
          <w:marTop w:val="0"/>
          <w:marBottom w:val="0"/>
          <w:divBdr>
            <w:top w:val="none" w:sz="0" w:space="0" w:color="auto"/>
            <w:left w:val="none" w:sz="0" w:space="0" w:color="auto"/>
            <w:bottom w:val="none" w:sz="0" w:space="0" w:color="auto"/>
            <w:right w:val="none" w:sz="0" w:space="0" w:color="auto"/>
          </w:divBdr>
        </w:div>
        <w:div w:id="320499273">
          <w:marLeft w:val="0"/>
          <w:marRight w:val="0"/>
          <w:marTop w:val="0"/>
          <w:marBottom w:val="0"/>
          <w:divBdr>
            <w:top w:val="none" w:sz="0" w:space="0" w:color="auto"/>
            <w:left w:val="none" w:sz="0" w:space="0" w:color="auto"/>
            <w:bottom w:val="none" w:sz="0" w:space="0" w:color="auto"/>
            <w:right w:val="none" w:sz="0" w:space="0" w:color="auto"/>
          </w:divBdr>
        </w:div>
        <w:div w:id="379593209">
          <w:marLeft w:val="0"/>
          <w:marRight w:val="0"/>
          <w:marTop w:val="0"/>
          <w:marBottom w:val="0"/>
          <w:divBdr>
            <w:top w:val="none" w:sz="0" w:space="0" w:color="auto"/>
            <w:left w:val="none" w:sz="0" w:space="0" w:color="auto"/>
            <w:bottom w:val="none" w:sz="0" w:space="0" w:color="auto"/>
            <w:right w:val="none" w:sz="0" w:space="0" w:color="auto"/>
          </w:divBdr>
        </w:div>
      </w:divsChild>
    </w:div>
    <w:div w:id="1753969550">
      <w:bodyDiv w:val="1"/>
      <w:marLeft w:val="0"/>
      <w:marRight w:val="0"/>
      <w:marTop w:val="0"/>
      <w:marBottom w:val="0"/>
      <w:divBdr>
        <w:top w:val="none" w:sz="0" w:space="0" w:color="auto"/>
        <w:left w:val="none" w:sz="0" w:space="0" w:color="auto"/>
        <w:bottom w:val="none" w:sz="0" w:space="0" w:color="auto"/>
        <w:right w:val="none" w:sz="0" w:space="0" w:color="auto"/>
      </w:divBdr>
      <w:divsChild>
        <w:div w:id="2129541150">
          <w:marLeft w:val="0"/>
          <w:marRight w:val="0"/>
          <w:marTop w:val="0"/>
          <w:marBottom w:val="0"/>
          <w:divBdr>
            <w:top w:val="none" w:sz="0" w:space="0" w:color="auto"/>
            <w:left w:val="none" w:sz="0" w:space="0" w:color="auto"/>
            <w:bottom w:val="none" w:sz="0" w:space="0" w:color="auto"/>
            <w:right w:val="none" w:sz="0" w:space="0" w:color="auto"/>
          </w:divBdr>
          <w:divsChild>
            <w:div w:id="448621693">
              <w:marLeft w:val="0"/>
              <w:marRight w:val="0"/>
              <w:marTop w:val="0"/>
              <w:marBottom w:val="0"/>
              <w:divBdr>
                <w:top w:val="none" w:sz="0" w:space="0" w:color="auto"/>
                <w:left w:val="none" w:sz="0" w:space="0" w:color="auto"/>
                <w:bottom w:val="none" w:sz="0" w:space="0" w:color="auto"/>
                <w:right w:val="none" w:sz="0" w:space="0" w:color="auto"/>
              </w:divBdr>
              <w:divsChild>
                <w:div w:id="810361889">
                  <w:marLeft w:val="0"/>
                  <w:marRight w:val="0"/>
                  <w:marTop w:val="0"/>
                  <w:marBottom w:val="0"/>
                  <w:divBdr>
                    <w:top w:val="none" w:sz="0" w:space="0" w:color="auto"/>
                    <w:left w:val="none" w:sz="0" w:space="0" w:color="auto"/>
                    <w:bottom w:val="none" w:sz="0" w:space="0" w:color="auto"/>
                    <w:right w:val="none" w:sz="0" w:space="0" w:color="auto"/>
                  </w:divBdr>
                  <w:divsChild>
                    <w:div w:id="1776635286">
                      <w:marLeft w:val="0"/>
                      <w:marRight w:val="0"/>
                      <w:marTop w:val="0"/>
                      <w:marBottom w:val="0"/>
                      <w:divBdr>
                        <w:top w:val="none" w:sz="0" w:space="0" w:color="auto"/>
                        <w:left w:val="none" w:sz="0" w:space="0" w:color="auto"/>
                        <w:bottom w:val="none" w:sz="0" w:space="0" w:color="auto"/>
                        <w:right w:val="none" w:sz="0" w:space="0" w:color="auto"/>
                      </w:divBdr>
                      <w:divsChild>
                        <w:div w:id="786311062">
                          <w:marLeft w:val="0"/>
                          <w:marRight w:val="0"/>
                          <w:marTop w:val="0"/>
                          <w:marBottom w:val="0"/>
                          <w:divBdr>
                            <w:top w:val="none" w:sz="0" w:space="0" w:color="auto"/>
                            <w:left w:val="none" w:sz="0" w:space="0" w:color="auto"/>
                            <w:bottom w:val="none" w:sz="0" w:space="0" w:color="auto"/>
                            <w:right w:val="none" w:sz="0" w:space="0" w:color="auto"/>
                          </w:divBdr>
                          <w:divsChild>
                            <w:div w:id="904149751">
                              <w:marLeft w:val="0"/>
                              <w:marRight w:val="0"/>
                              <w:marTop w:val="0"/>
                              <w:marBottom w:val="0"/>
                              <w:divBdr>
                                <w:top w:val="none" w:sz="0" w:space="0" w:color="auto"/>
                                <w:left w:val="none" w:sz="0" w:space="0" w:color="auto"/>
                                <w:bottom w:val="none" w:sz="0" w:space="0" w:color="auto"/>
                                <w:right w:val="none" w:sz="0" w:space="0" w:color="auto"/>
                              </w:divBdr>
                              <w:divsChild>
                                <w:div w:id="2056930846">
                                  <w:marLeft w:val="0"/>
                                  <w:marRight w:val="0"/>
                                  <w:marTop w:val="0"/>
                                  <w:marBottom w:val="0"/>
                                  <w:divBdr>
                                    <w:top w:val="none" w:sz="0" w:space="0" w:color="auto"/>
                                    <w:left w:val="none" w:sz="0" w:space="0" w:color="auto"/>
                                    <w:bottom w:val="none" w:sz="0" w:space="0" w:color="auto"/>
                                    <w:right w:val="none" w:sz="0" w:space="0" w:color="auto"/>
                                  </w:divBdr>
                                  <w:divsChild>
                                    <w:div w:id="313753440">
                                      <w:marLeft w:val="0"/>
                                      <w:marRight w:val="0"/>
                                      <w:marTop w:val="0"/>
                                      <w:marBottom w:val="0"/>
                                      <w:divBdr>
                                        <w:top w:val="none" w:sz="0" w:space="0" w:color="auto"/>
                                        <w:left w:val="none" w:sz="0" w:space="0" w:color="auto"/>
                                        <w:bottom w:val="none" w:sz="0" w:space="0" w:color="auto"/>
                                        <w:right w:val="none" w:sz="0" w:space="0" w:color="auto"/>
                                      </w:divBdr>
                                      <w:divsChild>
                                        <w:div w:id="129203532">
                                          <w:marLeft w:val="0"/>
                                          <w:marRight w:val="0"/>
                                          <w:marTop w:val="0"/>
                                          <w:marBottom w:val="0"/>
                                          <w:divBdr>
                                            <w:top w:val="none" w:sz="0" w:space="0" w:color="auto"/>
                                            <w:left w:val="none" w:sz="0" w:space="0" w:color="auto"/>
                                            <w:bottom w:val="none" w:sz="0" w:space="0" w:color="auto"/>
                                            <w:right w:val="none" w:sz="0" w:space="0" w:color="auto"/>
                                          </w:divBdr>
                                          <w:divsChild>
                                            <w:div w:id="510534880">
                                              <w:marLeft w:val="0"/>
                                              <w:marRight w:val="0"/>
                                              <w:marTop w:val="0"/>
                                              <w:marBottom w:val="0"/>
                                              <w:divBdr>
                                                <w:top w:val="none" w:sz="0" w:space="0" w:color="auto"/>
                                                <w:left w:val="none" w:sz="0" w:space="0" w:color="auto"/>
                                                <w:bottom w:val="none" w:sz="0" w:space="0" w:color="auto"/>
                                                <w:right w:val="none" w:sz="0" w:space="0" w:color="auto"/>
                                              </w:divBdr>
                                              <w:divsChild>
                                                <w:div w:id="2049838808">
                                                  <w:marLeft w:val="0"/>
                                                  <w:marRight w:val="0"/>
                                                  <w:marTop w:val="0"/>
                                                  <w:marBottom w:val="0"/>
                                                  <w:divBdr>
                                                    <w:top w:val="none" w:sz="0" w:space="0" w:color="auto"/>
                                                    <w:left w:val="none" w:sz="0" w:space="0" w:color="auto"/>
                                                    <w:bottom w:val="none" w:sz="0" w:space="0" w:color="auto"/>
                                                    <w:right w:val="none" w:sz="0" w:space="0" w:color="auto"/>
                                                  </w:divBdr>
                                                  <w:divsChild>
                                                    <w:div w:id="656804776">
                                                      <w:marLeft w:val="0"/>
                                                      <w:marRight w:val="0"/>
                                                      <w:marTop w:val="0"/>
                                                      <w:marBottom w:val="0"/>
                                                      <w:divBdr>
                                                        <w:top w:val="none" w:sz="0" w:space="0" w:color="auto"/>
                                                        <w:left w:val="none" w:sz="0" w:space="0" w:color="auto"/>
                                                        <w:bottom w:val="none" w:sz="0" w:space="0" w:color="auto"/>
                                                        <w:right w:val="none" w:sz="0" w:space="0" w:color="auto"/>
                                                      </w:divBdr>
                                                      <w:divsChild>
                                                        <w:div w:id="234098348">
                                                          <w:marLeft w:val="0"/>
                                                          <w:marRight w:val="0"/>
                                                          <w:marTop w:val="0"/>
                                                          <w:marBottom w:val="0"/>
                                                          <w:divBdr>
                                                            <w:top w:val="none" w:sz="0" w:space="0" w:color="auto"/>
                                                            <w:left w:val="none" w:sz="0" w:space="0" w:color="auto"/>
                                                            <w:bottom w:val="none" w:sz="0" w:space="0" w:color="auto"/>
                                                            <w:right w:val="none" w:sz="0" w:space="0" w:color="auto"/>
                                                          </w:divBdr>
                                                          <w:divsChild>
                                                            <w:div w:id="1311053994">
                                                              <w:marLeft w:val="0"/>
                                                              <w:marRight w:val="0"/>
                                                              <w:marTop w:val="0"/>
                                                              <w:marBottom w:val="0"/>
                                                              <w:divBdr>
                                                                <w:top w:val="none" w:sz="0" w:space="0" w:color="auto"/>
                                                                <w:left w:val="none" w:sz="0" w:space="0" w:color="auto"/>
                                                                <w:bottom w:val="none" w:sz="0" w:space="0" w:color="auto"/>
                                                                <w:right w:val="none" w:sz="0" w:space="0" w:color="auto"/>
                                                              </w:divBdr>
                                                              <w:divsChild>
                                                                <w:div w:id="1342272974">
                                                                  <w:marLeft w:val="0"/>
                                                                  <w:marRight w:val="0"/>
                                                                  <w:marTop w:val="0"/>
                                                                  <w:marBottom w:val="0"/>
                                                                  <w:divBdr>
                                                                    <w:top w:val="none" w:sz="0" w:space="0" w:color="auto"/>
                                                                    <w:left w:val="none" w:sz="0" w:space="0" w:color="auto"/>
                                                                    <w:bottom w:val="none" w:sz="0" w:space="0" w:color="auto"/>
                                                                    <w:right w:val="none" w:sz="0" w:space="0" w:color="auto"/>
                                                                  </w:divBdr>
                                                                  <w:divsChild>
                                                                    <w:div w:id="1460763636">
                                                                      <w:marLeft w:val="0"/>
                                                                      <w:marRight w:val="0"/>
                                                                      <w:marTop w:val="0"/>
                                                                      <w:marBottom w:val="0"/>
                                                                      <w:divBdr>
                                                                        <w:top w:val="none" w:sz="0" w:space="0" w:color="auto"/>
                                                                        <w:left w:val="none" w:sz="0" w:space="0" w:color="auto"/>
                                                                        <w:bottom w:val="none" w:sz="0" w:space="0" w:color="auto"/>
                                                                        <w:right w:val="none" w:sz="0" w:space="0" w:color="auto"/>
                                                                      </w:divBdr>
                                                                      <w:divsChild>
                                                                        <w:div w:id="645207616">
                                                                          <w:marLeft w:val="0"/>
                                                                          <w:marRight w:val="0"/>
                                                                          <w:marTop w:val="0"/>
                                                                          <w:marBottom w:val="0"/>
                                                                          <w:divBdr>
                                                                            <w:top w:val="none" w:sz="0" w:space="0" w:color="auto"/>
                                                                            <w:left w:val="none" w:sz="0" w:space="0" w:color="auto"/>
                                                                            <w:bottom w:val="none" w:sz="0" w:space="0" w:color="auto"/>
                                                                            <w:right w:val="none" w:sz="0" w:space="0" w:color="auto"/>
                                                                          </w:divBdr>
                                                                          <w:divsChild>
                                                                            <w:div w:id="658734475">
                                                                              <w:marLeft w:val="0"/>
                                                                              <w:marRight w:val="0"/>
                                                                              <w:marTop w:val="0"/>
                                                                              <w:marBottom w:val="0"/>
                                                                              <w:divBdr>
                                                                                <w:top w:val="none" w:sz="0" w:space="0" w:color="auto"/>
                                                                                <w:left w:val="none" w:sz="0" w:space="0" w:color="auto"/>
                                                                                <w:bottom w:val="none" w:sz="0" w:space="0" w:color="auto"/>
                                                                                <w:right w:val="none" w:sz="0" w:space="0" w:color="auto"/>
                                                                              </w:divBdr>
                                                                              <w:divsChild>
                                                                                <w:div w:id="917906882">
                                                                                  <w:marLeft w:val="0"/>
                                                                                  <w:marRight w:val="0"/>
                                                                                  <w:marTop w:val="0"/>
                                                                                  <w:marBottom w:val="0"/>
                                                                                  <w:divBdr>
                                                                                    <w:top w:val="none" w:sz="0" w:space="0" w:color="auto"/>
                                                                                    <w:left w:val="none" w:sz="0" w:space="0" w:color="auto"/>
                                                                                    <w:bottom w:val="none" w:sz="0" w:space="0" w:color="auto"/>
                                                                                    <w:right w:val="none" w:sz="0" w:space="0" w:color="auto"/>
                                                                                  </w:divBdr>
                                                                                  <w:divsChild>
                                                                                    <w:div w:id="1854998479">
                                                                                      <w:marLeft w:val="0"/>
                                                                                      <w:marRight w:val="0"/>
                                                                                      <w:marTop w:val="0"/>
                                                                                      <w:marBottom w:val="0"/>
                                                                                      <w:divBdr>
                                                                                        <w:top w:val="none" w:sz="0" w:space="0" w:color="auto"/>
                                                                                        <w:left w:val="none" w:sz="0" w:space="0" w:color="auto"/>
                                                                                        <w:bottom w:val="none" w:sz="0" w:space="0" w:color="auto"/>
                                                                                        <w:right w:val="none" w:sz="0" w:space="0" w:color="auto"/>
                                                                                      </w:divBdr>
                                                                                      <w:divsChild>
                                                                                        <w:div w:id="1397121301">
                                                                                          <w:marLeft w:val="0"/>
                                                                                          <w:marRight w:val="0"/>
                                                                                          <w:marTop w:val="0"/>
                                                                                          <w:marBottom w:val="0"/>
                                                                                          <w:divBdr>
                                                                                            <w:top w:val="none" w:sz="0" w:space="0" w:color="auto"/>
                                                                                            <w:left w:val="none" w:sz="0" w:space="0" w:color="auto"/>
                                                                                            <w:bottom w:val="none" w:sz="0" w:space="0" w:color="auto"/>
                                                                                            <w:right w:val="none" w:sz="0" w:space="0" w:color="auto"/>
                                                                                          </w:divBdr>
                                                                                          <w:divsChild>
                                                                                            <w:div w:id="1470247414">
                                                                                              <w:marLeft w:val="0"/>
                                                                                              <w:marRight w:val="0"/>
                                                                                              <w:marTop w:val="0"/>
                                                                                              <w:marBottom w:val="0"/>
                                                                                              <w:divBdr>
                                                                                                <w:top w:val="none" w:sz="0" w:space="0" w:color="auto"/>
                                                                                                <w:left w:val="none" w:sz="0" w:space="0" w:color="auto"/>
                                                                                                <w:bottom w:val="none" w:sz="0" w:space="0" w:color="auto"/>
                                                                                                <w:right w:val="none" w:sz="0" w:space="0" w:color="auto"/>
                                                                                              </w:divBdr>
                                                                                              <w:divsChild>
                                                                                                <w:div w:id="1165708507">
                                                                                                  <w:marLeft w:val="0"/>
                                                                                                  <w:marRight w:val="0"/>
                                                                                                  <w:marTop w:val="0"/>
                                                                                                  <w:marBottom w:val="0"/>
                                                                                                  <w:divBdr>
                                                                                                    <w:top w:val="none" w:sz="0" w:space="0" w:color="auto"/>
                                                                                                    <w:left w:val="none" w:sz="0" w:space="0" w:color="auto"/>
                                                                                                    <w:bottom w:val="none" w:sz="0" w:space="0" w:color="auto"/>
                                                                                                    <w:right w:val="none" w:sz="0" w:space="0" w:color="auto"/>
                                                                                                  </w:divBdr>
                                                                                                  <w:divsChild>
                                                                                                    <w:div w:id="827550925">
                                                                                                      <w:marLeft w:val="0"/>
                                                                                                      <w:marRight w:val="0"/>
                                                                                                      <w:marTop w:val="0"/>
                                                                                                      <w:marBottom w:val="0"/>
                                                                                                      <w:divBdr>
                                                                                                        <w:top w:val="none" w:sz="0" w:space="0" w:color="auto"/>
                                                                                                        <w:left w:val="none" w:sz="0" w:space="0" w:color="auto"/>
                                                                                                        <w:bottom w:val="none" w:sz="0" w:space="0" w:color="auto"/>
                                                                                                        <w:right w:val="none" w:sz="0" w:space="0" w:color="auto"/>
                                                                                                      </w:divBdr>
                                                                                                      <w:divsChild>
                                                                                                        <w:div w:id="1192303267">
                                                                                                          <w:marLeft w:val="0"/>
                                                                                                          <w:marRight w:val="0"/>
                                                                                                          <w:marTop w:val="0"/>
                                                                                                          <w:marBottom w:val="0"/>
                                                                                                          <w:divBdr>
                                                                                                            <w:top w:val="none" w:sz="0" w:space="0" w:color="auto"/>
                                                                                                            <w:left w:val="none" w:sz="0" w:space="0" w:color="auto"/>
                                                                                                            <w:bottom w:val="none" w:sz="0" w:space="0" w:color="auto"/>
                                                                                                            <w:right w:val="none" w:sz="0" w:space="0" w:color="auto"/>
                                                                                                          </w:divBdr>
                                                                                                          <w:divsChild>
                                                                                                            <w:div w:id="1923250228">
                                                                                                              <w:marLeft w:val="0"/>
                                                                                                              <w:marRight w:val="0"/>
                                                                                                              <w:marTop w:val="0"/>
                                                                                                              <w:marBottom w:val="0"/>
                                                                                                              <w:divBdr>
                                                                                                                <w:top w:val="none" w:sz="0" w:space="0" w:color="auto"/>
                                                                                                                <w:left w:val="none" w:sz="0" w:space="0" w:color="auto"/>
                                                                                                                <w:bottom w:val="none" w:sz="0" w:space="0" w:color="auto"/>
                                                                                                                <w:right w:val="none" w:sz="0" w:space="0" w:color="auto"/>
                                                                                                              </w:divBdr>
                                                                                                              <w:divsChild>
                                                                                                                <w:div w:id="195506245">
                                                                                                                  <w:marLeft w:val="0"/>
                                                                                                                  <w:marRight w:val="0"/>
                                                                                                                  <w:marTop w:val="0"/>
                                                                                                                  <w:marBottom w:val="0"/>
                                                                                                                  <w:divBdr>
                                                                                                                    <w:top w:val="none" w:sz="0" w:space="0" w:color="auto"/>
                                                                                                                    <w:left w:val="none" w:sz="0" w:space="0" w:color="auto"/>
                                                                                                                    <w:bottom w:val="none" w:sz="0" w:space="0" w:color="auto"/>
                                                                                                                    <w:right w:val="none" w:sz="0" w:space="0" w:color="auto"/>
                                                                                                                  </w:divBdr>
                                                                                                                  <w:divsChild>
                                                                                                                    <w:div w:id="1582636677">
                                                                                                                      <w:marLeft w:val="0"/>
                                                                                                                      <w:marRight w:val="0"/>
                                                                                                                      <w:marTop w:val="0"/>
                                                                                                                      <w:marBottom w:val="0"/>
                                                                                                                      <w:divBdr>
                                                                                                                        <w:top w:val="none" w:sz="0" w:space="0" w:color="auto"/>
                                                                                                                        <w:left w:val="none" w:sz="0" w:space="0" w:color="auto"/>
                                                                                                                        <w:bottom w:val="none" w:sz="0" w:space="0" w:color="auto"/>
                                                                                                                        <w:right w:val="none" w:sz="0" w:space="0" w:color="auto"/>
                                                                                                                      </w:divBdr>
                                                                                                                      <w:divsChild>
                                                                                                                        <w:div w:id="1221746375">
                                                                                                                          <w:marLeft w:val="0"/>
                                                                                                                          <w:marRight w:val="0"/>
                                                                                                                          <w:marTop w:val="0"/>
                                                                                                                          <w:marBottom w:val="0"/>
                                                                                                                          <w:divBdr>
                                                                                                                            <w:top w:val="none" w:sz="0" w:space="0" w:color="auto"/>
                                                                                                                            <w:left w:val="none" w:sz="0" w:space="0" w:color="auto"/>
                                                                                                                            <w:bottom w:val="none" w:sz="0" w:space="0" w:color="auto"/>
                                                                                                                            <w:right w:val="none" w:sz="0" w:space="0" w:color="auto"/>
                                                                                                                          </w:divBdr>
                                                                                                                          <w:divsChild>
                                                                                                                            <w:div w:id="477381807">
                                                                                                                              <w:marLeft w:val="0"/>
                                                                                                                              <w:marRight w:val="0"/>
                                                                                                                              <w:marTop w:val="0"/>
                                                                                                                              <w:marBottom w:val="0"/>
                                                                                                                              <w:divBdr>
                                                                                                                                <w:top w:val="none" w:sz="0" w:space="0" w:color="auto"/>
                                                                                                                                <w:left w:val="none" w:sz="0" w:space="0" w:color="auto"/>
                                                                                                                                <w:bottom w:val="none" w:sz="0" w:space="0" w:color="auto"/>
                                                                                                                                <w:right w:val="none" w:sz="0" w:space="0" w:color="auto"/>
                                                                                                                              </w:divBdr>
                                                                                                                              <w:divsChild>
                                                                                                                                <w:div w:id="504126499">
                                                                                                                                  <w:marLeft w:val="0"/>
                                                                                                                                  <w:marRight w:val="0"/>
                                                                                                                                  <w:marTop w:val="0"/>
                                                                                                                                  <w:marBottom w:val="0"/>
                                                                                                                                  <w:divBdr>
                                                                                                                                    <w:top w:val="none" w:sz="0" w:space="0" w:color="auto"/>
                                                                                                                                    <w:left w:val="none" w:sz="0" w:space="0" w:color="auto"/>
                                                                                                                                    <w:bottom w:val="none" w:sz="0" w:space="0" w:color="auto"/>
                                                                                                                                    <w:right w:val="none" w:sz="0" w:space="0" w:color="auto"/>
                                                                                                                                  </w:divBdr>
                                                                                                                                  <w:divsChild>
                                                                                                                                    <w:div w:id="1261913541">
                                                                                                                                      <w:marLeft w:val="0"/>
                                                                                                                                      <w:marRight w:val="0"/>
                                                                                                                                      <w:marTop w:val="0"/>
                                                                                                                                      <w:marBottom w:val="0"/>
                                                                                                                                      <w:divBdr>
                                                                                                                                        <w:top w:val="none" w:sz="0" w:space="0" w:color="auto"/>
                                                                                                                                        <w:left w:val="none" w:sz="0" w:space="0" w:color="auto"/>
                                                                                                                                        <w:bottom w:val="none" w:sz="0" w:space="0" w:color="auto"/>
                                                                                                                                        <w:right w:val="none" w:sz="0" w:space="0" w:color="auto"/>
                                                                                                                                      </w:divBdr>
                                                                                                                                      <w:divsChild>
                                                                                                                                        <w:div w:id="1326860785">
                                                                                                                                          <w:marLeft w:val="0"/>
                                                                                                                                          <w:marRight w:val="0"/>
                                                                                                                                          <w:marTop w:val="0"/>
                                                                                                                                          <w:marBottom w:val="0"/>
                                                                                                                                          <w:divBdr>
                                                                                                                                            <w:top w:val="none" w:sz="0" w:space="0" w:color="auto"/>
                                                                                                                                            <w:left w:val="none" w:sz="0" w:space="0" w:color="auto"/>
                                                                                                                                            <w:bottom w:val="none" w:sz="0" w:space="0" w:color="auto"/>
                                                                                                                                            <w:right w:val="none" w:sz="0" w:space="0" w:color="auto"/>
                                                                                                                                          </w:divBdr>
                                                                                                                                          <w:divsChild>
                                                                                                                                            <w:div w:id="2006205713">
                                                                                                                                              <w:marLeft w:val="0"/>
                                                                                                                                              <w:marRight w:val="0"/>
                                                                                                                                              <w:marTop w:val="0"/>
                                                                                                                                              <w:marBottom w:val="0"/>
                                                                                                                                              <w:divBdr>
                                                                                                                                                <w:top w:val="none" w:sz="0" w:space="0" w:color="auto"/>
                                                                                                                                                <w:left w:val="none" w:sz="0" w:space="0" w:color="auto"/>
                                                                                                                                                <w:bottom w:val="none" w:sz="0" w:space="0" w:color="auto"/>
                                                                                                                                                <w:right w:val="none" w:sz="0" w:space="0" w:color="auto"/>
                                                                                                                                              </w:divBdr>
                                                                                                                                              <w:divsChild>
                                                                                                                                                <w:div w:id="1578323058">
                                                                                                                                                  <w:marLeft w:val="0"/>
                                                                                                                                                  <w:marRight w:val="0"/>
                                                                                                                                                  <w:marTop w:val="0"/>
                                                                                                                                                  <w:marBottom w:val="0"/>
                                                                                                                                                  <w:divBdr>
                                                                                                                                                    <w:top w:val="none" w:sz="0" w:space="0" w:color="auto"/>
                                                                                                                                                    <w:left w:val="none" w:sz="0" w:space="0" w:color="auto"/>
                                                                                                                                                    <w:bottom w:val="none" w:sz="0" w:space="0" w:color="auto"/>
                                                                                                                                                    <w:right w:val="none" w:sz="0" w:space="0" w:color="auto"/>
                                                                                                                                                  </w:divBdr>
                                                                                                                                                  <w:divsChild>
                                                                                                                                                    <w:div w:id="17200138">
                                                                                                                                                      <w:marLeft w:val="0"/>
                                                                                                                                                      <w:marRight w:val="0"/>
                                                                                                                                                      <w:marTop w:val="0"/>
                                                                                                                                                      <w:marBottom w:val="0"/>
                                                                                                                                                      <w:divBdr>
                                                                                                                                                        <w:top w:val="none" w:sz="0" w:space="0" w:color="auto"/>
                                                                                                                                                        <w:left w:val="none" w:sz="0" w:space="0" w:color="auto"/>
                                                                                                                                                        <w:bottom w:val="none" w:sz="0" w:space="0" w:color="auto"/>
                                                                                                                                                        <w:right w:val="none" w:sz="0" w:space="0" w:color="auto"/>
                                                                                                                                                      </w:divBdr>
                                                                                                                                                      <w:divsChild>
                                                                                                                                                        <w:div w:id="1693803752">
                                                                                                                                                          <w:marLeft w:val="0"/>
                                                                                                                                                          <w:marRight w:val="0"/>
                                                                                                                                                          <w:marTop w:val="0"/>
                                                                                                                                                          <w:marBottom w:val="0"/>
                                                                                                                                                          <w:divBdr>
                                                                                                                                                            <w:top w:val="none" w:sz="0" w:space="0" w:color="auto"/>
                                                                                                                                                            <w:left w:val="none" w:sz="0" w:space="0" w:color="auto"/>
                                                                                                                                                            <w:bottom w:val="none" w:sz="0" w:space="0" w:color="auto"/>
                                                                                                                                                            <w:right w:val="none" w:sz="0" w:space="0" w:color="auto"/>
                                                                                                                                                          </w:divBdr>
                                                                                                                                                          <w:divsChild>
                                                                                                                                                            <w:div w:id="348217511">
                                                                                                                                                              <w:marLeft w:val="0"/>
                                                                                                                                                              <w:marRight w:val="0"/>
                                                                                                                                                              <w:marTop w:val="0"/>
                                                                                                                                                              <w:marBottom w:val="0"/>
                                                                                                                                                              <w:divBdr>
                                                                                                                                                                <w:top w:val="none" w:sz="0" w:space="0" w:color="auto"/>
                                                                                                                                                                <w:left w:val="none" w:sz="0" w:space="0" w:color="auto"/>
                                                                                                                                                                <w:bottom w:val="none" w:sz="0" w:space="0" w:color="auto"/>
                                                                                                                                                                <w:right w:val="none" w:sz="0" w:space="0" w:color="auto"/>
                                                                                                                                                              </w:divBdr>
                                                                                                                                                              <w:divsChild>
                                                                                                                                                                <w:div w:id="1104812724">
                                                                                                                                                                  <w:marLeft w:val="0"/>
                                                                                                                                                                  <w:marRight w:val="0"/>
                                                                                                                                                                  <w:marTop w:val="0"/>
                                                                                                                                                                  <w:marBottom w:val="0"/>
                                                                                                                                                                  <w:divBdr>
                                                                                                                                                                    <w:top w:val="none" w:sz="0" w:space="0" w:color="auto"/>
                                                                                                                                                                    <w:left w:val="none" w:sz="0" w:space="0" w:color="auto"/>
                                                                                                                                                                    <w:bottom w:val="none" w:sz="0" w:space="0" w:color="auto"/>
                                                                                                                                                                    <w:right w:val="none" w:sz="0" w:space="0" w:color="auto"/>
                                                                                                                                                                  </w:divBdr>
                                                                                                                                                                  <w:divsChild>
                                                                                                                                                                    <w:div w:id="262345520">
                                                                                                                                                                      <w:marLeft w:val="0"/>
                                                                                                                                                                      <w:marRight w:val="0"/>
                                                                                                                                                                      <w:marTop w:val="0"/>
                                                                                                                                                                      <w:marBottom w:val="0"/>
                                                                                                                                                                      <w:divBdr>
                                                                                                                                                                        <w:top w:val="none" w:sz="0" w:space="0" w:color="auto"/>
                                                                                                                                                                        <w:left w:val="none" w:sz="0" w:space="0" w:color="auto"/>
                                                                                                                                                                        <w:bottom w:val="none" w:sz="0" w:space="0" w:color="auto"/>
                                                                                                                                                                        <w:right w:val="none" w:sz="0" w:space="0" w:color="auto"/>
                                                                                                                                                                      </w:divBdr>
                                                                                                                                                                      <w:divsChild>
                                                                                                                                                                        <w:div w:id="504825483">
                                                                                                                                                                          <w:marLeft w:val="0"/>
                                                                                                                                                                          <w:marRight w:val="0"/>
                                                                                                                                                                          <w:marTop w:val="0"/>
                                                                                                                                                                          <w:marBottom w:val="0"/>
                                                                                                                                                                          <w:divBdr>
                                                                                                                                                                            <w:top w:val="none" w:sz="0" w:space="0" w:color="auto"/>
                                                                                                                                                                            <w:left w:val="none" w:sz="0" w:space="0" w:color="auto"/>
                                                                                                                                                                            <w:bottom w:val="none" w:sz="0" w:space="0" w:color="auto"/>
                                                                                                                                                                            <w:right w:val="none" w:sz="0" w:space="0" w:color="auto"/>
                                                                                                                                                                          </w:divBdr>
                                                                                                                                                                          <w:divsChild>
                                                                                                                                                                            <w:div w:id="1039551648">
                                                                                                                                                                              <w:marLeft w:val="0"/>
                                                                                                                                                                              <w:marRight w:val="0"/>
                                                                                                                                                                              <w:marTop w:val="0"/>
                                                                                                                                                                              <w:marBottom w:val="0"/>
                                                                                                                                                                              <w:divBdr>
                                                                                                                                                                                <w:top w:val="none" w:sz="0" w:space="0" w:color="auto"/>
                                                                                                                                                                                <w:left w:val="none" w:sz="0" w:space="0" w:color="auto"/>
                                                                                                                                                                                <w:bottom w:val="none" w:sz="0" w:space="0" w:color="auto"/>
                                                                                                                                                                                <w:right w:val="none" w:sz="0" w:space="0" w:color="auto"/>
                                                                                                                                                                              </w:divBdr>
                                                                                                                                                                              <w:divsChild>
                                                                                                                                                                                <w:div w:id="1912959963">
                                                                                                                                                                                  <w:marLeft w:val="0"/>
                                                                                                                                                                                  <w:marRight w:val="0"/>
                                                                                                                                                                                  <w:marTop w:val="0"/>
                                                                                                                                                                                  <w:marBottom w:val="0"/>
                                                                                                                                                                                  <w:divBdr>
                                                                                                                                                                                    <w:top w:val="none" w:sz="0" w:space="0" w:color="auto"/>
                                                                                                                                                                                    <w:left w:val="none" w:sz="0" w:space="0" w:color="auto"/>
                                                                                                                                                                                    <w:bottom w:val="none" w:sz="0" w:space="0" w:color="auto"/>
                                                                                                                                                                                    <w:right w:val="none" w:sz="0" w:space="0" w:color="auto"/>
                                                                                                                                                                                  </w:divBdr>
                                                                                                                                                                                  <w:divsChild>
                                                                                                                                                                                    <w:div w:id="527648510">
                                                                                                                                                                                      <w:marLeft w:val="0"/>
                                                                                                                                                                                      <w:marRight w:val="0"/>
                                                                                                                                                                                      <w:marTop w:val="0"/>
                                                                                                                                                                                      <w:marBottom w:val="0"/>
                                                                                                                                                                                      <w:divBdr>
                                                                                                                                                                                        <w:top w:val="none" w:sz="0" w:space="0" w:color="auto"/>
                                                                                                                                                                                        <w:left w:val="none" w:sz="0" w:space="0" w:color="auto"/>
                                                                                                                                                                                        <w:bottom w:val="none" w:sz="0" w:space="0" w:color="auto"/>
                                                                                                                                                                                        <w:right w:val="none" w:sz="0" w:space="0" w:color="auto"/>
                                                                                                                                                                                      </w:divBdr>
                                                                                                                                                                                      <w:divsChild>
                                                                                                                                                                                        <w:div w:id="2111969451">
                                                                                                                                                                                          <w:marLeft w:val="0"/>
                                                                                                                                                                                          <w:marRight w:val="0"/>
                                                                                                                                                                                          <w:marTop w:val="0"/>
                                                                                                                                                                                          <w:marBottom w:val="0"/>
                                                                                                                                                                                          <w:divBdr>
                                                                                                                                                                                            <w:top w:val="none" w:sz="0" w:space="0" w:color="auto"/>
                                                                                                                                                                                            <w:left w:val="none" w:sz="0" w:space="0" w:color="auto"/>
                                                                                                                                                                                            <w:bottom w:val="none" w:sz="0" w:space="0" w:color="auto"/>
                                                                                                                                                                                            <w:right w:val="none" w:sz="0" w:space="0" w:color="auto"/>
                                                                                                                                                                                          </w:divBdr>
                                                                                                                                                                                          <w:divsChild>
                                                                                                                                                                                            <w:div w:id="2069496297">
                                                                                                                                                                                              <w:marLeft w:val="0"/>
                                                                                                                                                                                              <w:marRight w:val="0"/>
                                                                                                                                                                                              <w:marTop w:val="0"/>
                                                                                                                                                                                              <w:marBottom w:val="0"/>
                                                                                                                                                                                              <w:divBdr>
                                                                                                                                                                                                <w:top w:val="none" w:sz="0" w:space="0" w:color="auto"/>
                                                                                                                                                                                                <w:left w:val="none" w:sz="0" w:space="0" w:color="auto"/>
                                                                                                                                                                                                <w:bottom w:val="none" w:sz="0" w:space="0" w:color="auto"/>
                                                                                                                                                                                                <w:right w:val="none" w:sz="0" w:space="0" w:color="auto"/>
                                                                                                                                                                                              </w:divBdr>
                                                                                                                                                                                              <w:divsChild>
                                                                                                                                                                                                <w:div w:id="982736321">
                                                                                                                                                                                                  <w:marLeft w:val="0"/>
                                                                                                                                                                                                  <w:marRight w:val="0"/>
                                                                                                                                                                                                  <w:marTop w:val="0"/>
                                                                                                                                                                                                  <w:marBottom w:val="0"/>
                                                                                                                                                                                                  <w:divBdr>
                                                                                                                                                                                                    <w:top w:val="none" w:sz="0" w:space="0" w:color="auto"/>
                                                                                                                                                                                                    <w:left w:val="none" w:sz="0" w:space="0" w:color="auto"/>
                                                                                                                                                                                                    <w:bottom w:val="none" w:sz="0" w:space="0" w:color="auto"/>
                                                                                                                                                                                                    <w:right w:val="none" w:sz="0" w:space="0" w:color="auto"/>
                                                                                                                                                                                                  </w:divBdr>
                                                                                                                                                                                                  <w:divsChild>
                                                                                                                                                                                                    <w:div w:id="912008489">
                                                                                                                                                                                                      <w:marLeft w:val="0"/>
                                                                                                                                                                                                      <w:marRight w:val="0"/>
                                                                                                                                                                                                      <w:marTop w:val="0"/>
                                                                                                                                                                                                      <w:marBottom w:val="0"/>
                                                                                                                                                                                                      <w:divBdr>
                                                                                                                                                                                                        <w:top w:val="none" w:sz="0" w:space="0" w:color="auto"/>
                                                                                                                                                                                                        <w:left w:val="none" w:sz="0" w:space="0" w:color="auto"/>
                                                                                                                                                                                                        <w:bottom w:val="none" w:sz="0" w:space="0" w:color="auto"/>
                                                                                                                                                                                                        <w:right w:val="none" w:sz="0" w:space="0" w:color="auto"/>
                                                                                                                                                                                                      </w:divBdr>
                                                                                                                                                                                                      <w:divsChild>
                                                                                                                                                                                                        <w:div w:id="1758937753">
                                                                                                                                                                                                          <w:marLeft w:val="0"/>
                                                                                                                                                                                                          <w:marRight w:val="0"/>
                                                                                                                                                                                                          <w:marTop w:val="0"/>
                                                                                                                                                                                                          <w:marBottom w:val="0"/>
                                                                                                                                                                                                          <w:divBdr>
                                                                                                                                                                                                            <w:top w:val="none" w:sz="0" w:space="0" w:color="auto"/>
                                                                                                                                                                                                            <w:left w:val="none" w:sz="0" w:space="0" w:color="auto"/>
                                                                                                                                                                                                            <w:bottom w:val="none" w:sz="0" w:space="0" w:color="auto"/>
                                                                                                                                                                                                            <w:right w:val="none" w:sz="0" w:space="0" w:color="auto"/>
                                                                                                                                                                                                          </w:divBdr>
                                                                                                                                                                                                          <w:divsChild>
                                                                                                                                                                                                            <w:div w:id="189150705">
                                                                                                                                                                                                              <w:marLeft w:val="0"/>
                                                                                                                                                                                                              <w:marRight w:val="0"/>
                                                                                                                                                                                                              <w:marTop w:val="0"/>
                                                                                                                                                                                                              <w:marBottom w:val="0"/>
                                                                                                                                                                                                              <w:divBdr>
                                                                                                                                                                                                                <w:top w:val="none" w:sz="0" w:space="0" w:color="auto"/>
                                                                                                                                                                                                                <w:left w:val="none" w:sz="0" w:space="0" w:color="auto"/>
                                                                                                                                                                                                                <w:bottom w:val="none" w:sz="0" w:space="0" w:color="auto"/>
                                                                                                                                                                                                                <w:right w:val="none" w:sz="0" w:space="0" w:color="auto"/>
                                                                                                                                                                                                              </w:divBdr>
                                                                                                                                                                                                              <w:divsChild>
                                                                                                                                                                                                                <w:div w:id="34624636">
                                                                                                                                                                                                                  <w:marLeft w:val="0"/>
                                                                                                                                                                                                                  <w:marRight w:val="0"/>
                                                                                                                                                                                                                  <w:marTop w:val="0"/>
                                                                                                                                                                                                                  <w:marBottom w:val="0"/>
                                                                                                                                                                                                                  <w:divBdr>
                                                                                                                                                                                                                    <w:top w:val="none" w:sz="0" w:space="0" w:color="auto"/>
                                                                                                                                                                                                                    <w:left w:val="none" w:sz="0" w:space="0" w:color="auto"/>
                                                                                                                                                                                                                    <w:bottom w:val="none" w:sz="0" w:space="0" w:color="auto"/>
                                                                                                                                                                                                                    <w:right w:val="none" w:sz="0" w:space="0" w:color="auto"/>
                                                                                                                                                                                                                  </w:divBdr>
                                                                                                                                                                                                                  <w:divsChild>
                                                                                                                                                                                                                    <w:div w:id="773399673">
                                                                                                                                                                                                                      <w:marLeft w:val="0"/>
                                                                                                                                                                                                                      <w:marRight w:val="0"/>
                                                                                                                                                                                                                      <w:marTop w:val="0"/>
                                                                                                                                                                                                                      <w:marBottom w:val="0"/>
                                                                                                                                                                                                                      <w:divBdr>
                                                                                                                                                                                                                        <w:top w:val="none" w:sz="0" w:space="0" w:color="auto"/>
                                                                                                                                                                                                                        <w:left w:val="none" w:sz="0" w:space="0" w:color="auto"/>
                                                                                                                                                                                                                        <w:bottom w:val="none" w:sz="0" w:space="0" w:color="auto"/>
                                                                                                                                                                                                                        <w:right w:val="none" w:sz="0" w:space="0" w:color="auto"/>
                                                                                                                                                                                                                      </w:divBdr>
                                                                                                                                                                                                                      <w:divsChild>
                                                                                                                                                                                                                        <w:div w:id="180437682">
                                                                                                                                                                                                                          <w:marLeft w:val="0"/>
                                                                                                                                                                                                                          <w:marRight w:val="0"/>
                                                                                                                                                                                                                          <w:marTop w:val="0"/>
                                                                                                                                                                                                                          <w:marBottom w:val="0"/>
                                                                                                                                                                                                                          <w:divBdr>
                                                                                                                                                                                                                            <w:top w:val="none" w:sz="0" w:space="0" w:color="auto"/>
                                                                                                                                                                                                                            <w:left w:val="none" w:sz="0" w:space="0" w:color="auto"/>
                                                                                                                                                                                                                            <w:bottom w:val="none" w:sz="0" w:space="0" w:color="auto"/>
                                                                                                                                                                                                                            <w:right w:val="none" w:sz="0" w:space="0" w:color="auto"/>
                                                                                                                                                                                                                          </w:divBdr>
                                                                                                                                                                                                                          <w:divsChild>
                                                                                                                                                                                                                            <w:div w:id="1383747732">
                                                                                                                                                                                                                              <w:marLeft w:val="0"/>
                                                                                                                                                                                                                              <w:marRight w:val="0"/>
                                                                                                                                                                                                                              <w:marTop w:val="0"/>
                                                                                                                                                                                                                              <w:marBottom w:val="0"/>
                                                                                                                                                                                                                              <w:divBdr>
                                                                                                                                                                                                                                <w:top w:val="none" w:sz="0" w:space="0" w:color="auto"/>
                                                                                                                                                                                                                                <w:left w:val="none" w:sz="0" w:space="0" w:color="auto"/>
                                                                                                                                                                                                                                <w:bottom w:val="none" w:sz="0" w:space="0" w:color="auto"/>
                                                                                                                                                                                                                                <w:right w:val="none" w:sz="0" w:space="0" w:color="auto"/>
                                                                                                                                                                                                                              </w:divBdr>
                                                                                                                                                                                                                              <w:divsChild>
                                                                                                                                                                                                                                <w:div w:id="936602353">
                                                                                                                                                                                                                                  <w:marLeft w:val="0"/>
                                                                                                                                                                                                                                  <w:marRight w:val="0"/>
                                                                                                                                                                                                                                  <w:marTop w:val="0"/>
                                                                                                                                                                                                                                  <w:marBottom w:val="0"/>
                                                                                                                                                                                                                                  <w:divBdr>
                                                                                                                                                                                                                                    <w:top w:val="none" w:sz="0" w:space="0" w:color="auto"/>
                                                                                                                                                                                                                                    <w:left w:val="none" w:sz="0" w:space="0" w:color="auto"/>
                                                                                                                                                                                                                                    <w:bottom w:val="none" w:sz="0" w:space="0" w:color="auto"/>
                                                                                                                                                                                                                                    <w:right w:val="none" w:sz="0" w:space="0" w:color="auto"/>
                                                                                                                                                                                                                                  </w:divBdr>
                                                                                                                                                                                                                                  <w:divsChild>
                                                                                                                                                                                                                                    <w:div w:id="1742950263">
                                                                                                                                                                                                                                      <w:marLeft w:val="0"/>
                                                                                                                                                                                                                                      <w:marRight w:val="0"/>
                                                                                                                                                                                                                                      <w:marTop w:val="0"/>
                                                                                                                                                                                                                                      <w:marBottom w:val="0"/>
                                                                                                                                                                                                                                      <w:divBdr>
                                                                                                                                                                                                                                        <w:top w:val="none" w:sz="0" w:space="0" w:color="auto"/>
                                                                                                                                                                                                                                        <w:left w:val="none" w:sz="0" w:space="0" w:color="auto"/>
                                                                                                                                                                                                                                        <w:bottom w:val="none" w:sz="0" w:space="0" w:color="auto"/>
                                                                                                                                                                                                                                        <w:right w:val="none" w:sz="0" w:space="0" w:color="auto"/>
                                                                                                                                                                                                                                      </w:divBdr>
                                                                                                                                                                                                                                      <w:divsChild>
                                                                                                                                                                                                                                        <w:div w:id="709458719">
                                                                                                                                                                                                                                          <w:marLeft w:val="0"/>
                                                                                                                                                                                                                                          <w:marRight w:val="0"/>
                                                                                                                                                                                                                                          <w:marTop w:val="0"/>
                                                                                                                                                                                                                                          <w:marBottom w:val="0"/>
                                                                                                                                                                                                                                          <w:divBdr>
                                                                                                                                                                                                                                            <w:top w:val="none" w:sz="0" w:space="0" w:color="auto"/>
                                                                                                                                                                                                                                            <w:left w:val="none" w:sz="0" w:space="0" w:color="auto"/>
                                                                                                                                                                                                                                            <w:bottom w:val="none" w:sz="0" w:space="0" w:color="auto"/>
                                                                                                                                                                                                                                            <w:right w:val="none" w:sz="0" w:space="0" w:color="auto"/>
                                                                                                                                                                                                                                          </w:divBdr>
                                                                                                                                                                                                                                          <w:divsChild>
                                                                                                                                                                                                                                            <w:div w:id="671105581">
                                                                                                                                                                                                                                              <w:marLeft w:val="0"/>
                                                                                                                                                                                                                                              <w:marRight w:val="0"/>
                                                                                                                                                                                                                                              <w:marTop w:val="0"/>
                                                                                                                                                                                                                                              <w:marBottom w:val="0"/>
                                                                                                                                                                                                                                              <w:divBdr>
                                                                                                                                                                                                                                                <w:top w:val="none" w:sz="0" w:space="0" w:color="auto"/>
                                                                                                                                                                                                                                                <w:left w:val="none" w:sz="0" w:space="0" w:color="auto"/>
                                                                                                                                                                                                                                                <w:bottom w:val="none" w:sz="0" w:space="0" w:color="auto"/>
                                                                                                                                                                                                                                                <w:right w:val="none" w:sz="0" w:space="0" w:color="auto"/>
                                                                                                                                                                                                                                              </w:divBdr>
                                                                                                                                                                                                                                              <w:divsChild>
                                                                                                                                                                                                                                                <w:div w:id="1407725045">
                                                                                                                                                                                                                                                  <w:marLeft w:val="0"/>
                                                                                                                                                                                                                                                  <w:marRight w:val="0"/>
                                                                                                                                                                                                                                                  <w:marTop w:val="0"/>
                                                                                                                                                                                                                                                  <w:marBottom w:val="0"/>
                                                                                                                                                                                                                                                  <w:divBdr>
                                                                                                                                                                                                                                                    <w:top w:val="none" w:sz="0" w:space="0" w:color="auto"/>
                                                                                                                                                                                                                                                    <w:left w:val="none" w:sz="0" w:space="0" w:color="auto"/>
                                                                                                                                                                                                                                                    <w:bottom w:val="none" w:sz="0" w:space="0" w:color="auto"/>
                                                                                                                                                                                                                                                    <w:right w:val="none" w:sz="0" w:space="0" w:color="auto"/>
                                                                                                                                                                                                                                                  </w:divBdr>
                                                                                                                                                                                                                                                  <w:divsChild>
                                                                                                                                                                                                                                                    <w:div w:id="2047214271">
                                                                                                                                                                                                                                                      <w:marLeft w:val="0"/>
                                                                                                                                                                                                                                                      <w:marRight w:val="0"/>
                                                                                                                                                                                                                                                      <w:marTop w:val="0"/>
                                                                                                                                                                                                                                                      <w:marBottom w:val="0"/>
                                                                                                                                                                                                                                                      <w:divBdr>
                                                                                                                                                                                                                                                        <w:top w:val="none" w:sz="0" w:space="0" w:color="auto"/>
                                                                                                                                                                                                                                                        <w:left w:val="none" w:sz="0" w:space="0" w:color="auto"/>
                                                                                                                                                                                                                                                        <w:bottom w:val="none" w:sz="0" w:space="0" w:color="auto"/>
                                                                                                                                                                                                                                                        <w:right w:val="none" w:sz="0" w:space="0" w:color="auto"/>
                                                                                                                                                                                                                                                      </w:divBdr>
                                                                                                                                                                                                                                                      <w:divsChild>
                                                                                                                                                                                                                                                        <w:div w:id="2106143486">
                                                                                                                                                                                                                                                          <w:marLeft w:val="0"/>
                                                                                                                                                                                                                                                          <w:marRight w:val="0"/>
                                                                                                                                                                                                                                                          <w:marTop w:val="0"/>
                                                                                                                                                                                                                                                          <w:marBottom w:val="0"/>
                                                                                                                                                                                                                                                          <w:divBdr>
                                                                                                                                                                                                                                                            <w:top w:val="none" w:sz="0" w:space="0" w:color="auto"/>
                                                                                                                                                                                                                                                            <w:left w:val="none" w:sz="0" w:space="0" w:color="auto"/>
                                                                                                                                                                                                                                                            <w:bottom w:val="none" w:sz="0" w:space="0" w:color="auto"/>
                                                                                                                                                                                                                                                            <w:right w:val="none" w:sz="0" w:space="0" w:color="auto"/>
                                                                                                                                                                                                                                                          </w:divBdr>
                                                                                                                                                                                                                                                          <w:divsChild>
                                                                                                                                                                                                                                                            <w:div w:id="1857840062">
                                                                                                                                                                                                                                                              <w:marLeft w:val="0"/>
                                                                                                                                                                                                                                                              <w:marRight w:val="0"/>
                                                                                                                                                                                                                                                              <w:marTop w:val="0"/>
                                                                                                                                                                                                                                                              <w:marBottom w:val="0"/>
                                                                                                                                                                                                                                                              <w:divBdr>
                                                                                                                                                                                                                                                                <w:top w:val="none" w:sz="0" w:space="0" w:color="auto"/>
                                                                                                                                                                                                                                                                <w:left w:val="none" w:sz="0" w:space="0" w:color="auto"/>
                                                                                                                                                                                                                                                                <w:bottom w:val="none" w:sz="0" w:space="0" w:color="auto"/>
                                                                                                                                                                                                                                                                <w:right w:val="none" w:sz="0" w:space="0" w:color="auto"/>
                                                                                                                                                                                                                                                              </w:divBdr>
                                                                                                                                                                                                                                                              <w:divsChild>
                                                                                                                                                                                                                                                                <w:div w:id="1187060007">
                                                                                                                                                                                                                                                                  <w:marLeft w:val="0"/>
                                                                                                                                                                                                                                                                  <w:marRight w:val="0"/>
                                                                                                                                                                                                                                                                  <w:marTop w:val="0"/>
                                                                                                                                                                                                                                                                  <w:marBottom w:val="0"/>
                                                                                                                                                                                                                                                                  <w:divBdr>
                                                                                                                                                                                                                                                                    <w:top w:val="none" w:sz="0" w:space="0" w:color="auto"/>
                                                                                                                                                                                                                                                                    <w:left w:val="none" w:sz="0" w:space="0" w:color="auto"/>
                                                                                                                                                                                                                                                                    <w:bottom w:val="none" w:sz="0" w:space="0" w:color="auto"/>
                                                                                                                                                                                                                                                                    <w:right w:val="none" w:sz="0" w:space="0" w:color="auto"/>
                                                                                                                                                                                                                                                                  </w:divBdr>
                                                                                                                                                                                                                                                                  <w:divsChild>
                                                                                                                                                                                                                                                                    <w:div w:id="1292860567">
                                                                                                                                                                                                                                                                      <w:marLeft w:val="0"/>
                                                                                                                                                                                                                                                                      <w:marRight w:val="0"/>
                                                                                                                                                                                                                                                                      <w:marTop w:val="0"/>
                                                                                                                                                                                                                                                                      <w:marBottom w:val="0"/>
                                                                                                                                                                                                                                                                      <w:divBdr>
                                                                                                                                                                                                                                                                        <w:top w:val="none" w:sz="0" w:space="0" w:color="auto"/>
                                                                                                                                                                                                                                                                        <w:left w:val="none" w:sz="0" w:space="0" w:color="auto"/>
                                                                                                                                                                                                                                                                        <w:bottom w:val="none" w:sz="0" w:space="0" w:color="auto"/>
                                                                                                                                                                                                                                                                        <w:right w:val="none" w:sz="0" w:space="0" w:color="auto"/>
                                                                                                                                                                                                                                                                      </w:divBdr>
                                                                                                                                                                                                                                                                      <w:divsChild>
                                                                                                                                                                                                                                                                        <w:div w:id="1230267620">
                                                                                                                                                                                                                                                                          <w:marLeft w:val="0"/>
                                                                                                                                                                                                                                                                          <w:marRight w:val="0"/>
                                                                                                                                                                                                                                                                          <w:marTop w:val="0"/>
                                                                                                                                                                                                                                                                          <w:marBottom w:val="0"/>
                                                                                                                                                                                                                                                                          <w:divBdr>
                                                                                                                                                                                                                                                                            <w:top w:val="none" w:sz="0" w:space="0" w:color="auto"/>
                                                                                                                                                                                                                                                                            <w:left w:val="none" w:sz="0" w:space="0" w:color="auto"/>
                                                                                                                                                                                                                                                                            <w:bottom w:val="none" w:sz="0" w:space="0" w:color="auto"/>
                                                                                                                                                                                                                                                                            <w:right w:val="none" w:sz="0" w:space="0" w:color="auto"/>
                                                                                                                                                                                                                                                                          </w:divBdr>
                                                                                                                                                                                                                                                                          <w:divsChild>
                                                                                                                                                                                                                                                                            <w:div w:id="1419709634">
                                                                                                                                                                                                                                                                              <w:marLeft w:val="0"/>
                                                                                                                                                                                                                                                                              <w:marRight w:val="0"/>
                                                                                                                                                                                                                                                                              <w:marTop w:val="0"/>
                                                                                                                                                                                                                                                                              <w:marBottom w:val="0"/>
                                                                                                                                                                                                                                                                              <w:divBdr>
                                                                                                                                                                                                                                                                                <w:top w:val="none" w:sz="0" w:space="0" w:color="auto"/>
                                                                                                                                                                                                                                                                                <w:left w:val="none" w:sz="0" w:space="0" w:color="auto"/>
                                                                                                                                                                                                                                                                                <w:bottom w:val="none" w:sz="0" w:space="0" w:color="auto"/>
                                                                                                                                                                                                                                                                                <w:right w:val="none" w:sz="0" w:space="0" w:color="auto"/>
                                                                                                                                                                                                                                                                              </w:divBdr>
                                                                                                                                                                                                                                                                              <w:divsChild>
                                                                                                                                                                                                                                                                                <w:div w:id="1061095367">
                                                                                                                                                                                                                                                                                  <w:marLeft w:val="0"/>
                                                                                                                                                                                                                                                                                  <w:marRight w:val="0"/>
                                                                                                                                                                                                                                                                                  <w:marTop w:val="0"/>
                                                                                                                                                                                                                                                                                  <w:marBottom w:val="0"/>
                                                                                                                                                                                                                                                                                  <w:divBdr>
                                                                                                                                                                                                                                                                                    <w:top w:val="none" w:sz="0" w:space="0" w:color="auto"/>
                                                                                                                                                                                                                                                                                    <w:left w:val="none" w:sz="0" w:space="0" w:color="auto"/>
                                                                                                                                                                                                                                                                                    <w:bottom w:val="none" w:sz="0" w:space="0" w:color="auto"/>
                                                                                                                                                                                                                                                                                    <w:right w:val="none" w:sz="0" w:space="0" w:color="auto"/>
                                                                                                                                                                                                                                                                                  </w:divBdr>
                                                                                                                                                                                                                                                                                  <w:divsChild>
                                                                                                                                                                                                                                                                                    <w:div w:id="745499471">
                                                                                                                                                                                                                                                                                      <w:marLeft w:val="0"/>
                                                                                                                                                                                                                                                                                      <w:marRight w:val="0"/>
                                                                                                                                                                                                                                                                                      <w:marTop w:val="0"/>
                                                                                                                                                                                                                                                                                      <w:marBottom w:val="0"/>
                                                                                                                                                                                                                                                                                      <w:divBdr>
                                                                                                                                                                                                                                                                                        <w:top w:val="none" w:sz="0" w:space="0" w:color="auto"/>
                                                                                                                                                                                                                                                                                        <w:left w:val="none" w:sz="0" w:space="0" w:color="auto"/>
                                                                                                                                                                                                                                                                                        <w:bottom w:val="none" w:sz="0" w:space="0" w:color="auto"/>
                                                                                                                                                                                                                                                                                        <w:right w:val="none" w:sz="0" w:space="0" w:color="auto"/>
                                                                                                                                                                                                                                                                                      </w:divBdr>
                                                                                                                                                                                                                                                                                      <w:divsChild>
                                                                                                                                                                                                                                                                                        <w:div w:id="54352786">
                                                                                                                                                                                                                                                                                          <w:marLeft w:val="0"/>
                                                                                                                                                                                                                                                                                          <w:marRight w:val="0"/>
                                                                                                                                                                                                                                                                                          <w:marTop w:val="0"/>
                                                                                                                                                                                                                                                                                          <w:marBottom w:val="0"/>
                                                                                                                                                                                                                                                                                          <w:divBdr>
                                                                                                                                                                                                                                                                                            <w:top w:val="none" w:sz="0" w:space="0" w:color="auto"/>
                                                                                                                                                                                                                                                                                            <w:left w:val="none" w:sz="0" w:space="0" w:color="auto"/>
                                                                                                                                                                                                                                                                                            <w:bottom w:val="none" w:sz="0" w:space="0" w:color="auto"/>
                                                                                                                                                                                                                                                                                            <w:right w:val="none" w:sz="0" w:space="0" w:color="auto"/>
                                                                                                                                                                                                                                                                                          </w:divBdr>
                                                                                                                                                                                                                                                                                          <w:divsChild>
                                                                                                                                                                                                                                                                                            <w:div w:id="768744222">
                                                                                                                                                                                                                                                                                              <w:marLeft w:val="0"/>
                                                                                                                                                                                                                                                                                              <w:marRight w:val="0"/>
                                                                                                                                                                                                                                                                                              <w:marTop w:val="0"/>
                                                                                                                                                                                                                                                                                              <w:marBottom w:val="0"/>
                                                                                                                                                                                                                                                                                              <w:divBdr>
                                                                                                                                                                                                                                                                                                <w:top w:val="none" w:sz="0" w:space="0" w:color="auto"/>
                                                                                                                                                                                                                                                                                                <w:left w:val="none" w:sz="0" w:space="0" w:color="auto"/>
                                                                                                                                                                                                                                                                                                <w:bottom w:val="none" w:sz="0" w:space="0" w:color="auto"/>
                                                                                                                                                                                                                                                                                                <w:right w:val="none" w:sz="0" w:space="0" w:color="auto"/>
                                                                                                                                                                                                                                                                                              </w:divBdr>
                                                                                                                                                                                                                                                                                              <w:divsChild>
                                                                                                                                                                                                                                                                                                <w:div w:id="740493114">
                                                                                                                                                                                                                                                                                                  <w:marLeft w:val="0"/>
                                                                                                                                                                                                                                                                                                  <w:marRight w:val="0"/>
                                                                                                                                                                                                                                                                                                  <w:marTop w:val="0"/>
                                                                                                                                                                                                                                                                                                  <w:marBottom w:val="0"/>
                                                                                                                                                                                                                                                                                                  <w:divBdr>
                                                                                                                                                                                                                                                                                                    <w:top w:val="none" w:sz="0" w:space="0" w:color="auto"/>
                                                                                                                                                                                                                                                                                                    <w:left w:val="none" w:sz="0" w:space="0" w:color="auto"/>
                                                                                                                                                                                                                                                                                                    <w:bottom w:val="none" w:sz="0" w:space="0" w:color="auto"/>
                                                                                                                                                                                                                                                                                                    <w:right w:val="none" w:sz="0" w:space="0" w:color="auto"/>
                                                                                                                                                                                                                                                                                                  </w:divBdr>
                                                                                                                                                                                                                                                                                                  <w:divsChild>
                                                                                                                                                                                                                                                                                                    <w:div w:id="156924406">
                                                                                                                                                                                                                                                                                                      <w:marLeft w:val="0"/>
                                                                                                                                                                                                                                                                                                      <w:marRight w:val="0"/>
                                                                                                                                                                                                                                                                                                      <w:marTop w:val="0"/>
                                                                                                                                                                                                                                                                                                      <w:marBottom w:val="0"/>
                                                                                                                                                                                                                                                                                                      <w:divBdr>
                                                                                                                                                                                                                                                                                                        <w:top w:val="none" w:sz="0" w:space="0" w:color="auto"/>
                                                                                                                                                                                                                                                                                                        <w:left w:val="none" w:sz="0" w:space="0" w:color="auto"/>
                                                                                                                                                                                                                                                                                                        <w:bottom w:val="none" w:sz="0" w:space="0" w:color="auto"/>
                                                                                                                                                                                                                                                                                                        <w:right w:val="none" w:sz="0" w:space="0" w:color="auto"/>
                                                                                                                                                                                                                                                                                                      </w:divBdr>
                                                                                                                                                                                                                                                                                                      <w:divsChild>
                                                                                                                                                                                                                                                                                                        <w:div w:id="2056469458">
                                                                                                                                                                                                                                                                                                          <w:marLeft w:val="0"/>
                                                                                                                                                                                                                                                                                                          <w:marRight w:val="0"/>
                                                                                                                                                                                                                                                                                                          <w:marTop w:val="0"/>
                                                                                                                                                                                                                                                                                                          <w:marBottom w:val="0"/>
                                                                                                                                                                                                                                                                                                          <w:divBdr>
                                                                                                                                                                                                                                                                                                            <w:top w:val="none" w:sz="0" w:space="0" w:color="auto"/>
                                                                                                                                                                                                                                                                                                            <w:left w:val="none" w:sz="0" w:space="0" w:color="auto"/>
                                                                                                                                                                                                                                                                                                            <w:bottom w:val="none" w:sz="0" w:space="0" w:color="auto"/>
                                                                                                                                                                                                                                                                                                            <w:right w:val="none" w:sz="0" w:space="0" w:color="auto"/>
                                                                                                                                                                                                                                                                                                          </w:divBdr>
                                                                                                                                                                                                                                                                                                          <w:divsChild>
                                                                                                                                                                                                                                                                                                            <w:div w:id="721365416">
                                                                                                                                                                                                                                                                                                              <w:marLeft w:val="0"/>
                                                                                                                                                                                                                                                                                                              <w:marRight w:val="0"/>
                                                                                                                                                                                                                                                                                                              <w:marTop w:val="0"/>
                                                                                                                                                                                                                                                                                                              <w:marBottom w:val="0"/>
                                                                                                                                                                                                                                                                                                              <w:divBdr>
                                                                                                                                                                                                                                                                                                                <w:top w:val="none" w:sz="0" w:space="0" w:color="auto"/>
                                                                                                                                                                                                                                                                                                                <w:left w:val="none" w:sz="0" w:space="0" w:color="auto"/>
                                                                                                                                                                                                                                                                                                                <w:bottom w:val="none" w:sz="0" w:space="0" w:color="auto"/>
                                                                                                                                                                                                                                                                                                                <w:right w:val="none" w:sz="0" w:space="0" w:color="auto"/>
                                                                                                                                                                                                                                                                                                              </w:divBdr>
                                                                                                                                                                                                                                                                                                              <w:divsChild>
                                                                                                                                                                                                                                                                                                                <w:div w:id="1595088265">
                                                                                                                                                                                                                                                                                                                  <w:marLeft w:val="0"/>
                                                                                                                                                                                                                                                                                                                  <w:marRight w:val="0"/>
                                                                                                                                                                                                                                                                                                                  <w:marTop w:val="0"/>
                                                                                                                                                                                                                                                                                                                  <w:marBottom w:val="0"/>
                                                                                                                                                                                                                                                                                                                  <w:divBdr>
                                                                                                                                                                                                                                                                                                                    <w:top w:val="none" w:sz="0" w:space="0" w:color="auto"/>
                                                                                                                                                                                                                                                                                                                    <w:left w:val="none" w:sz="0" w:space="0" w:color="auto"/>
                                                                                                                                                                                                                                                                                                                    <w:bottom w:val="none" w:sz="0" w:space="0" w:color="auto"/>
                                                                                                                                                                                                                                                                                                                    <w:right w:val="none" w:sz="0" w:space="0" w:color="auto"/>
                                                                                                                                                                                                                                                                                                                  </w:divBdr>
                                                                                                                                                                                                                                                                                                                  <w:divsChild>
                                                                                                                                                                                                                                                                                                                    <w:div w:id="417404606">
                                                                                                                                                                                                                                                                                                                      <w:marLeft w:val="0"/>
                                                                                                                                                                                                                                                                                                                      <w:marRight w:val="0"/>
                                                                                                                                                                                                                                                                                                                      <w:marTop w:val="0"/>
                                                                                                                                                                                                                                                                                                                      <w:marBottom w:val="0"/>
                                                                                                                                                                                                                                                                                                                      <w:divBdr>
                                                                                                                                                                                                                                                                                                                        <w:top w:val="none" w:sz="0" w:space="0" w:color="auto"/>
                                                                                                                                                                                                                                                                                                                        <w:left w:val="none" w:sz="0" w:space="0" w:color="auto"/>
                                                                                                                                                                                                                                                                                                                        <w:bottom w:val="none" w:sz="0" w:space="0" w:color="auto"/>
                                                                                                                                                                                                                                                                                                                        <w:right w:val="none" w:sz="0" w:space="0" w:color="auto"/>
                                                                                                                                                                                                                                                                                                                      </w:divBdr>
                                                                                                                                                                                                                                                                                                                      <w:divsChild>
                                                                                                                                                                                                                                                                                                                        <w:div w:id="1915041353">
                                                                                                                                                                                                                                                                                                                          <w:marLeft w:val="0"/>
                                                                                                                                                                                                                                                                                                                          <w:marRight w:val="0"/>
                                                                                                                                                                                                                                                                                                                          <w:marTop w:val="0"/>
                                                                                                                                                                                                                                                                                                                          <w:marBottom w:val="0"/>
                                                                                                                                                                                                                                                                                                                          <w:divBdr>
                                                                                                                                                                                                                                                                                                                            <w:top w:val="none" w:sz="0" w:space="0" w:color="auto"/>
                                                                                                                                                                                                                                                                                                                            <w:left w:val="none" w:sz="0" w:space="0" w:color="auto"/>
                                                                                                                                                                                                                                                                                                                            <w:bottom w:val="none" w:sz="0" w:space="0" w:color="auto"/>
                                                                                                                                                                                                                                                                                                                            <w:right w:val="none" w:sz="0" w:space="0" w:color="auto"/>
                                                                                                                                                                                                                                                                                                                          </w:divBdr>
                                                                                                                                                                                                                                                                                                                          <w:divsChild>
                                                                                                                                                                                                                                                                                                                            <w:div w:id="974456787">
                                                                                                                                                                                                                                                                                                                              <w:marLeft w:val="0"/>
                                                                                                                                                                                                                                                                                                                              <w:marRight w:val="0"/>
                                                                                                                                                                                                                                                                                                                              <w:marTop w:val="0"/>
                                                                                                                                                                                                                                                                                                                              <w:marBottom w:val="0"/>
                                                                                                                                                                                                                                                                                                                              <w:divBdr>
                                                                                                                                                                                                                                                                                                                                <w:top w:val="none" w:sz="0" w:space="0" w:color="auto"/>
                                                                                                                                                                                                                                                                                                                                <w:left w:val="none" w:sz="0" w:space="0" w:color="auto"/>
                                                                                                                                                                                                                                                                                                                                <w:bottom w:val="none" w:sz="0" w:space="0" w:color="auto"/>
                                                                                                                                                                                                                                                                                                                                <w:right w:val="none" w:sz="0" w:space="0" w:color="auto"/>
                                                                                                                                                                                                                                                                                                                              </w:divBdr>
                                                                                                                                                                                                                                                                                                                              <w:divsChild>
                                                                                                                                                                                                                                                                                                                                <w:div w:id="1668485619">
                                                                                                                                                                                                                                                                                                                                  <w:marLeft w:val="0"/>
                                                                                                                                                                                                                                                                                                                                  <w:marRight w:val="0"/>
                                                                                                                                                                                                                                                                                                                                  <w:marTop w:val="0"/>
                                                                                                                                                                                                                                                                                                                                  <w:marBottom w:val="0"/>
                                                                                                                                                                                                                                                                                                                                  <w:divBdr>
                                                                                                                                                                                                                                                                                                                                    <w:top w:val="none" w:sz="0" w:space="0" w:color="auto"/>
                                                                                                                                                                                                                                                                                                                                    <w:left w:val="none" w:sz="0" w:space="0" w:color="auto"/>
                                                                                                                                                                                                                                                                                                                                    <w:bottom w:val="none" w:sz="0" w:space="0" w:color="auto"/>
                                                                                                                                                                                                                                                                                                                                    <w:right w:val="none" w:sz="0" w:space="0" w:color="auto"/>
                                                                                                                                                                                                                                                                                                                                  </w:divBdr>
                                                                                                                                                                                                                                                                                                                                  <w:divsChild>
                                                                                                                                                                                                                                                                                                                                    <w:div w:id="96949816">
                                                                                                                                                                                                                                                                                                                                      <w:marLeft w:val="0"/>
                                                                                                                                                                                                                                                                                                                                      <w:marRight w:val="0"/>
                                                                                                                                                                                                                                                                                                                                      <w:marTop w:val="0"/>
                                                                                                                                                                                                                                                                                                                                      <w:marBottom w:val="0"/>
                                                                                                                                                                                                                                                                                                                                      <w:divBdr>
                                                                                                                                                                                                                                                                                                                                        <w:top w:val="none" w:sz="0" w:space="0" w:color="auto"/>
                                                                                                                                                                                                                                                                                                                                        <w:left w:val="none" w:sz="0" w:space="0" w:color="auto"/>
                                                                                                                                                                                                                                                                                                                                        <w:bottom w:val="none" w:sz="0" w:space="0" w:color="auto"/>
                                                                                                                                                                                                                                                                                                                                        <w:right w:val="none" w:sz="0" w:space="0" w:color="auto"/>
                                                                                                                                                                                                                                                                                                                                      </w:divBdr>
                                                                                                                                                                                                                                                                                                                                      <w:divsChild>
                                                                                                                                                                                                                                                                                                                                        <w:div w:id="1152139014">
                                                                                                                                                                                                                                                                                                                                          <w:marLeft w:val="0"/>
                                                                                                                                                                                                                                                                                                                                          <w:marRight w:val="0"/>
                                                                                                                                                                                                                                                                                                                                          <w:marTop w:val="0"/>
                                                                                                                                                                                                                                                                                                                                          <w:marBottom w:val="0"/>
                                                                                                                                                                                                                                                                                                                                          <w:divBdr>
                                                                                                                                                                                                                                                                                                                                            <w:top w:val="none" w:sz="0" w:space="0" w:color="auto"/>
                                                                                                                                                                                                                                                                                                                                            <w:left w:val="none" w:sz="0" w:space="0" w:color="auto"/>
                                                                                                                                                                                                                                                                                                                                            <w:bottom w:val="none" w:sz="0" w:space="0" w:color="auto"/>
                                                                                                                                                                                                                                                                                                                                            <w:right w:val="none" w:sz="0" w:space="0" w:color="auto"/>
                                                                                                                                                                                                                                                                                                                                          </w:divBdr>
                                                                                                                                                                                                                                                                                                                                          <w:divsChild>
                                                                                                                                                                                                                                                                                                                                            <w:div w:id="159994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5284851">
      <w:bodyDiv w:val="1"/>
      <w:marLeft w:val="0"/>
      <w:marRight w:val="0"/>
      <w:marTop w:val="0"/>
      <w:marBottom w:val="0"/>
      <w:divBdr>
        <w:top w:val="none" w:sz="0" w:space="0" w:color="auto"/>
        <w:left w:val="none" w:sz="0" w:space="0" w:color="auto"/>
        <w:bottom w:val="none" w:sz="0" w:space="0" w:color="auto"/>
        <w:right w:val="none" w:sz="0" w:space="0" w:color="auto"/>
      </w:divBdr>
    </w:div>
    <w:div w:id="1899780870">
      <w:bodyDiv w:val="1"/>
      <w:marLeft w:val="0"/>
      <w:marRight w:val="0"/>
      <w:marTop w:val="0"/>
      <w:marBottom w:val="0"/>
      <w:divBdr>
        <w:top w:val="none" w:sz="0" w:space="0" w:color="auto"/>
        <w:left w:val="none" w:sz="0" w:space="0" w:color="auto"/>
        <w:bottom w:val="none" w:sz="0" w:space="0" w:color="auto"/>
        <w:right w:val="none" w:sz="0" w:space="0" w:color="auto"/>
      </w:divBdr>
      <w:divsChild>
        <w:div w:id="1196046304">
          <w:marLeft w:val="0"/>
          <w:marRight w:val="0"/>
          <w:marTop w:val="0"/>
          <w:marBottom w:val="0"/>
          <w:divBdr>
            <w:top w:val="none" w:sz="0" w:space="0" w:color="auto"/>
            <w:left w:val="none" w:sz="0" w:space="0" w:color="auto"/>
            <w:bottom w:val="none" w:sz="0" w:space="0" w:color="auto"/>
            <w:right w:val="none" w:sz="0" w:space="0" w:color="auto"/>
          </w:divBdr>
          <w:divsChild>
            <w:div w:id="1014961947">
              <w:marLeft w:val="0"/>
              <w:marRight w:val="0"/>
              <w:marTop w:val="0"/>
              <w:marBottom w:val="0"/>
              <w:divBdr>
                <w:top w:val="none" w:sz="0" w:space="0" w:color="auto"/>
                <w:left w:val="none" w:sz="0" w:space="0" w:color="auto"/>
                <w:bottom w:val="none" w:sz="0" w:space="0" w:color="auto"/>
                <w:right w:val="none" w:sz="0" w:space="0" w:color="auto"/>
              </w:divBdr>
              <w:divsChild>
                <w:div w:id="1864323337">
                  <w:marLeft w:val="0"/>
                  <w:marRight w:val="0"/>
                  <w:marTop w:val="0"/>
                  <w:marBottom w:val="0"/>
                  <w:divBdr>
                    <w:top w:val="none" w:sz="0" w:space="0" w:color="auto"/>
                    <w:left w:val="none" w:sz="0" w:space="0" w:color="auto"/>
                    <w:bottom w:val="none" w:sz="0" w:space="0" w:color="auto"/>
                    <w:right w:val="none" w:sz="0" w:space="0" w:color="auto"/>
                  </w:divBdr>
                  <w:divsChild>
                    <w:div w:id="1724792316">
                      <w:marLeft w:val="0"/>
                      <w:marRight w:val="0"/>
                      <w:marTop w:val="0"/>
                      <w:marBottom w:val="0"/>
                      <w:divBdr>
                        <w:top w:val="none" w:sz="0" w:space="0" w:color="auto"/>
                        <w:left w:val="none" w:sz="0" w:space="0" w:color="auto"/>
                        <w:bottom w:val="none" w:sz="0" w:space="0" w:color="auto"/>
                        <w:right w:val="none" w:sz="0" w:space="0" w:color="auto"/>
                      </w:divBdr>
                      <w:divsChild>
                        <w:div w:id="1513034004">
                          <w:marLeft w:val="0"/>
                          <w:marRight w:val="0"/>
                          <w:marTop w:val="0"/>
                          <w:marBottom w:val="0"/>
                          <w:divBdr>
                            <w:top w:val="none" w:sz="0" w:space="0" w:color="auto"/>
                            <w:left w:val="none" w:sz="0" w:space="0" w:color="auto"/>
                            <w:bottom w:val="none" w:sz="0" w:space="0" w:color="auto"/>
                            <w:right w:val="none" w:sz="0" w:space="0" w:color="auto"/>
                          </w:divBdr>
                          <w:divsChild>
                            <w:div w:id="1270239344">
                              <w:marLeft w:val="0"/>
                              <w:marRight w:val="0"/>
                              <w:marTop w:val="0"/>
                              <w:marBottom w:val="0"/>
                              <w:divBdr>
                                <w:top w:val="none" w:sz="0" w:space="0" w:color="auto"/>
                                <w:left w:val="none" w:sz="0" w:space="0" w:color="auto"/>
                                <w:bottom w:val="none" w:sz="0" w:space="0" w:color="auto"/>
                                <w:right w:val="none" w:sz="0" w:space="0" w:color="auto"/>
                              </w:divBdr>
                              <w:divsChild>
                                <w:div w:id="1340809540">
                                  <w:marLeft w:val="0"/>
                                  <w:marRight w:val="0"/>
                                  <w:marTop w:val="0"/>
                                  <w:marBottom w:val="0"/>
                                  <w:divBdr>
                                    <w:top w:val="none" w:sz="0" w:space="0" w:color="auto"/>
                                    <w:left w:val="none" w:sz="0" w:space="0" w:color="auto"/>
                                    <w:bottom w:val="none" w:sz="0" w:space="0" w:color="auto"/>
                                    <w:right w:val="none" w:sz="0" w:space="0" w:color="auto"/>
                                  </w:divBdr>
                                  <w:divsChild>
                                    <w:div w:id="251477338">
                                      <w:marLeft w:val="0"/>
                                      <w:marRight w:val="0"/>
                                      <w:marTop w:val="0"/>
                                      <w:marBottom w:val="0"/>
                                      <w:divBdr>
                                        <w:top w:val="none" w:sz="0" w:space="0" w:color="auto"/>
                                        <w:left w:val="none" w:sz="0" w:space="0" w:color="auto"/>
                                        <w:bottom w:val="none" w:sz="0" w:space="0" w:color="auto"/>
                                        <w:right w:val="none" w:sz="0" w:space="0" w:color="auto"/>
                                      </w:divBdr>
                                      <w:divsChild>
                                        <w:div w:id="1609389594">
                                          <w:marLeft w:val="0"/>
                                          <w:marRight w:val="0"/>
                                          <w:marTop w:val="0"/>
                                          <w:marBottom w:val="0"/>
                                          <w:divBdr>
                                            <w:top w:val="none" w:sz="0" w:space="0" w:color="auto"/>
                                            <w:left w:val="none" w:sz="0" w:space="0" w:color="auto"/>
                                            <w:bottom w:val="none" w:sz="0" w:space="0" w:color="auto"/>
                                            <w:right w:val="none" w:sz="0" w:space="0" w:color="auto"/>
                                          </w:divBdr>
                                          <w:divsChild>
                                            <w:div w:id="641617645">
                                              <w:marLeft w:val="0"/>
                                              <w:marRight w:val="0"/>
                                              <w:marTop w:val="0"/>
                                              <w:marBottom w:val="0"/>
                                              <w:divBdr>
                                                <w:top w:val="none" w:sz="0" w:space="0" w:color="auto"/>
                                                <w:left w:val="none" w:sz="0" w:space="0" w:color="auto"/>
                                                <w:bottom w:val="none" w:sz="0" w:space="0" w:color="auto"/>
                                                <w:right w:val="none" w:sz="0" w:space="0" w:color="auto"/>
                                              </w:divBdr>
                                              <w:divsChild>
                                                <w:div w:id="2043481130">
                                                  <w:marLeft w:val="0"/>
                                                  <w:marRight w:val="0"/>
                                                  <w:marTop w:val="0"/>
                                                  <w:marBottom w:val="0"/>
                                                  <w:divBdr>
                                                    <w:top w:val="none" w:sz="0" w:space="0" w:color="auto"/>
                                                    <w:left w:val="none" w:sz="0" w:space="0" w:color="auto"/>
                                                    <w:bottom w:val="none" w:sz="0" w:space="0" w:color="auto"/>
                                                    <w:right w:val="none" w:sz="0" w:space="0" w:color="auto"/>
                                                  </w:divBdr>
                                                  <w:divsChild>
                                                    <w:div w:id="422460883">
                                                      <w:marLeft w:val="0"/>
                                                      <w:marRight w:val="0"/>
                                                      <w:marTop w:val="0"/>
                                                      <w:marBottom w:val="0"/>
                                                      <w:divBdr>
                                                        <w:top w:val="none" w:sz="0" w:space="0" w:color="auto"/>
                                                        <w:left w:val="none" w:sz="0" w:space="0" w:color="auto"/>
                                                        <w:bottom w:val="none" w:sz="0" w:space="0" w:color="auto"/>
                                                        <w:right w:val="none" w:sz="0" w:space="0" w:color="auto"/>
                                                      </w:divBdr>
                                                      <w:divsChild>
                                                        <w:div w:id="676271203">
                                                          <w:marLeft w:val="0"/>
                                                          <w:marRight w:val="0"/>
                                                          <w:marTop w:val="0"/>
                                                          <w:marBottom w:val="0"/>
                                                          <w:divBdr>
                                                            <w:top w:val="none" w:sz="0" w:space="0" w:color="auto"/>
                                                            <w:left w:val="none" w:sz="0" w:space="0" w:color="auto"/>
                                                            <w:bottom w:val="none" w:sz="0" w:space="0" w:color="auto"/>
                                                            <w:right w:val="none" w:sz="0" w:space="0" w:color="auto"/>
                                                          </w:divBdr>
                                                          <w:divsChild>
                                                            <w:div w:id="513694090">
                                                              <w:marLeft w:val="0"/>
                                                              <w:marRight w:val="0"/>
                                                              <w:marTop w:val="0"/>
                                                              <w:marBottom w:val="0"/>
                                                              <w:divBdr>
                                                                <w:top w:val="none" w:sz="0" w:space="0" w:color="auto"/>
                                                                <w:left w:val="none" w:sz="0" w:space="0" w:color="auto"/>
                                                                <w:bottom w:val="none" w:sz="0" w:space="0" w:color="auto"/>
                                                                <w:right w:val="none" w:sz="0" w:space="0" w:color="auto"/>
                                                              </w:divBdr>
                                                              <w:divsChild>
                                                                <w:div w:id="1360856590">
                                                                  <w:marLeft w:val="0"/>
                                                                  <w:marRight w:val="0"/>
                                                                  <w:marTop w:val="0"/>
                                                                  <w:marBottom w:val="0"/>
                                                                  <w:divBdr>
                                                                    <w:top w:val="none" w:sz="0" w:space="0" w:color="auto"/>
                                                                    <w:left w:val="none" w:sz="0" w:space="0" w:color="auto"/>
                                                                    <w:bottom w:val="none" w:sz="0" w:space="0" w:color="auto"/>
                                                                    <w:right w:val="none" w:sz="0" w:space="0" w:color="auto"/>
                                                                  </w:divBdr>
                                                                  <w:divsChild>
                                                                    <w:div w:id="1773889474">
                                                                      <w:marLeft w:val="0"/>
                                                                      <w:marRight w:val="0"/>
                                                                      <w:marTop w:val="0"/>
                                                                      <w:marBottom w:val="0"/>
                                                                      <w:divBdr>
                                                                        <w:top w:val="none" w:sz="0" w:space="0" w:color="auto"/>
                                                                        <w:left w:val="none" w:sz="0" w:space="0" w:color="auto"/>
                                                                        <w:bottom w:val="none" w:sz="0" w:space="0" w:color="auto"/>
                                                                        <w:right w:val="none" w:sz="0" w:space="0" w:color="auto"/>
                                                                      </w:divBdr>
                                                                      <w:divsChild>
                                                                        <w:div w:id="1526021806">
                                                                          <w:marLeft w:val="0"/>
                                                                          <w:marRight w:val="0"/>
                                                                          <w:marTop w:val="0"/>
                                                                          <w:marBottom w:val="0"/>
                                                                          <w:divBdr>
                                                                            <w:top w:val="none" w:sz="0" w:space="0" w:color="auto"/>
                                                                            <w:left w:val="none" w:sz="0" w:space="0" w:color="auto"/>
                                                                            <w:bottom w:val="none" w:sz="0" w:space="0" w:color="auto"/>
                                                                            <w:right w:val="none" w:sz="0" w:space="0" w:color="auto"/>
                                                                          </w:divBdr>
                                                                          <w:divsChild>
                                                                            <w:div w:id="1628928955">
                                                                              <w:marLeft w:val="0"/>
                                                                              <w:marRight w:val="0"/>
                                                                              <w:marTop w:val="0"/>
                                                                              <w:marBottom w:val="0"/>
                                                                              <w:divBdr>
                                                                                <w:top w:val="none" w:sz="0" w:space="0" w:color="auto"/>
                                                                                <w:left w:val="none" w:sz="0" w:space="0" w:color="auto"/>
                                                                                <w:bottom w:val="none" w:sz="0" w:space="0" w:color="auto"/>
                                                                                <w:right w:val="none" w:sz="0" w:space="0" w:color="auto"/>
                                                                              </w:divBdr>
                                                                              <w:divsChild>
                                                                                <w:div w:id="221212096">
                                                                                  <w:marLeft w:val="0"/>
                                                                                  <w:marRight w:val="0"/>
                                                                                  <w:marTop w:val="0"/>
                                                                                  <w:marBottom w:val="0"/>
                                                                                  <w:divBdr>
                                                                                    <w:top w:val="none" w:sz="0" w:space="0" w:color="auto"/>
                                                                                    <w:left w:val="none" w:sz="0" w:space="0" w:color="auto"/>
                                                                                    <w:bottom w:val="none" w:sz="0" w:space="0" w:color="auto"/>
                                                                                    <w:right w:val="none" w:sz="0" w:space="0" w:color="auto"/>
                                                                                  </w:divBdr>
                                                                                  <w:divsChild>
                                                                                    <w:div w:id="687177055">
                                                                                      <w:marLeft w:val="0"/>
                                                                                      <w:marRight w:val="0"/>
                                                                                      <w:marTop w:val="0"/>
                                                                                      <w:marBottom w:val="0"/>
                                                                                      <w:divBdr>
                                                                                        <w:top w:val="none" w:sz="0" w:space="0" w:color="auto"/>
                                                                                        <w:left w:val="none" w:sz="0" w:space="0" w:color="auto"/>
                                                                                        <w:bottom w:val="none" w:sz="0" w:space="0" w:color="auto"/>
                                                                                        <w:right w:val="none" w:sz="0" w:space="0" w:color="auto"/>
                                                                                      </w:divBdr>
                                                                                      <w:divsChild>
                                                                                        <w:div w:id="36975247">
                                                                                          <w:marLeft w:val="0"/>
                                                                                          <w:marRight w:val="0"/>
                                                                                          <w:marTop w:val="0"/>
                                                                                          <w:marBottom w:val="0"/>
                                                                                          <w:divBdr>
                                                                                            <w:top w:val="none" w:sz="0" w:space="0" w:color="auto"/>
                                                                                            <w:left w:val="none" w:sz="0" w:space="0" w:color="auto"/>
                                                                                            <w:bottom w:val="none" w:sz="0" w:space="0" w:color="auto"/>
                                                                                            <w:right w:val="none" w:sz="0" w:space="0" w:color="auto"/>
                                                                                          </w:divBdr>
                                                                                          <w:divsChild>
                                                                                            <w:div w:id="941646948">
                                                                                              <w:marLeft w:val="0"/>
                                                                                              <w:marRight w:val="0"/>
                                                                                              <w:marTop w:val="0"/>
                                                                                              <w:marBottom w:val="0"/>
                                                                                              <w:divBdr>
                                                                                                <w:top w:val="none" w:sz="0" w:space="0" w:color="auto"/>
                                                                                                <w:left w:val="none" w:sz="0" w:space="0" w:color="auto"/>
                                                                                                <w:bottom w:val="none" w:sz="0" w:space="0" w:color="auto"/>
                                                                                                <w:right w:val="none" w:sz="0" w:space="0" w:color="auto"/>
                                                                                              </w:divBdr>
                                                                                              <w:divsChild>
                                                                                                <w:div w:id="1672220642">
                                                                                                  <w:marLeft w:val="0"/>
                                                                                                  <w:marRight w:val="0"/>
                                                                                                  <w:marTop w:val="0"/>
                                                                                                  <w:marBottom w:val="0"/>
                                                                                                  <w:divBdr>
                                                                                                    <w:top w:val="none" w:sz="0" w:space="0" w:color="auto"/>
                                                                                                    <w:left w:val="none" w:sz="0" w:space="0" w:color="auto"/>
                                                                                                    <w:bottom w:val="none" w:sz="0" w:space="0" w:color="auto"/>
                                                                                                    <w:right w:val="none" w:sz="0" w:space="0" w:color="auto"/>
                                                                                                  </w:divBdr>
                                                                                                  <w:divsChild>
                                                                                                    <w:div w:id="264535367">
                                                                                                      <w:marLeft w:val="0"/>
                                                                                                      <w:marRight w:val="0"/>
                                                                                                      <w:marTop w:val="0"/>
                                                                                                      <w:marBottom w:val="0"/>
                                                                                                      <w:divBdr>
                                                                                                        <w:top w:val="none" w:sz="0" w:space="0" w:color="auto"/>
                                                                                                        <w:left w:val="none" w:sz="0" w:space="0" w:color="auto"/>
                                                                                                        <w:bottom w:val="none" w:sz="0" w:space="0" w:color="auto"/>
                                                                                                        <w:right w:val="none" w:sz="0" w:space="0" w:color="auto"/>
                                                                                                      </w:divBdr>
                                                                                                      <w:divsChild>
                                                                                                        <w:div w:id="609974799">
                                                                                                          <w:marLeft w:val="0"/>
                                                                                                          <w:marRight w:val="0"/>
                                                                                                          <w:marTop w:val="0"/>
                                                                                                          <w:marBottom w:val="0"/>
                                                                                                          <w:divBdr>
                                                                                                            <w:top w:val="none" w:sz="0" w:space="0" w:color="auto"/>
                                                                                                            <w:left w:val="none" w:sz="0" w:space="0" w:color="auto"/>
                                                                                                            <w:bottom w:val="none" w:sz="0" w:space="0" w:color="auto"/>
                                                                                                            <w:right w:val="none" w:sz="0" w:space="0" w:color="auto"/>
                                                                                                          </w:divBdr>
                                                                                                          <w:divsChild>
                                                                                                            <w:div w:id="1964381269">
                                                                                                              <w:marLeft w:val="0"/>
                                                                                                              <w:marRight w:val="0"/>
                                                                                                              <w:marTop w:val="0"/>
                                                                                                              <w:marBottom w:val="0"/>
                                                                                                              <w:divBdr>
                                                                                                                <w:top w:val="none" w:sz="0" w:space="0" w:color="auto"/>
                                                                                                                <w:left w:val="none" w:sz="0" w:space="0" w:color="auto"/>
                                                                                                                <w:bottom w:val="none" w:sz="0" w:space="0" w:color="auto"/>
                                                                                                                <w:right w:val="none" w:sz="0" w:space="0" w:color="auto"/>
                                                                                                              </w:divBdr>
                                                                                                              <w:divsChild>
                                                                                                                <w:div w:id="897204865">
                                                                                                                  <w:marLeft w:val="0"/>
                                                                                                                  <w:marRight w:val="0"/>
                                                                                                                  <w:marTop w:val="0"/>
                                                                                                                  <w:marBottom w:val="0"/>
                                                                                                                  <w:divBdr>
                                                                                                                    <w:top w:val="none" w:sz="0" w:space="0" w:color="auto"/>
                                                                                                                    <w:left w:val="none" w:sz="0" w:space="0" w:color="auto"/>
                                                                                                                    <w:bottom w:val="none" w:sz="0" w:space="0" w:color="auto"/>
                                                                                                                    <w:right w:val="none" w:sz="0" w:space="0" w:color="auto"/>
                                                                                                                  </w:divBdr>
                                                                                                                  <w:divsChild>
                                                                                                                    <w:div w:id="738791216">
                                                                                                                      <w:marLeft w:val="0"/>
                                                                                                                      <w:marRight w:val="0"/>
                                                                                                                      <w:marTop w:val="0"/>
                                                                                                                      <w:marBottom w:val="0"/>
                                                                                                                      <w:divBdr>
                                                                                                                        <w:top w:val="none" w:sz="0" w:space="0" w:color="auto"/>
                                                                                                                        <w:left w:val="none" w:sz="0" w:space="0" w:color="auto"/>
                                                                                                                        <w:bottom w:val="none" w:sz="0" w:space="0" w:color="auto"/>
                                                                                                                        <w:right w:val="none" w:sz="0" w:space="0" w:color="auto"/>
                                                                                                                      </w:divBdr>
                                                                                                                      <w:divsChild>
                                                                                                                        <w:div w:id="1015229597">
                                                                                                                          <w:marLeft w:val="0"/>
                                                                                                                          <w:marRight w:val="0"/>
                                                                                                                          <w:marTop w:val="0"/>
                                                                                                                          <w:marBottom w:val="0"/>
                                                                                                                          <w:divBdr>
                                                                                                                            <w:top w:val="none" w:sz="0" w:space="0" w:color="auto"/>
                                                                                                                            <w:left w:val="none" w:sz="0" w:space="0" w:color="auto"/>
                                                                                                                            <w:bottom w:val="none" w:sz="0" w:space="0" w:color="auto"/>
                                                                                                                            <w:right w:val="none" w:sz="0" w:space="0" w:color="auto"/>
                                                                                                                          </w:divBdr>
                                                                                                                          <w:divsChild>
                                                                                                                            <w:div w:id="184515426">
                                                                                                                              <w:marLeft w:val="0"/>
                                                                                                                              <w:marRight w:val="0"/>
                                                                                                                              <w:marTop w:val="0"/>
                                                                                                                              <w:marBottom w:val="0"/>
                                                                                                                              <w:divBdr>
                                                                                                                                <w:top w:val="none" w:sz="0" w:space="0" w:color="auto"/>
                                                                                                                                <w:left w:val="none" w:sz="0" w:space="0" w:color="auto"/>
                                                                                                                                <w:bottom w:val="none" w:sz="0" w:space="0" w:color="auto"/>
                                                                                                                                <w:right w:val="none" w:sz="0" w:space="0" w:color="auto"/>
                                                                                                                              </w:divBdr>
                                                                                                                              <w:divsChild>
                                                                                                                                <w:div w:id="778136356">
                                                                                                                                  <w:marLeft w:val="0"/>
                                                                                                                                  <w:marRight w:val="0"/>
                                                                                                                                  <w:marTop w:val="0"/>
                                                                                                                                  <w:marBottom w:val="0"/>
                                                                                                                                  <w:divBdr>
                                                                                                                                    <w:top w:val="none" w:sz="0" w:space="0" w:color="auto"/>
                                                                                                                                    <w:left w:val="none" w:sz="0" w:space="0" w:color="auto"/>
                                                                                                                                    <w:bottom w:val="none" w:sz="0" w:space="0" w:color="auto"/>
                                                                                                                                    <w:right w:val="none" w:sz="0" w:space="0" w:color="auto"/>
                                                                                                                                  </w:divBdr>
                                                                                                                                  <w:divsChild>
                                                                                                                                    <w:div w:id="1542472855">
                                                                                                                                      <w:marLeft w:val="0"/>
                                                                                                                                      <w:marRight w:val="0"/>
                                                                                                                                      <w:marTop w:val="0"/>
                                                                                                                                      <w:marBottom w:val="0"/>
                                                                                                                                      <w:divBdr>
                                                                                                                                        <w:top w:val="none" w:sz="0" w:space="0" w:color="auto"/>
                                                                                                                                        <w:left w:val="none" w:sz="0" w:space="0" w:color="auto"/>
                                                                                                                                        <w:bottom w:val="none" w:sz="0" w:space="0" w:color="auto"/>
                                                                                                                                        <w:right w:val="none" w:sz="0" w:space="0" w:color="auto"/>
                                                                                                                                      </w:divBdr>
                                                                                                                                      <w:divsChild>
                                                                                                                                        <w:div w:id="2056616639">
                                                                                                                                          <w:marLeft w:val="0"/>
                                                                                                                                          <w:marRight w:val="0"/>
                                                                                                                                          <w:marTop w:val="0"/>
                                                                                                                                          <w:marBottom w:val="0"/>
                                                                                                                                          <w:divBdr>
                                                                                                                                            <w:top w:val="none" w:sz="0" w:space="0" w:color="auto"/>
                                                                                                                                            <w:left w:val="none" w:sz="0" w:space="0" w:color="auto"/>
                                                                                                                                            <w:bottom w:val="none" w:sz="0" w:space="0" w:color="auto"/>
                                                                                                                                            <w:right w:val="none" w:sz="0" w:space="0" w:color="auto"/>
                                                                                                                                          </w:divBdr>
                                                                                                                                          <w:divsChild>
                                                                                                                                            <w:div w:id="120927601">
                                                                                                                                              <w:marLeft w:val="0"/>
                                                                                                                                              <w:marRight w:val="0"/>
                                                                                                                                              <w:marTop w:val="0"/>
                                                                                                                                              <w:marBottom w:val="0"/>
                                                                                                                                              <w:divBdr>
                                                                                                                                                <w:top w:val="none" w:sz="0" w:space="0" w:color="auto"/>
                                                                                                                                                <w:left w:val="none" w:sz="0" w:space="0" w:color="auto"/>
                                                                                                                                                <w:bottom w:val="none" w:sz="0" w:space="0" w:color="auto"/>
                                                                                                                                                <w:right w:val="none" w:sz="0" w:space="0" w:color="auto"/>
                                                                                                                                              </w:divBdr>
                                                                                                                                              <w:divsChild>
                                                                                                                                                <w:div w:id="2043088401">
                                                                                                                                                  <w:marLeft w:val="0"/>
                                                                                                                                                  <w:marRight w:val="0"/>
                                                                                                                                                  <w:marTop w:val="0"/>
                                                                                                                                                  <w:marBottom w:val="0"/>
                                                                                                                                                  <w:divBdr>
                                                                                                                                                    <w:top w:val="none" w:sz="0" w:space="0" w:color="auto"/>
                                                                                                                                                    <w:left w:val="none" w:sz="0" w:space="0" w:color="auto"/>
                                                                                                                                                    <w:bottom w:val="none" w:sz="0" w:space="0" w:color="auto"/>
                                                                                                                                                    <w:right w:val="none" w:sz="0" w:space="0" w:color="auto"/>
                                                                                                                                                  </w:divBdr>
                                                                                                                                                  <w:divsChild>
                                                                                                                                                    <w:div w:id="641807034">
                                                                                                                                                      <w:marLeft w:val="0"/>
                                                                                                                                                      <w:marRight w:val="0"/>
                                                                                                                                                      <w:marTop w:val="0"/>
                                                                                                                                                      <w:marBottom w:val="0"/>
                                                                                                                                                      <w:divBdr>
                                                                                                                                                        <w:top w:val="none" w:sz="0" w:space="0" w:color="auto"/>
                                                                                                                                                        <w:left w:val="none" w:sz="0" w:space="0" w:color="auto"/>
                                                                                                                                                        <w:bottom w:val="none" w:sz="0" w:space="0" w:color="auto"/>
                                                                                                                                                        <w:right w:val="none" w:sz="0" w:space="0" w:color="auto"/>
                                                                                                                                                      </w:divBdr>
                                                                                                                                                      <w:divsChild>
                                                                                                                                                        <w:div w:id="1606377984">
                                                                                                                                                          <w:marLeft w:val="0"/>
                                                                                                                                                          <w:marRight w:val="0"/>
                                                                                                                                                          <w:marTop w:val="0"/>
                                                                                                                                                          <w:marBottom w:val="0"/>
                                                                                                                                                          <w:divBdr>
                                                                                                                                                            <w:top w:val="none" w:sz="0" w:space="0" w:color="auto"/>
                                                                                                                                                            <w:left w:val="none" w:sz="0" w:space="0" w:color="auto"/>
                                                                                                                                                            <w:bottom w:val="none" w:sz="0" w:space="0" w:color="auto"/>
                                                                                                                                                            <w:right w:val="none" w:sz="0" w:space="0" w:color="auto"/>
                                                                                                                                                          </w:divBdr>
                                                                                                                                                          <w:divsChild>
                                                                                                                                                            <w:div w:id="475100102">
                                                                                                                                                              <w:marLeft w:val="0"/>
                                                                                                                                                              <w:marRight w:val="0"/>
                                                                                                                                                              <w:marTop w:val="0"/>
                                                                                                                                                              <w:marBottom w:val="0"/>
                                                                                                                                                              <w:divBdr>
                                                                                                                                                                <w:top w:val="none" w:sz="0" w:space="0" w:color="auto"/>
                                                                                                                                                                <w:left w:val="none" w:sz="0" w:space="0" w:color="auto"/>
                                                                                                                                                                <w:bottom w:val="none" w:sz="0" w:space="0" w:color="auto"/>
                                                                                                                                                                <w:right w:val="none" w:sz="0" w:space="0" w:color="auto"/>
                                                                                                                                                              </w:divBdr>
                                                                                                                                                              <w:divsChild>
                                                                                                                                                                <w:div w:id="1067918761">
                                                                                                                                                                  <w:marLeft w:val="0"/>
                                                                                                                                                                  <w:marRight w:val="0"/>
                                                                                                                                                                  <w:marTop w:val="0"/>
                                                                                                                                                                  <w:marBottom w:val="0"/>
                                                                                                                                                                  <w:divBdr>
                                                                                                                                                                    <w:top w:val="none" w:sz="0" w:space="0" w:color="auto"/>
                                                                                                                                                                    <w:left w:val="none" w:sz="0" w:space="0" w:color="auto"/>
                                                                                                                                                                    <w:bottom w:val="none" w:sz="0" w:space="0" w:color="auto"/>
                                                                                                                                                                    <w:right w:val="none" w:sz="0" w:space="0" w:color="auto"/>
                                                                                                                                                                  </w:divBdr>
                                                                                                                                                                  <w:divsChild>
                                                                                                                                                                    <w:div w:id="291252163">
                                                                                                                                                                      <w:marLeft w:val="0"/>
                                                                                                                                                                      <w:marRight w:val="0"/>
                                                                                                                                                                      <w:marTop w:val="0"/>
                                                                                                                                                                      <w:marBottom w:val="0"/>
                                                                                                                                                                      <w:divBdr>
                                                                                                                                                                        <w:top w:val="none" w:sz="0" w:space="0" w:color="auto"/>
                                                                                                                                                                        <w:left w:val="none" w:sz="0" w:space="0" w:color="auto"/>
                                                                                                                                                                        <w:bottom w:val="none" w:sz="0" w:space="0" w:color="auto"/>
                                                                                                                                                                        <w:right w:val="none" w:sz="0" w:space="0" w:color="auto"/>
                                                                                                                                                                      </w:divBdr>
                                                                                                                                                                      <w:divsChild>
                                                                                                                                                                        <w:div w:id="651640918">
                                                                                                                                                                          <w:marLeft w:val="0"/>
                                                                                                                                                                          <w:marRight w:val="0"/>
                                                                                                                                                                          <w:marTop w:val="0"/>
                                                                                                                                                                          <w:marBottom w:val="0"/>
                                                                                                                                                                          <w:divBdr>
                                                                                                                                                                            <w:top w:val="none" w:sz="0" w:space="0" w:color="auto"/>
                                                                                                                                                                            <w:left w:val="none" w:sz="0" w:space="0" w:color="auto"/>
                                                                                                                                                                            <w:bottom w:val="none" w:sz="0" w:space="0" w:color="auto"/>
                                                                                                                                                                            <w:right w:val="none" w:sz="0" w:space="0" w:color="auto"/>
                                                                                                                                                                          </w:divBdr>
                                                                                                                                                                          <w:divsChild>
                                                                                                                                                                            <w:div w:id="1463231376">
                                                                                                                                                                              <w:marLeft w:val="0"/>
                                                                                                                                                                              <w:marRight w:val="0"/>
                                                                                                                                                                              <w:marTop w:val="0"/>
                                                                                                                                                                              <w:marBottom w:val="0"/>
                                                                                                                                                                              <w:divBdr>
                                                                                                                                                                                <w:top w:val="none" w:sz="0" w:space="0" w:color="auto"/>
                                                                                                                                                                                <w:left w:val="none" w:sz="0" w:space="0" w:color="auto"/>
                                                                                                                                                                                <w:bottom w:val="none" w:sz="0" w:space="0" w:color="auto"/>
                                                                                                                                                                                <w:right w:val="none" w:sz="0" w:space="0" w:color="auto"/>
                                                                                                                                                                              </w:divBdr>
                                                                                                                                                                              <w:divsChild>
                                                                                                                                                                                <w:div w:id="1962153865">
                                                                                                                                                                                  <w:marLeft w:val="0"/>
                                                                                                                                                                                  <w:marRight w:val="0"/>
                                                                                                                                                                                  <w:marTop w:val="0"/>
                                                                                                                                                                                  <w:marBottom w:val="0"/>
                                                                                                                                                                                  <w:divBdr>
                                                                                                                                                                                    <w:top w:val="none" w:sz="0" w:space="0" w:color="auto"/>
                                                                                                                                                                                    <w:left w:val="none" w:sz="0" w:space="0" w:color="auto"/>
                                                                                                                                                                                    <w:bottom w:val="none" w:sz="0" w:space="0" w:color="auto"/>
                                                                                                                                                                                    <w:right w:val="none" w:sz="0" w:space="0" w:color="auto"/>
                                                                                                                                                                                  </w:divBdr>
                                                                                                                                                                                  <w:divsChild>
                                                                                                                                                                                    <w:div w:id="192810846">
                                                                                                                                                                                      <w:marLeft w:val="0"/>
                                                                                                                                                                                      <w:marRight w:val="0"/>
                                                                                                                                                                                      <w:marTop w:val="0"/>
                                                                                                                                                                                      <w:marBottom w:val="0"/>
                                                                                                                                                                                      <w:divBdr>
                                                                                                                                                                                        <w:top w:val="none" w:sz="0" w:space="0" w:color="auto"/>
                                                                                                                                                                                        <w:left w:val="none" w:sz="0" w:space="0" w:color="auto"/>
                                                                                                                                                                                        <w:bottom w:val="none" w:sz="0" w:space="0" w:color="auto"/>
                                                                                                                                                                                        <w:right w:val="none" w:sz="0" w:space="0" w:color="auto"/>
                                                                                                                                                                                      </w:divBdr>
                                                                                                                                                                                      <w:divsChild>
                                                                                                                                                                                        <w:div w:id="1187788725">
                                                                                                                                                                                          <w:marLeft w:val="0"/>
                                                                                                                                                                                          <w:marRight w:val="0"/>
                                                                                                                                                                                          <w:marTop w:val="0"/>
                                                                                                                                                                                          <w:marBottom w:val="0"/>
                                                                                                                                                                                          <w:divBdr>
                                                                                                                                                                                            <w:top w:val="none" w:sz="0" w:space="0" w:color="auto"/>
                                                                                                                                                                                            <w:left w:val="none" w:sz="0" w:space="0" w:color="auto"/>
                                                                                                                                                                                            <w:bottom w:val="none" w:sz="0" w:space="0" w:color="auto"/>
                                                                                                                                                                                            <w:right w:val="none" w:sz="0" w:space="0" w:color="auto"/>
                                                                                                                                                                                          </w:divBdr>
                                                                                                                                                                                          <w:divsChild>
                                                                                                                                                                                            <w:div w:id="1267882806">
                                                                                                                                                                                              <w:marLeft w:val="0"/>
                                                                                                                                                                                              <w:marRight w:val="0"/>
                                                                                                                                                                                              <w:marTop w:val="0"/>
                                                                                                                                                                                              <w:marBottom w:val="0"/>
                                                                                                                                                                                              <w:divBdr>
                                                                                                                                                                                                <w:top w:val="none" w:sz="0" w:space="0" w:color="auto"/>
                                                                                                                                                                                                <w:left w:val="none" w:sz="0" w:space="0" w:color="auto"/>
                                                                                                                                                                                                <w:bottom w:val="none" w:sz="0" w:space="0" w:color="auto"/>
                                                                                                                                                                                                <w:right w:val="none" w:sz="0" w:space="0" w:color="auto"/>
                                                                                                                                                                                              </w:divBdr>
                                                                                                                                                                                              <w:divsChild>
                                                                                                                                                                                                <w:div w:id="2027708315">
                                                                                                                                                                                                  <w:marLeft w:val="0"/>
                                                                                                                                                                                                  <w:marRight w:val="0"/>
                                                                                                                                                                                                  <w:marTop w:val="0"/>
                                                                                                                                                                                                  <w:marBottom w:val="0"/>
                                                                                                                                                                                                  <w:divBdr>
                                                                                                                                                                                                    <w:top w:val="none" w:sz="0" w:space="0" w:color="auto"/>
                                                                                                                                                                                                    <w:left w:val="none" w:sz="0" w:space="0" w:color="auto"/>
                                                                                                                                                                                                    <w:bottom w:val="none" w:sz="0" w:space="0" w:color="auto"/>
                                                                                                                                                                                                    <w:right w:val="none" w:sz="0" w:space="0" w:color="auto"/>
                                                                                                                                                                                                  </w:divBdr>
                                                                                                                                                                                                  <w:divsChild>
                                                                                                                                                                                                    <w:div w:id="1838961558">
                                                                                                                                                                                                      <w:marLeft w:val="0"/>
                                                                                                                                                                                                      <w:marRight w:val="0"/>
                                                                                                                                                                                                      <w:marTop w:val="0"/>
                                                                                                                                                                                                      <w:marBottom w:val="0"/>
                                                                                                                                                                                                      <w:divBdr>
                                                                                                                                                                                                        <w:top w:val="none" w:sz="0" w:space="0" w:color="auto"/>
                                                                                                                                                                                                        <w:left w:val="none" w:sz="0" w:space="0" w:color="auto"/>
                                                                                                                                                                                                        <w:bottom w:val="none" w:sz="0" w:space="0" w:color="auto"/>
                                                                                                                                                                                                        <w:right w:val="none" w:sz="0" w:space="0" w:color="auto"/>
                                                                                                                                                                                                      </w:divBdr>
                                                                                                                                                                                                      <w:divsChild>
                                                                                                                                                                                                        <w:div w:id="1520584822">
                                                                                                                                                                                                          <w:marLeft w:val="0"/>
                                                                                                                                                                                                          <w:marRight w:val="0"/>
                                                                                                                                                                                                          <w:marTop w:val="0"/>
                                                                                                                                                                                                          <w:marBottom w:val="0"/>
                                                                                                                                                                                                          <w:divBdr>
                                                                                                                                                                                                            <w:top w:val="none" w:sz="0" w:space="0" w:color="auto"/>
                                                                                                                                                                                                            <w:left w:val="none" w:sz="0" w:space="0" w:color="auto"/>
                                                                                                                                                                                                            <w:bottom w:val="none" w:sz="0" w:space="0" w:color="auto"/>
                                                                                                                                                                                                            <w:right w:val="none" w:sz="0" w:space="0" w:color="auto"/>
                                                                                                                                                                                                          </w:divBdr>
                                                                                                                                                                                                          <w:divsChild>
                                                                                                                                                                                                            <w:div w:id="742798957">
                                                                                                                                                                                                              <w:marLeft w:val="0"/>
                                                                                                                                                                                                              <w:marRight w:val="0"/>
                                                                                                                                                                                                              <w:marTop w:val="0"/>
                                                                                                                                                                                                              <w:marBottom w:val="0"/>
                                                                                                                                                                                                              <w:divBdr>
                                                                                                                                                                                                                <w:top w:val="none" w:sz="0" w:space="0" w:color="auto"/>
                                                                                                                                                                                                                <w:left w:val="none" w:sz="0" w:space="0" w:color="auto"/>
                                                                                                                                                                                                                <w:bottom w:val="none" w:sz="0" w:space="0" w:color="auto"/>
                                                                                                                                                                                                                <w:right w:val="none" w:sz="0" w:space="0" w:color="auto"/>
                                                                                                                                                                                                              </w:divBdr>
                                                                                                                                                                                                              <w:divsChild>
                                                                                                                                                                                                                <w:div w:id="797531342">
                                                                                                                                                                                                                  <w:marLeft w:val="0"/>
                                                                                                                                                                                                                  <w:marRight w:val="0"/>
                                                                                                                                                                                                                  <w:marTop w:val="0"/>
                                                                                                                                                                                                                  <w:marBottom w:val="0"/>
                                                                                                                                                                                                                  <w:divBdr>
                                                                                                                                                                                                                    <w:top w:val="none" w:sz="0" w:space="0" w:color="auto"/>
                                                                                                                                                                                                                    <w:left w:val="none" w:sz="0" w:space="0" w:color="auto"/>
                                                                                                                                                                                                                    <w:bottom w:val="none" w:sz="0" w:space="0" w:color="auto"/>
                                                                                                                                                                                                                    <w:right w:val="none" w:sz="0" w:space="0" w:color="auto"/>
                                                                                                                                                                                                                  </w:divBdr>
                                                                                                                                                                                                                  <w:divsChild>
                                                                                                                                                                                                                    <w:div w:id="1427769003">
                                                                                                                                                                                                                      <w:marLeft w:val="0"/>
                                                                                                                                                                                                                      <w:marRight w:val="0"/>
                                                                                                                                                                                                                      <w:marTop w:val="0"/>
                                                                                                                                                                                                                      <w:marBottom w:val="0"/>
                                                                                                                                                                                                                      <w:divBdr>
                                                                                                                                                                                                                        <w:top w:val="none" w:sz="0" w:space="0" w:color="auto"/>
                                                                                                                                                                                                                        <w:left w:val="none" w:sz="0" w:space="0" w:color="auto"/>
                                                                                                                                                                                                                        <w:bottom w:val="none" w:sz="0" w:space="0" w:color="auto"/>
                                                                                                                                                                                                                        <w:right w:val="none" w:sz="0" w:space="0" w:color="auto"/>
                                                                                                                                                                                                                      </w:divBdr>
                                                                                                                                                                                                                      <w:divsChild>
                                                                                                                                                                                                                        <w:div w:id="1238782168">
                                                                                                                                                                                                                          <w:marLeft w:val="0"/>
                                                                                                                                                                                                                          <w:marRight w:val="0"/>
                                                                                                                                                                                                                          <w:marTop w:val="0"/>
                                                                                                                                                                                                                          <w:marBottom w:val="0"/>
                                                                                                                                                                                                                          <w:divBdr>
                                                                                                                                                                                                                            <w:top w:val="none" w:sz="0" w:space="0" w:color="auto"/>
                                                                                                                                                                                                                            <w:left w:val="none" w:sz="0" w:space="0" w:color="auto"/>
                                                                                                                                                                                                                            <w:bottom w:val="none" w:sz="0" w:space="0" w:color="auto"/>
                                                                                                                                                                                                                            <w:right w:val="none" w:sz="0" w:space="0" w:color="auto"/>
                                                                                                                                                                                                                          </w:divBdr>
                                                                                                                                                                                                                          <w:divsChild>
                                                                                                                                                                                                                            <w:div w:id="1774782104">
                                                                                                                                                                                                                              <w:marLeft w:val="0"/>
                                                                                                                                                                                                                              <w:marRight w:val="0"/>
                                                                                                                                                                                                                              <w:marTop w:val="0"/>
                                                                                                                                                                                                                              <w:marBottom w:val="0"/>
                                                                                                                                                                                                                              <w:divBdr>
                                                                                                                                                                                                                                <w:top w:val="none" w:sz="0" w:space="0" w:color="auto"/>
                                                                                                                                                                                                                                <w:left w:val="none" w:sz="0" w:space="0" w:color="auto"/>
                                                                                                                                                                                                                                <w:bottom w:val="none" w:sz="0" w:space="0" w:color="auto"/>
                                                                                                                                                                                                                                <w:right w:val="none" w:sz="0" w:space="0" w:color="auto"/>
                                                                                                                                                                                                                              </w:divBdr>
                                                                                                                                                                                                                              <w:divsChild>
                                                                                                                                                                                                                                <w:div w:id="1551963166">
                                                                                                                                                                                                                                  <w:marLeft w:val="0"/>
                                                                                                                                                                                                                                  <w:marRight w:val="0"/>
                                                                                                                                                                                                                                  <w:marTop w:val="0"/>
                                                                                                                                                                                                                                  <w:marBottom w:val="0"/>
                                                                                                                                                                                                                                  <w:divBdr>
                                                                                                                                                                                                                                    <w:top w:val="none" w:sz="0" w:space="0" w:color="auto"/>
                                                                                                                                                                                                                                    <w:left w:val="none" w:sz="0" w:space="0" w:color="auto"/>
                                                                                                                                                                                                                                    <w:bottom w:val="none" w:sz="0" w:space="0" w:color="auto"/>
                                                                                                                                                                                                                                    <w:right w:val="none" w:sz="0" w:space="0" w:color="auto"/>
                                                                                                                                                                                                                                  </w:divBdr>
                                                                                                                                                                                                                                  <w:divsChild>
                                                                                                                                                                                                                                    <w:div w:id="1123646873">
                                                                                                                                                                                                                                      <w:marLeft w:val="0"/>
                                                                                                                                                                                                                                      <w:marRight w:val="0"/>
                                                                                                                                                                                                                                      <w:marTop w:val="0"/>
                                                                                                                                                                                                                                      <w:marBottom w:val="0"/>
                                                                                                                                                                                                                                      <w:divBdr>
                                                                                                                                                                                                                                        <w:top w:val="none" w:sz="0" w:space="0" w:color="auto"/>
                                                                                                                                                                                                                                        <w:left w:val="none" w:sz="0" w:space="0" w:color="auto"/>
                                                                                                                                                                                                                                        <w:bottom w:val="none" w:sz="0" w:space="0" w:color="auto"/>
                                                                                                                                                                                                                                        <w:right w:val="none" w:sz="0" w:space="0" w:color="auto"/>
                                                                                                                                                                                                                                      </w:divBdr>
                                                                                                                                                                                                                                      <w:divsChild>
                                                                                                                                                                                                                                        <w:div w:id="1624846244">
                                                                                                                                                                                                                                          <w:marLeft w:val="0"/>
                                                                                                                                                                                                                                          <w:marRight w:val="0"/>
                                                                                                                                                                                                                                          <w:marTop w:val="0"/>
                                                                                                                                                                                                                                          <w:marBottom w:val="0"/>
                                                                                                                                                                                                                                          <w:divBdr>
                                                                                                                                                                                                                                            <w:top w:val="none" w:sz="0" w:space="0" w:color="auto"/>
                                                                                                                                                                                                                                            <w:left w:val="none" w:sz="0" w:space="0" w:color="auto"/>
                                                                                                                                                                                                                                            <w:bottom w:val="none" w:sz="0" w:space="0" w:color="auto"/>
                                                                                                                                                                                                                                            <w:right w:val="none" w:sz="0" w:space="0" w:color="auto"/>
                                                                                                                                                                                                                                          </w:divBdr>
                                                                                                                                                                                                                                          <w:divsChild>
                                                                                                                                                                                                                                            <w:div w:id="1292513076">
                                                                                                                                                                                                                                              <w:marLeft w:val="0"/>
                                                                                                                                                                                                                                              <w:marRight w:val="0"/>
                                                                                                                                                                                                                                              <w:marTop w:val="0"/>
                                                                                                                                                                                                                                              <w:marBottom w:val="0"/>
                                                                                                                                                                                                                                              <w:divBdr>
                                                                                                                                                                                                                                                <w:top w:val="none" w:sz="0" w:space="0" w:color="auto"/>
                                                                                                                                                                                                                                                <w:left w:val="none" w:sz="0" w:space="0" w:color="auto"/>
                                                                                                                                                                                                                                                <w:bottom w:val="none" w:sz="0" w:space="0" w:color="auto"/>
                                                                                                                                                                                                                                                <w:right w:val="none" w:sz="0" w:space="0" w:color="auto"/>
                                                                                                                                                                                                                                              </w:divBdr>
                                                                                                                                                                                                                                              <w:divsChild>
                                                                                                                                                                                                                                                <w:div w:id="1655719363">
                                                                                                                                                                                                                                                  <w:marLeft w:val="0"/>
                                                                                                                                                                                                                                                  <w:marRight w:val="0"/>
                                                                                                                                                                                                                                                  <w:marTop w:val="0"/>
                                                                                                                                                                                                                                                  <w:marBottom w:val="0"/>
                                                                                                                                                                                                                                                  <w:divBdr>
                                                                                                                                                                                                                                                    <w:top w:val="none" w:sz="0" w:space="0" w:color="auto"/>
                                                                                                                                                                                                                                                    <w:left w:val="none" w:sz="0" w:space="0" w:color="auto"/>
                                                                                                                                                                                                                                                    <w:bottom w:val="none" w:sz="0" w:space="0" w:color="auto"/>
                                                                                                                                                                                                                                                    <w:right w:val="none" w:sz="0" w:space="0" w:color="auto"/>
                                                                                                                                                                                                                                                  </w:divBdr>
                                                                                                                                                                                                                                                  <w:divsChild>
                                                                                                                                                                                                                                                    <w:div w:id="2099671186">
                                                                                                                                                                                                                                                      <w:marLeft w:val="0"/>
                                                                                                                                                                                                                                                      <w:marRight w:val="0"/>
                                                                                                                                                                                                                                                      <w:marTop w:val="0"/>
                                                                                                                                                                                                                                                      <w:marBottom w:val="0"/>
                                                                                                                                                                                                                                                      <w:divBdr>
                                                                                                                                                                                                                                                        <w:top w:val="none" w:sz="0" w:space="0" w:color="auto"/>
                                                                                                                                                                                                                                                        <w:left w:val="none" w:sz="0" w:space="0" w:color="auto"/>
                                                                                                                                                                                                                                                        <w:bottom w:val="none" w:sz="0" w:space="0" w:color="auto"/>
                                                                                                                                                                                                                                                        <w:right w:val="none" w:sz="0" w:space="0" w:color="auto"/>
                                                                                                                                                                                                                                                      </w:divBdr>
                                                                                                                                                                                                                                                      <w:divsChild>
                                                                                                                                                                                                                                                        <w:div w:id="1923249406">
                                                                                                                                                                                                                                                          <w:marLeft w:val="0"/>
                                                                                                                                                                                                                                                          <w:marRight w:val="0"/>
                                                                                                                                                                                                                                                          <w:marTop w:val="0"/>
                                                                                                                                                                                                                                                          <w:marBottom w:val="0"/>
                                                                                                                                                                                                                                                          <w:divBdr>
                                                                                                                                                                                                                                                            <w:top w:val="none" w:sz="0" w:space="0" w:color="auto"/>
                                                                                                                                                                                                                                                            <w:left w:val="none" w:sz="0" w:space="0" w:color="auto"/>
                                                                                                                                                                                                                                                            <w:bottom w:val="none" w:sz="0" w:space="0" w:color="auto"/>
                                                                                                                                                                                                                                                            <w:right w:val="none" w:sz="0" w:space="0" w:color="auto"/>
                                                                                                                                                                                                                                                          </w:divBdr>
                                                                                                                                                                                                                                                          <w:divsChild>
                                                                                                                                                                                                                                                            <w:div w:id="1417166408">
                                                                                                                                                                                                                                                              <w:marLeft w:val="0"/>
                                                                                                                                                                                                                                                              <w:marRight w:val="0"/>
                                                                                                                                                                                                                                                              <w:marTop w:val="0"/>
                                                                                                                                                                                                                                                              <w:marBottom w:val="0"/>
                                                                                                                                                                                                                                                              <w:divBdr>
                                                                                                                                                                                                                                                                <w:top w:val="none" w:sz="0" w:space="0" w:color="auto"/>
                                                                                                                                                                                                                                                                <w:left w:val="none" w:sz="0" w:space="0" w:color="auto"/>
                                                                                                                                                                                                                                                                <w:bottom w:val="none" w:sz="0" w:space="0" w:color="auto"/>
                                                                                                                                                                                                                                                                <w:right w:val="none" w:sz="0" w:space="0" w:color="auto"/>
                                                                                                                                                                                                                                                              </w:divBdr>
                                                                                                                                                                                                                                                              <w:divsChild>
                                                                                                                                                                                                                                                                <w:div w:id="488062938">
                                                                                                                                                                                                                                                                  <w:marLeft w:val="0"/>
                                                                                                                                                                                                                                                                  <w:marRight w:val="0"/>
                                                                                                                                                                                                                                                                  <w:marTop w:val="0"/>
                                                                                                                                                                                                                                                                  <w:marBottom w:val="0"/>
                                                                                                                                                                                                                                                                  <w:divBdr>
                                                                                                                                                                                                                                                                    <w:top w:val="none" w:sz="0" w:space="0" w:color="auto"/>
                                                                                                                                                                                                                                                                    <w:left w:val="none" w:sz="0" w:space="0" w:color="auto"/>
                                                                                                                                                                                                                                                                    <w:bottom w:val="none" w:sz="0" w:space="0" w:color="auto"/>
                                                                                                                                                                                                                                                                    <w:right w:val="none" w:sz="0" w:space="0" w:color="auto"/>
                                                                                                                                                                                                                                                                  </w:divBdr>
                                                                                                                                                                                                                                                                  <w:divsChild>
                                                                                                                                                                                                                                                                    <w:div w:id="636833916">
                                                                                                                                                                                                                                                                      <w:marLeft w:val="0"/>
                                                                                                                                                                                                                                                                      <w:marRight w:val="0"/>
                                                                                                                                                                                                                                                                      <w:marTop w:val="0"/>
                                                                                                                                                                                                                                                                      <w:marBottom w:val="0"/>
                                                                                                                                                                                                                                                                      <w:divBdr>
                                                                                                                                                                                                                                                                        <w:top w:val="none" w:sz="0" w:space="0" w:color="auto"/>
                                                                                                                                                                                                                                                                        <w:left w:val="none" w:sz="0" w:space="0" w:color="auto"/>
                                                                                                                                                                                                                                                                        <w:bottom w:val="none" w:sz="0" w:space="0" w:color="auto"/>
                                                                                                                                                                                                                                                                        <w:right w:val="none" w:sz="0" w:space="0" w:color="auto"/>
                                                                                                                                                                                                                                                                      </w:divBdr>
                                                                                                                                                                                                                                                                      <w:divsChild>
                                                                                                                                                                                                                                                                        <w:div w:id="1472211516">
                                                                                                                                                                                                                                                                          <w:marLeft w:val="0"/>
                                                                                                                                                                                                                                                                          <w:marRight w:val="0"/>
                                                                                                                                                                                                                                                                          <w:marTop w:val="0"/>
                                                                                                                                                                                                                                                                          <w:marBottom w:val="0"/>
                                                                                                                                                                                                                                                                          <w:divBdr>
                                                                                                                                                                                                                                                                            <w:top w:val="none" w:sz="0" w:space="0" w:color="auto"/>
                                                                                                                                                                                                                                                                            <w:left w:val="none" w:sz="0" w:space="0" w:color="auto"/>
                                                                                                                                                                                                                                                                            <w:bottom w:val="none" w:sz="0" w:space="0" w:color="auto"/>
                                                                                                                                                                                                                                                                            <w:right w:val="none" w:sz="0" w:space="0" w:color="auto"/>
                                                                                                                                                                                                                                                                          </w:divBdr>
                                                                                                                                                                                                                                                                          <w:divsChild>
                                                                                                                                                                                                                                                                            <w:div w:id="1788234722">
                                                                                                                                                                                                                                                                              <w:marLeft w:val="0"/>
                                                                                                                                                                                                                                                                              <w:marRight w:val="0"/>
                                                                                                                                                                                                                                                                              <w:marTop w:val="0"/>
                                                                                                                                                                                                                                                                              <w:marBottom w:val="0"/>
                                                                                                                                                                                                                                                                              <w:divBdr>
                                                                                                                                                                                                                                                                                <w:top w:val="none" w:sz="0" w:space="0" w:color="auto"/>
                                                                                                                                                                                                                                                                                <w:left w:val="none" w:sz="0" w:space="0" w:color="auto"/>
                                                                                                                                                                                                                                                                                <w:bottom w:val="none" w:sz="0" w:space="0" w:color="auto"/>
                                                                                                                                                                                                                                                                                <w:right w:val="none" w:sz="0" w:space="0" w:color="auto"/>
                                                                                                                                                                                                                                                                              </w:divBdr>
                                                                                                                                                                                                                                                                              <w:divsChild>
                                                                                                                                                                                                                                                                                <w:div w:id="1693341702">
                                                                                                                                                                                                                                                                                  <w:marLeft w:val="0"/>
                                                                                                                                                                                                                                                                                  <w:marRight w:val="0"/>
                                                                                                                                                                                                                                                                                  <w:marTop w:val="0"/>
                                                                                                                                                                                                                                                                                  <w:marBottom w:val="0"/>
                                                                                                                                                                                                                                                                                  <w:divBdr>
                                                                                                                                                                                                                                                                                    <w:top w:val="none" w:sz="0" w:space="0" w:color="auto"/>
                                                                                                                                                                                                                                                                                    <w:left w:val="none" w:sz="0" w:space="0" w:color="auto"/>
                                                                                                                                                                                                                                                                                    <w:bottom w:val="none" w:sz="0" w:space="0" w:color="auto"/>
                                                                                                                                                                                                                                                                                    <w:right w:val="none" w:sz="0" w:space="0" w:color="auto"/>
                                                                                                                                                                                                                                                                                  </w:divBdr>
                                                                                                                                                                                                                                                                                  <w:divsChild>
                                                                                                                                                                                                                                                                                    <w:div w:id="1461221046">
                                                                                                                                                                                                                                                                                      <w:marLeft w:val="0"/>
                                                                                                                                                                                                                                                                                      <w:marRight w:val="0"/>
                                                                                                                                                                                                                                                                                      <w:marTop w:val="0"/>
                                                                                                                                                                                                                                                                                      <w:marBottom w:val="0"/>
                                                                                                                                                                                                                                                                                      <w:divBdr>
                                                                                                                                                                                                                                                                                        <w:top w:val="none" w:sz="0" w:space="0" w:color="auto"/>
                                                                                                                                                                                                                                                                                        <w:left w:val="none" w:sz="0" w:space="0" w:color="auto"/>
                                                                                                                                                                                                                                                                                        <w:bottom w:val="none" w:sz="0" w:space="0" w:color="auto"/>
                                                                                                                                                                                                                                                                                        <w:right w:val="none" w:sz="0" w:space="0" w:color="auto"/>
                                                                                                                                                                                                                                                                                      </w:divBdr>
                                                                                                                                                                                                                                                                                      <w:divsChild>
                                                                                                                                                                                                                                                                                        <w:div w:id="1999798226">
                                                                                                                                                                                                                                                                                          <w:marLeft w:val="0"/>
                                                                                                                                                                                                                                                                                          <w:marRight w:val="0"/>
                                                                                                                                                                                                                                                                                          <w:marTop w:val="0"/>
                                                                                                                                                                                                                                                                                          <w:marBottom w:val="0"/>
                                                                                                                                                                                                                                                                                          <w:divBdr>
                                                                                                                                                                                                                                                                                            <w:top w:val="none" w:sz="0" w:space="0" w:color="auto"/>
                                                                                                                                                                                                                                                                                            <w:left w:val="none" w:sz="0" w:space="0" w:color="auto"/>
                                                                                                                                                                                                                                                                                            <w:bottom w:val="none" w:sz="0" w:space="0" w:color="auto"/>
                                                                                                                                                                                                                                                                                            <w:right w:val="none" w:sz="0" w:space="0" w:color="auto"/>
                                                                                                                                                                                                                                                                                          </w:divBdr>
                                                                                                                                                                                                                                                                                          <w:divsChild>
                                                                                                                                                                                                                                                                                            <w:div w:id="1500729968">
                                                                                                                                                                                                                                                                                              <w:marLeft w:val="0"/>
                                                                                                                                                                                                                                                                                              <w:marRight w:val="0"/>
                                                                                                                                                                                                                                                                                              <w:marTop w:val="0"/>
                                                                                                                                                                                                                                                                                              <w:marBottom w:val="0"/>
                                                                                                                                                                                                                                                                                              <w:divBdr>
                                                                                                                                                                                                                                                                                                <w:top w:val="none" w:sz="0" w:space="0" w:color="auto"/>
                                                                                                                                                                                                                                                                                                <w:left w:val="none" w:sz="0" w:space="0" w:color="auto"/>
                                                                                                                                                                                                                                                                                                <w:bottom w:val="none" w:sz="0" w:space="0" w:color="auto"/>
                                                                                                                                                                                                                                                                                                <w:right w:val="none" w:sz="0" w:space="0" w:color="auto"/>
                                                                                                                                                                                                                                                                                              </w:divBdr>
                                                                                                                                                                                                                                                                                              <w:divsChild>
                                                                                                                                                                                                                                                                                                <w:div w:id="752900745">
                                                                                                                                                                                                                                                                                                  <w:marLeft w:val="0"/>
                                                                                                                                                                                                                                                                                                  <w:marRight w:val="0"/>
                                                                                                                                                                                                                                                                                                  <w:marTop w:val="0"/>
                                                                                                                                                                                                                                                                                                  <w:marBottom w:val="0"/>
                                                                                                                                                                                                                                                                                                  <w:divBdr>
                                                                                                                                                                                                                                                                                                    <w:top w:val="none" w:sz="0" w:space="0" w:color="auto"/>
                                                                                                                                                                                                                                                                                                    <w:left w:val="none" w:sz="0" w:space="0" w:color="auto"/>
                                                                                                                                                                                                                                                                                                    <w:bottom w:val="none" w:sz="0" w:space="0" w:color="auto"/>
                                                                                                                                                                                                                                                                                                    <w:right w:val="none" w:sz="0" w:space="0" w:color="auto"/>
                                                                                                                                                                                                                                                                                                  </w:divBdr>
                                                                                                                                                                                                                                                                                                  <w:divsChild>
                                                                                                                                                                                                                                                                                                    <w:div w:id="1819304435">
                                                                                                                                                                                                                                                                                                      <w:marLeft w:val="0"/>
                                                                                                                                                                                                                                                                                                      <w:marRight w:val="0"/>
                                                                                                                                                                                                                                                                                                      <w:marTop w:val="0"/>
                                                                                                                                                                                                                                                                                                      <w:marBottom w:val="0"/>
                                                                                                                                                                                                                                                                                                      <w:divBdr>
                                                                                                                                                                                                                                                                                                        <w:top w:val="none" w:sz="0" w:space="0" w:color="auto"/>
                                                                                                                                                                                                                                                                                                        <w:left w:val="none" w:sz="0" w:space="0" w:color="auto"/>
                                                                                                                                                                                                                                                                                                        <w:bottom w:val="none" w:sz="0" w:space="0" w:color="auto"/>
                                                                                                                                                                                                                                                                                                        <w:right w:val="none" w:sz="0" w:space="0" w:color="auto"/>
                                                                                                                                                                                                                                                                                                      </w:divBdr>
                                                                                                                                                                                                                                                                                                      <w:divsChild>
                                                                                                                                                                                                                                                                                                        <w:div w:id="1308441399">
                                                                                                                                                                                                                                                                                                          <w:marLeft w:val="0"/>
                                                                                                                                                                                                                                                                                                          <w:marRight w:val="0"/>
                                                                                                                                                                                                                                                                                                          <w:marTop w:val="0"/>
                                                                                                                                                                                                                                                                                                          <w:marBottom w:val="0"/>
                                                                                                                                                                                                                                                                                                          <w:divBdr>
                                                                                                                                                                                                                                                                                                            <w:top w:val="none" w:sz="0" w:space="0" w:color="auto"/>
                                                                                                                                                                                                                                                                                                            <w:left w:val="none" w:sz="0" w:space="0" w:color="auto"/>
                                                                                                                                                                                                                                                                                                            <w:bottom w:val="none" w:sz="0" w:space="0" w:color="auto"/>
                                                                                                                                                                                                                                                                                                            <w:right w:val="none" w:sz="0" w:space="0" w:color="auto"/>
                                                                                                                                                                                                                                                                                                          </w:divBdr>
                                                                                                                                                                                                                                                                                                          <w:divsChild>
                                                                                                                                                                                                                                                                                                            <w:div w:id="1143542385">
                                                                                                                                                                                                                                                                                                              <w:marLeft w:val="0"/>
                                                                                                                                                                                                                                                                                                              <w:marRight w:val="0"/>
                                                                                                                                                                                                                                                                                                              <w:marTop w:val="0"/>
                                                                                                                                                                                                                                                                                                              <w:marBottom w:val="0"/>
                                                                                                                                                                                                                                                                                                              <w:divBdr>
                                                                                                                                                                                                                                                                                                                <w:top w:val="none" w:sz="0" w:space="0" w:color="auto"/>
                                                                                                                                                                                                                                                                                                                <w:left w:val="none" w:sz="0" w:space="0" w:color="auto"/>
                                                                                                                                                                                                                                                                                                                <w:bottom w:val="none" w:sz="0" w:space="0" w:color="auto"/>
                                                                                                                                                                                                                                                                                                                <w:right w:val="none" w:sz="0" w:space="0" w:color="auto"/>
                                                                                                                                                                                                                                                                                                              </w:divBdr>
                                                                                                                                                                                                                                                                                                              <w:divsChild>
                                                                                                                                                                                                                                                                                                                <w:div w:id="1285112453">
                                                                                                                                                                                                                                                                                                                  <w:marLeft w:val="0"/>
                                                                                                                                                                                                                                                                                                                  <w:marRight w:val="0"/>
                                                                                                                                                                                                                                                                                                                  <w:marTop w:val="0"/>
                                                                                                                                                                                                                                                                                                                  <w:marBottom w:val="0"/>
                                                                                                                                                                                                                                                                                                                  <w:divBdr>
                                                                                                                                                                                                                                                                                                                    <w:top w:val="none" w:sz="0" w:space="0" w:color="auto"/>
                                                                                                                                                                                                                                                                                                                    <w:left w:val="none" w:sz="0" w:space="0" w:color="auto"/>
                                                                                                                                                                                                                                                                                                                    <w:bottom w:val="none" w:sz="0" w:space="0" w:color="auto"/>
                                                                                                                                                                                                                                                                                                                    <w:right w:val="none" w:sz="0" w:space="0" w:color="auto"/>
                                                                                                                                                                                                                                                                                                                  </w:divBdr>
                                                                                                                                                                                                                                                                                                                  <w:divsChild>
                                                                                                                                                                                                                                                                                                                    <w:div w:id="1127044000">
                                                                                                                                                                                                                                                                                                                      <w:marLeft w:val="0"/>
                                                                                                                                                                                                                                                                                                                      <w:marRight w:val="0"/>
                                                                                                                                                                                                                                                                                                                      <w:marTop w:val="0"/>
                                                                                                                                                                                                                                                                                                                      <w:marBottom w:val="0"/>
                                                                                                                                                                                                                                                                                                                      <w:divBdr>
                                                                                                                                                                                                                                                                                                                        <w:top w:val="none" w:sz="0" w:space="0" w:color="auto"/>
                                                                                                                                                                                                                                                                                                                        <w:left w:val="none" w:sz="0" w:space="0" w:color="auto"/>
                                                                                                                                                                                                                                                                                                                        <w:bottom w:val="none" w:sz="0" w:space="0" w:color="auto"/>
                                                                                                                                                                                                                                                                                                                        <w:right w:val="none" w:sz="0" w:space="0" w:color="auto"/>
                                                                                                                                                                                                                                                                                                                      </w:divBdr>
                                                                                                                                                                                                                                                                                                                      <w:divsChild>
                                                                                                                                                                                                                                                                                                                        <w:div w:id="929503385">
                                                                                                                                                                                                                                                                                                                          <w:marLeft w:val="0"/>
                                                                                                                                                                                                                                                                                                                          <w:marRight w:val="0"/>
                                                                                                                                                                                                                                                                                                                          <w:marTop w:val="0"/>
                                                                                                                                                                                                                                                                                                                          <w:marBottom w:val="0"/>
                                                                                                                                                                                                                                                                                                                          <w:divBdr>
                                                                                                                                                                                                                                                                                                                            <w:top w:val="none" w:sz="0" w:space="0" w:color="auto"/>
                                                                                                                                                                                                                                                                                                                            <w:left w:val="none" w:sz="0" w:space="0" w:color="auto"/>
                                                                                                                                                                                                                                                                                                                            <w:bottom w:val="none" w:sz="0" w:space="0" w:color="auto"/>
                                                                                                                                                                                                                                                                                                                            <w:right w:val="none" w:sz="0" w:space="0" w:color="auto"/>
                                                                                                                                                                                                                                                                                                                          </w:divBdr>
                                                                                                                                                                                                                                                                                                                          <w:divsChild>
                                                                                                                                                                                                                                                                                                                            <w:div w:id="2106685824">
                                                                                                                                                                                                                                                                                                                              <w:marLeft w:val="0"/>
                                                                                                                                                                                                                                                                                                                              <w:marRight w:val="0"/>
                                                                                                                                                                                                                                                                                                                              <w:marTop w:val="0"/>
                                                                                                                                                                                                                                                                                                                              <w:marBottom w:val="0"/>
                                                                                                                                                                                                                                                                                                                              <w:divBdr>
                                                                                                                                                                                                                                                                                                                                <w:top w:val="none" w:sz="0" w:space="0" w:color="auto"/>
                                                                                                                                                                                                                                                                                                                                <w:left w:val="none" w:sz="0" w:space="0" w:color="auto"/>
                                                                                                                                                                                                                                                                                                                                <w:bottom w:val="none" w:sz="0" w:space="0" w:color="auto"/>
                                                                                                                                                                                                                                                                                                                                <w:right w:val="none" w:sz="0" w:space="0" w:color="auto"/>
                                                                                                                                                                                                                                                                                                                              </w:divBdr>
                                                                                                                                                                                                                                                                                                                              <w:divsChild>
                                                                                                                                                                                                                                                                                                                                <w:div w:id="621694018">
                                                                                                                                                                                                                                                                                                                                  <w:marLeft w:val="0"/>
                                                                                                                                                                                                                                                                                                                                  <w:marRight w:val="0"/>
                                                                                                                                                                                                                                                                                                                                  <w:marTop w:val="0"/>
                                                                                                                                                                                                                                                                                                                                  <w:marBottom w:val="0"/>
                                                                                                                                                                                                                                                                                                                                  <w:divBdr>
                                                                                                                                                                                                                                                                                                                                    <w:top w:val="none" w:sz="0" w:space="0" w:color="auto"/>
                                                                                                                                                                                                                                                                                                                                    <w:left w:val="none" w:sz="0" w:space="0" w:color="auto"/>
                                                                                                                                                                                                                                                                                                                                    <w:bottom w:val="none" w:sz="0" w:space="0" w:color="auto"/>
                                                                                                                                                                                                                                                                                                                                    <w:right w:val="none" w:sz="0" w:space="0" w:color="auto"/>
                                                                                                                                                                                                                                                                                                                                  </w:divBdr>
                                                                                                                                                                                                                                                                                                                                  <w:divsChild>
                                                                                                                                                                                                                                                                                                                                    <w:div w:id="445199335">
                                                                                                                                                                                                                                                                                                                                      <w:marLeft w:val="0"/>
                                                                                                                                                                                                                                                                                                                                      <w:marRight w:val="0"/>
                                                                                                                                                                                                                                                                                                                                      <w:marTop w:val="0"/>
                                                                                                                                                                                                                                                                                                                                      <w:marBottom w:val="0"/>
                                                                                                                                                                                                                                                                                                                                      <w:divBdr>
                                                                                                                                                                                                                                                                                                                                        <w:top w:val="none" w:sz="0" w:space="0" w:color="auto"/>
                                                                                                                                                                                                                                                                                                                                        <w:left w:val="none" w:sz="0" w:space="0" w:color="auto"/>
                                                                                                                                                                                                                                                                                                                                        <w:bottom w:val="none" w:sz="0" w:space="0" w:color="auto"/>
                                                                                                                                                                                                                                                                                                                                        <w:right w:val="none" w:sz="0" w:space="0" w:color="auto"/>
                                                                                                                                                                                                                                                                                                                                      </w:divBdr>
                                                                                                                                                                                                                                                                                                                                      <w:divsChild>
                                                                                                                                                                                                                                                                                                                                        <w:div w:id="1575970600">
                                                                                                                                                                                                                                                                                                                                          <w:marLeft w:val="0"/>
                                                                                                                                                                                                                                                                                                                                          <w:marRight w:val="0"/>
                                                                                                                                                                                                                                                                                                                                          <w:marTop w:val="0"/>
                                                                                                                                                                                                                                                                                                                                          <w:marBottom w:val="0"/>
                                                                                                                                                                                                                                                                                                                                          <w:divBdr>
                                                                                                                                                                                                                                                                                                                                            <w:top w:val="none" w:sz="0" w:space="0" w:color="auto"/>
                                                                                                                                                                                                                                                                                                                                            <w:left w:val="none" w:sz="0" w:space="0" w:color="auto"/>
                                                                                                                                                                                                                                                                                                                                            <w:bottom w:val="none" w:sz="0" w:space="0" w:color="auto"/>
                                                                                                                                                                                                                                                                                                                                            <w:right w:val="none" w:sz="0" w:space="0" w:color="auto"/>
                                                                                                                                                                                                                                                                                                                                          </w:divBdr>
                                                                                                                                                                                                                                                                                                                                          <w:divsChild>
                                                                                                                                                                                                                                                                                                                                            <w:div w:id="416245563">
                                                                                                                                                                                                                                                                                                                                              <w:marLeft w:val="0"/>
                                                                                                                                                                                                                                                                                                                                              <w:marRight w:val="0"/>
                                                                                                                                                                                                                                                                                                                                              <w:marTop w:val="0"/>
                                                                                                                                                                                                                                                                                                                                              <w:marBottom w:val="0"/>
                                                                                                                                                                                                                                                                                                                                              <w:divBdr>
                                                                                                                                                                                                                                                                                                                                                <w:top w:val="none" w:sz="0" w:space="0" w:color="auto"/>
                                                                                                                                                                                                                                                                                                                                                <w:left w:val="none" w:sz="0" w:space="0" w:color="auto"/>
                                                                                                                                                                                                                                                                                                                                                <w:bottom w:val="none" w:sz="0" w:space="0" w:color="auto"/>
                                                                                                                                                                                                                                                                                                                                                <w:right w:val="none" w:sz="0" w:space="0" w:color="auto"/>
                                                                                                                                                                                                                                                                                                                                              </w:divBdr>
                                                                                                                                                                                                                                                                                                                                              <w:divsChild>
                                                                                                                                                                                                                                                                                                                                                <w:div w:id="1751544007">
                                                                                                                                                                                                                                                                                                                                                  <w:marLeft w:val="0"/>
                                                                                                                                                                                                                                                                                                                                                  <w:marRight w:val="0"/>
                                                                                                                                                                                                                                                                                                                                                  <w:marTop w:val="0"/>
                                                                                                                                                                                                                                                                                                                                                  <w:marBottom w:val="0"/>
                                                                                                                                                                                                                                                                                                                                                  <w:divBdr>
                                                                                                                                                                                                                                                                                                                                                    <w:top w:val="none" w:sz="0" w:space="0" w:color="auto"/>
                                                                                                                                                                                                                                                                                                                                                    <w:left w:val="none" w:sz="0" w:space="0" w:color="auto"/>
                                                                                                                                                                                                                                                                                                                                                    <w:bottom w:val="none" w:sz="0" w:space="0" w:color="auto"/>
                                                                                                                                                                                                                                                                                                                                                    <w:right w:val="none" w:sz="0" w:space="0" w:color="auto"/>
                                                                                                                                                                                                                                                                                                                                                  </w:divBdr>
                                                                                                                                                                                                                                                                                                                                                  <w:divsChild>
                                                                                                                                                                                                                                                                                                                                                    <w:div w:id="1117529416">
                                                                                                                                                                                                                                                                                                                                                      <w:marLeft w:val="0"/>
                                                                                                                                                                                                                                                                                                                                                      <w:marRight w:val="0"/>
                                                                                                                                                                                                                                                                                                                                                      <w:marTop w:val="0"/>
                                                                                                                                                                                                                                                                                                                                                      <w:marBottom w:val="0"/>
                                                                                                                                                                                                                                                                                                                                                      <w:divBdr>
                                                                                                                                                                                                                                                                                                                                                        <w:top w:val="none" w:sz="0" w:space="0" w:color="auto"/>
                                                                                                                                                                                                                                                                                                                                                        <w:left w:val="none" w:sz="0" w:space="0" w:color="auto"/>
                                                                                                                                                                                                                                                                                                                                                        <w:bottom w:val="none" w:sz="0" w:space="0" w:color="auto"/>
                                                                                                                                                                                                                                                                                                                                                        <w:right w:val="none" w:sz="0" w:space="0" w:color="auto"/>
                                                                                                                                                                                                                                                                                                                                                      </w:divBdr>
                                                                                                                                                                                                                                                                                                                                                      <w:divsChild>
                                                                                                                                                                                                                                                                                                                                                        <w:div w:id="1692412651">
                                                                                                                                                                                                                                                                                                                                                          <w:marLeft w:val="0"/>
                                                                                                                                                                                                                                                                                                                                                          <w:marRight w:val="0"/>
                                                                                                                                                                                                                                                                                                                                                          <w:marTop w:val="0"/>
                                                                                                                                                                                                                                                                                                                                                          <w:marBottom w:val="0"/>
                                                                                                                                                                                                                                                                                                                                                          <w:divBdr>
                                                                                                                                                                                                                                                                                                                                                            <w:top w:val="none" w:sz="0" w:space="0" w:color="auto"/>
                                                                                                                                                                                                                                                                                                                                                            <w:left w:val="none" w:sz="0" w:space="0" w:color="auto"/>
                                                                                                                                                                                                                                                                                                                                                            <w:bottom w:val="none" w:sz="0" w:space="0" w:color="auto"/>
                                                                                                                                                                                                                                                                                                                                                            <w:right w:val="none" w:sz="0" w:space="0" w:color="auto"/>
                                                                                                                                                                                                                                                                                                                                                          </w:divBdr>
                                                                                                                                                                                                                                                                                                                                                          <w:divsChild>
                                                                                                                                                                                                                                                                                                                                                            <w:div w:id="34644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782164">
      <w:bodyDiv w:val="1"/>
      <w:marLeft w:val="0"/>
      <w:marRight w:val="0"/>
      <w:marTop w:val="0"/>
      <w:marBottom w:val="0"/>
      <w:divBdr>
        <w:top w:val="none" w:sz="0" w:space="0" w:color="auto"/>
        <w:left w:val="none" w:sz="0" w:space="0" w:color="auto"/>
        <w:bottom w:val="none" w:sz="0" w:space="0" w:color="auto"/>
        <w:right w:val="none" w:sz="0" w:space="0" w:color="auto"/>
      </w:divBdr>
      <w:divsChild>
        <w:div w:id="952397808">
          <w:marLeft w:val="0"/>
          <w:marRight w:val="0"/>
          <w:marTop w:val="0"/>
          <w:marBottom w:val="0"/>
          <w:divBdr>
            <w:top w:val="none" w:sz="0" w:space="0" w:color="auto"/>
            <w:left w:val="none" w:sz="0" w:space="0" w:color="auto"/>
            <w:bottom w:val="none" w:sz="0" w:space="0" w:color="auto"/>
            <w:right w:val="none" w:sz="0" w:space="0" w:color="auto"/>
          </w:divBdr>
        </w:div>
        <w:div w:id="1720780987">
          <w:marLeft w:val="0"/>
          <w:marRight w:val="0"/>
          <w:marTop w:val="0"/>
          <w:marBottom w:val="0"/>
          <w:divBdr>
            <w:top w:val="none" w:sz="0" w:space="0" w:color="auto"/>
            <w:left w:val="none" w:sz="0" w:space="0" w:color="auto"/>
            <w:bottom w:val="none" w:sz="0" w:space="0" w:color="auto"/>
            <w:right w:val="none" w:sz="0" w:space="0" w:color="auto"/>
          </w:divBdr>
        </w:div>
        <w:div w:id="140849332">
          <w:marLeft w:val="0"/>
          <w:marRight w:val="0"/>
          <w:marTop w:val="0"/>
          <w:marBottom w:val="0"/>
          <w:divBdr>
            <w:top w:val="none" w:sz="0" w:space="0" w:color="auto"/>
            <w:left w:val="none" w:sz="0" w:space="0" w:color="auto"/>
            <w:bottom w:val="none" w:sz="0" w:space="0" w:color="auto"/>
            <w:right w:val="none" w:sz="0" w:space="0" w:color="auto"/>
          </w:divBdr>
        </w:div>
        <w:div w:id="363485840">
          <w:marLeft w:val="0"/>
          <w:marRight w:val="0"/>
          <w:marTop w:val="0"/>
          <w:marBottom w:val="0"/>
          <w:divBdr>
            <w:top w:val="none" w:sz="0" w:space="0" w:color="auto"/>
            <w:left w:val="none" w:sz="0" w:space="0" w:color="auto"/>
            <w:bottom w:val="none" w:sz="0" w:space="0" w:color="auto"/>
            <w:right w:val="none" w:sz="0" w:space="0" w:color="auto"/>
          </w:divBdr>
          <w:divsChild>
            <w:div w:id="1464807381">
              <w:marLeft w:val="0"/>
              <w:marRight w:val="0"/>
              <w:marTop w:val="0"/>
              <w:marBottom w:val="0"/>
              <w:divBdr>
                <w:top w:val="none" w:sz="0" w:space="0" w:color="auto"/>
                <w:left w:val="none" w:sz="0" w:space="0" w:color="auto"/>
                <w:bottom w:val="none" w:sz="0" w:space="0" w:color="auto"/>
                <w:right w:val="none" w:sz="0" w:space="0" w:color="auto"/>
              </w:divBdr>
              <w:divsChild>
                <w:div w:id="3126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1605">
          <w:marLeft w:val="0"/>
          <w:marRight w:val="0"/>
          <w:marTop w:val="0"/>
          <w:marBottom w:val="0"/>
          <w:divBdr>
            <w:top w:val="none" w:sz="0" w:space="0" w:color="auto"/>
            <w:left w:val="none" w:sz="0" w:space="0" w:color="auto"/>
            <w:bottom w:val="none" w:sz="0" w:space="0" w:color="auto"/>
            <w:right w:val="none" w:sz="0" w:space="0" w:color="auto"/>
          </w:divBdr>
        </w:div>
        <w:div w:id="927693029">
          <w:marLeft w:val="0"/>
          <w:marRight w:val="0"/>
          <w:marTop w:val="0"/>
          <w:marBottom w:val="0"/>
          <w:divBdr>
            <w:top w:val="none" w:sz="0" w:space="0" w:color="auto"/>
            <w:left w:val="none" w:sz="0" w:space="0" w:color="auto"/>
            <w:bottom w:val="none" w:sz="0" w:space="0" w:color="auto"/>
            <w:right w:val="none" w:sz="0" w:space="0" w:color="auto"/>
          </w:divBdr>
        </w:div>
        <w:div w:id="237525318">
          <w:marLeft w:val="0"/>
          <w:marRight w:val="0"/>
          <w:marTop w:val="0"/>
          <w:marBottom w:val="0"/>
          <w:divBdr>
            <w:top w:val="none" w:sz="0" w:space="0" w:color="auto"/>
            <w:left w:val="none" w:sz="0" w:space="0" w:color="auto"/>
            <w:bottom w:val="none" w:sz="0" w:space="0" w:color="auto"/>
            <w:right w:val="none" w:sz="0" w:space="0" w:color="auto"/>
          </w:divBdr>
        </w:div>
        <w:div w:id="1779641924">
          <w:marLeft w:val="0"/>
          <w:marRight w:val="0"/>
          <w:marTop w:val="0"/>
          <w:marBottom w:val="0"/>
          <w:divBdr>
            <w:top w:val="none" w:sz="0" w:space="0" w:color="auto"/>
            <w:left w:val="none" w:sz="0" w:space="0" w:color="auto"/>
            <w:bottom w:val="none" w:sz="0" w:space="0" w:color="auto"/>
            <w:right w:val="none" w:sz="0" w:space="0" w:color="auto"/>
          </w:divBdr>
        </w:div>
        <w:div w:id="43722592">
          <w:marLeft w:val="0"/>
          <w:marRight w:val="0"/>
          <w:marTop w:val="0"/>
          <w:marBottom w:val="0"/>
          <w:divBdr>
            <w:top w:val="none" w:sz="0" w:space="0" w:color="auto"/>
            <w:left w:val="none" w:sz="0" w:space="0" w:color="auto"/>
            <w:bottom w:val="none" w:sz="0" w:space="0" w:color="auto"/>
            <w:right w:val="none" w:sz="0" w:space="0" w:color="auto"/>
          </w:divBdr>
        </w:div>
        <w:div w:id="616066394">
          <w:marLeft w:val="0"/>
          <w:marRight w:val="0"/>
          <w:marTop w:val="0"/>
          <w:marBottom w:val="0"/>
          <w:divBdr>
            <w:top w:val="none" w:sz="0" w:space="0" w:color="auto"/>
            <w:left w:val="none" w:sz="0" w:space="0" w:color="auto"/>
            <w:bottom w:val="none" w:sz="0" w:space="0" w:color="auto"/>
            <w:right w:val="none" w:sz="0" w:space="0" w:color="auto"/>
          </w:divBdr>
        </w:div>
        <w:div w:id="830369901">
          <w:marLeft w:val="0"/>
          <w:marRight w:val="0"/>
          <w:marTop w:val="0"/>
          <w:marBottom w:val="0"/>
          <w:divBdr>
            <w:top w:val="none" w:sz="0" w:space="0" w:color="auto"/>
            <w:left w:val="none" w:sz="0" w:space="0" w:color="auto"/>
            <w:bottom w:val="none" w:sz="0" w:space="0" w:color="auto"/>
            <w:right w:val="none" w:sz="0" w:space="0" w:color="auto"/>
          </w:divBdr>
        </w:div>
        <w:div w:id="844595148">
          <w:marLeft w:val="0"/>
          <w:marRight w:val="0"/>
          <w:marTop w:val="0"/>
          <w:marBottom w:val="0"/>
          <w:divBdr>
            <w:top w:val="none" w:sz="0" w:space="0" w:color="auto"/>
            <w:left w:val="none" w:sz="0" w:space="0" w:color="auto"/>
            <w:bottom w:val="none" w:sz="0" w:space="0" w:color="auto"/>
            <w:right w:val="none" w:sz="0" w:space="0" w:color="auto"/>
          </w:divBdr>
        </w:div>
        <w:div w:id="1823698795">
          <w:marLeft w:val="0"/>
          <w:marRight w:val="0"/>
          <w:marTop w:val="0"/>
          <w:marBottom w:val="0"/>
          <w:divBdr>
            <w:top w:val="none" w:sz="0" w:space="0" w:color="auto"/>
            <w:left w:val="none" w:sz="0" w:space="0" w:color="auto"/>
            <w:bottom w:val="none" w:sz="0" w:space="0" w:color="auto"/>
            <w:right w:val="none" w:sz="0" w:space="0" w:color="auto"/>
          </w:divBdr>
        </w:div>
        <w:div w:id="167525145">
          <w:marLeft w:val="0"/>
          <w:marRight w:val="0"/>
          <w:marTop w:val="0"/>
          <w:marBottom w:val="0"/>
          <w:divBdr>
            <w:top w:val="none" w:sz="0" w:space="0" w:color="auto"/>
            <w:left w:val="none" w:sz="0" w:space="0" w:color="auto"/>
            <w:bottom w:val="none" w:sz="0" w:space="0" w:color="auto"/>
            <w:right w:val="none" w:sz="0" w:space="0" w:color="auto"/>
          </w:divBdr>
        </w:div>
        <w:div w:id="1354838357">
          <w:marLeft w:val="0"/>
          <w:marRight w:val="0"/>
          <w:marTop w:val="0"/>
          <w:marBottom w:val="0"/>
          <w:divBdr>
            <w:top w:val="none" w:sz="0" w:space="0" w:color="auto"/>
            <w:left w:val="none" w:sz="0" w:space="0" w:color="auto"/>
            <w:bottom w:val="none" w:sz="0" w:space="0" w:color="auto"/>
            <w:right w:val="none" w:sz="0" w:space="0" w:color="auto"/>
          </w:divBdr>
        </w:div>
        <w:div w:id="390272236">
          <w:marLeft w:val="0"/>
          <w:marRight w:val="0"/>
          <w:marTop w:val="0"/>
          <w:marBottom w:val="0"/>
          <w:divBdr>
            <w:top w:val="none" w:sz="0" w:space="0" w:color="auto"/>
            <w:left w:val="none" w:sz="0" w:space="0" w:color="auto"/>
            <w:bottom w:val="none" w:sz="0" w:space="0" w:color="auto"/>
            <w:right w:val="none" w:sz="0" w:space="0" w:color="auto"/>
          </w:divBdr>
        </w:div>
        <w:div w:id="583338996">
          <w:marLeft w:val="0"/>
          <w:marRight w:val="0"/>
          <w:marTop w:val="0"/>
          <w:marBottom w:val="0"/>
          <w:divBdr>
            <w:top w:val="none" w:sz="0" w:space="0" w:color="auto"/>
            <w:left w:val="none" w:sz="0" w:space="0" w:color="auto"/>
            <w:bottom w:val="none" w:sz="0" w:space="0" w:color="auto"/>
            <w:right w:val="none" w:sz="0" w:space="0" w:color="auto"/>
          </w:divBdr>
        </w:div>
        <w:div w:id="772015904">
          <w:marLeft w:val="0"/>
          <w:marRight w:val="0"/>
          <w:marTop w:val="0"/>
          <w:marBottom w:val="0"/>
          <w:divBdr>
            <w:top w:val="none" w:sz="0" w:space="0" w:color="auto"/>
            <w:left w:val="none" w:sz="0" w:space="0" w:color="auto"/>
            <w:bottom w:val="none" w:sz="0" w:space="0" w:color="auto"/>
            <w:right w:val="none" w:sz="0" w:space="0" w:color="auto"/>
          </w:divBdr>
        </w:div>
        <w:div w:id="1506941674">
          <w:marLeft w:val="0"/>
          <w:marRight w:val="0"/>
          <w:marTop w:val="0"/>
          <w:marBottom w:val="0"/>
          <w:divBdr>
            <w:top w:val="none" w:sz="0" w:space="0" w:color="auto"/>
            <w:left w:val="none" w:sz="0" w:space="0" w:color="auto"/>
            <w:bottom w:val="none" w:sz="0" w:space="0" w:color="auto"/>
            <w:right w:val="none" w:sz="0" w:space="0" w:color="auto"/>
          </w:divBdr>
        </w:div>
        <w:div w:id="257102811">
          <w:marLeft w:val="0"/>
          <w:marRight w:val="0"/>
          <w:marTop w:val="0"/>
          <w:marBottom w:val="0"/>
          <w:divBdr>
            <w:top w:val="none" w:sz="0" w:space="0" w:color="auto"/>
            <w:left w:val="none" w:sz="0" w:space="0" w:color="auto"/>
            <w:bottom w:val="none" w:sz="0" w:space="0" w:color="auto"/>
            <w:right w:val="none" w:sz="0" w:space="0" w:color="auto"/>
          </w:divBdr>
        </w:div>
        <w:div w:id="1628660474">
          <w:marLeft w:val="0"/>
          <w:marRight w:val="0"/>
          <w:marTop w:val="0"/>
          <w:marBottom w:val="0"/>
          <w:divBdr>
            <w:top w:val="none" w:sz="0" w:space="0" w:color="auto"/>
            <w:left w:val="none" w:sz="0" w:space="0" w:color="auto"/>
            <w:bottom w:val="none" w:sz="0" w:space="0" w:color="auto"/>
            <w:right w:val="none" w:sz="0" w:space="0" w:color="auto"/>
          </w:divBdr>
          <w:divsChild>
            <w:div w:id="1060399391">
              <w:marLeft w:val="0"/>
              <w:marRight w:val="0"/>
              <w:marTop w:val="0"/>
              <w:marBottom w:val="0"/>
              <w:divBdr>
                <w:top w:val="none" w:sz="0" w:space="0" w:color="auto"/>
                <w:left w:val="none" w:sz="0" w:space="0" w:color="auto"/>
                <w:bottom w:val="none" w:sz="0" w:space="0" w:color="auto"/>
                <w:right w:val="none" w:sz="0" w:space="0" w:color="auto"/>
              </w:divBdr>
            </w:div>
          </w:divsChild>
        </w:div>
        <w:div w:id="698818144">
          <w:marLeft w:val="0"/>
          <w:marRight w:val="0"/>
          <w:marTop w:val="0"/>
          <w:marBottom w:val="0"/>
          <w:divBdr>
            <w:top w:val="none" w:sz="0" w:space="0" w:color="auto"/>
            <w:left w:val="none" w:sz="0" w:space="0" w:color="auto"/>
            <w:bottom w:val="none" w:sz="0" w:space="0" w:color="auto"/>
            <w:right w:val="none" w:sz="0" w:space="0" w:color="auto"/>
          </w:divBdr>
        </w:div>
        <w:div w:id="1379671445">
          <w:marLeft w:val="0"/>
          <w:marRight w:val="0"/>
          <w:marTop w:val="0"/>
          <w:marBottom w:val="0"/>
          <w:divBdr>
            <w:top w:val="none" w:sz="0" w:space="0" w:color="auto"/>
            <w:left w:val="none" w:sz="0" w:space="0" w:color="auto"/>
            <w:bottom w:val="none" w:sz="0" w:space="0" w:color="auto"/>
            <w:right w:val="none" w:sz="0" w:space="0" w:color="auto"/>
          </w:divBdr>
        </w:div>
        <w:div w:id="1616057904">
          <w:marLeft w:val="0"/>
          <w:marRight w:val="0"/>
          <w:marTop w:val="0"/>
          <w:marBottom w:val="0"/>
          <w:divBdr>
            <w:top w:val="none" w:sz="0" w:space="0" w:color="auto"/>
            <w:left w:val="none" w:sz="0" w:space="0" w:color="auto"/>
            <w:bottom w:val="none" w:sz="0" w:space="0" w:color="auto"/>
            <w:right w:val="none" w:sz="0" w:space="0" w:color="auto"/>
          </w:divBdr>
        </w:div>
        <w:div w:id="834806920">
          <w:marLeft w:val="0"/>
          <w:marRight w:val="0"/>
          <w:marTop w:val="0"/>
          <w:marBottom w:val="0"/>
          <w:divBdr>
            <w:top w:val="none" w:sz="0" w:space="0" w:color="auto"/>
            <w:left w:val="none" w:sz="0" w:space="0" w:color="auto"/>
            <w:bottom w:val="none" w:sz="0" w:space="0" w:color="auto"/>
            <w:right w:val="none" w:sz="0" w:space="0" w:color="auto"/>
          </w:divBdr>
          <w:divsChild>
            <w:div w:id="900482780">
              <w:marLeft w:val="0"/>
              <w:marRight w:val="0"/>
              <w:marTop w:val="0"/>
              <w:marBottom w:val="0"/>
              <w:divBdr>
                <w:top w:val="none" w:sz="0" w:space="0" w:color="auto"/>
                <w:left w:val="none" w:sz="0" w:space="0" w:color="auto"/>
                <w:bottom w:val="none" w:sz="0" w:space="0" w:color="auto"/>
                <w:right w:val="none" w:sz="0" w:space="0" w:color="auto"/>
              </w:divBdr>
            </w:div>
            <w:div w:id="1959558275">
              <w:marLeft w:val="0"/>
              <w:marRight w:val="0"/>
              <w:marTop w:val="0"/>
              <w:marBottom w:val="0"/>
              <w:divBdr>
                <w:top w:val="none" w:sz="0" w:space="0" w:color="auto"/>
                <w:left w:val="none" w:sz="0" w:space="0" w:color="auto"/>
                <w:bottom w:val="none" w:sz="0" w:space="0" w:color="auto"/>
                <w:right w:val="none" w:sz="0" w:space="0" w:color="auto"/>
              </w:divBdr>
            </w:div>
            <w:div w:id="1356924206">
              <w:marLeft w:val="0"/>
              <w:marRight w:val="0"/>
              <w:marTop w:val="0"/>
              <w:marBottom w:val="0"/>
              <w:divBdr>
                <w:top w:val="none" w:sz="0" w:space="0" w:color="auto"/>
                <w:left w:val="none" w:sz="0" w:space="0" w:color="auto"/>
                <w:bottom w:val="none" w:sz="0" w:space="0" w:color="auto"/>
                <w:right w:val="none" w:sz="0" w:space="0" w:color="auto"/>
              </w:divBdr>
            </w:div>
          </w:divsChild>
        </w:div>
        <w:div w:id="1987782445">
          <w:marLeft w:val="0"/>
          <w:marRight w:val="0"/>
          <w:marTop w:val="0"/>
          <w:marBottom w:val="0"/>
          <w:divBdr>
            <w:top w:val="none" w:sz="0" w:space="0" w:color="auto"/>
            <w:left w:val="none" w:sz="0" w:space="0" w:color="auto"/>
            <w:bottom w:val="none" w:sz="0" w:space="0" w:color="auto"/>
            <w:right w:val="none" w:sz="0" w:space="0" w:color="auto"/>
          </w:divBdr>
        </w:div>
        <w:div w:id="2061900373">
          <w:marLeft w:val="0"/>
          <w:marRight w:val="0"/>
          <w:marTop w:val="0"/>
          <w:marBottom w:val="0"/>
          <w:divBdr>
            <w:top w:val="none" w:sz="0" w:space="0" w:color="auto"/>
            <w:left w:val="none" w:sz="0" w:space="0" w:color="auto"/>
            <w:bottom w:val="none" w:sz="0" w:space="0" w:color="auto"/>
            <w:right w:val="none" w:sz="0" w:space="0" w:color="auto"/>
          </w:divBdr>
        </w:div>
        <w:div w:id="961158277">
          <w:marLeft w:val="0"/>
          <w:marRight w:val="0"/>
          <w:marTop w:val="0"/>
          <w:marBottom w:val="0"/>
          <w:divBdr>
            <w:top w:val="none" w:sz="0" w:space="0" w:color="auto"/>
            <w:left w:val="none" w:sz="0" w:space="0" w:color="auto"/>
            <w:bottom w:val="none" w:sz="0" w:space="0" w:color="auto"/>
            <w:right w:val="none" w:sz="0" w:space="0" w:color="auto"/>
          </w:divBdr>
        </w:div>
        <w:div w:id="536311000">
          <w:marLeft w:val="0"/>
          <w:marRight w:val="0"/>
          <w:marTop w:val="0"/>
          <w:marBottom w:val="0"/>
          <w:divBdr>
            <w:top w:val="none" w:sz="0" w:space="0" w:color="auto"/>
            <w:left w:val="none" w:sz="0" w:space="0" w:color="auto"/>
            <w:bottom w:val="none" w:sz="0" w:space="0" w:color="auto"/>
            <w:right w:val="none" w:sz="0" w:space="0" w:color="auto"/>
          </w:divBdr>
        </w:div>
        <w:div w:id="1624650855">
          <w:marLeft w:val="0"/>
          <w:marRight w:val="0"/>
          <w:marTop w:val="0"/>
          <w:marBottom w:val="0"/>
          <w:divBdr>
            <w:top w:val="none" w:sz="0" w:space="0" w:color="auto"/>
            <w:left w:val="none" w:sz="0" w:space="0" w:color="auto"/>
            <w:bottom w:val="none" w:sz="0" w:space="0" w:color="auto"/>
            <w:right w:val="none" w:sz="0" w:space="0" w:color="auto"/>
          </w:divBdr>
          <w:divsChild>
            <w:div w:id="967248660">
              <w:marLeft w:val="0"/>
              <w:marRight w:val="0"/>
              <w:marTop w:val="0"/>
              <w:marBottom w:val="0"/>
              <w:divBdr>
                <w:top w:val="none" w:sz="0" w:space="0" w:color="auto"/>
                <w:left w:val="none" w:sz="0" w:space="0" w:color="auto"/>
                <w:bottom w:val="none" w:sz="0" w:space="0" w:color="auto"/>
                <w:right w:val="none" w:sz="0" w:space="0" w:color="auto"/>
              </w:divBdr>
            </w:div>
            <w:div w:id="192574805">
              <w:marLeft w:val="0"/>
              <w:marRight w:val="0"/>
              <w:marTop w:val="0"/>
              <w:marBottom w:val="0"/>
              <w:divBdr>
                <w:top w:val="none" w:sz="0" w:space="0" w:color="auto"/>
                <w:left w:val="none" w:sz="0" w:space="0" w:color="auto"/>
                <w:bottom w:val="none" w:sz="0" w:space="0" w:color="auto"/>
                <w:right w:val="none" w:sz="0" w:space="0" w:color="auto"/>
              </w:divBdr>
            </w:div>
            <w:div w:id="1547444470">
              <w:marLeft w:val="0"/>
              <w:marRight w:val="0"/>
              <w:marTop w:val="0"/>
              <w:marBottom w:val="0"/>
              <w:divBdr>
                <w:top w:val="none" w:sz="0" w:space="0" w:color="auto"/>
                <w:left w:val="none" w:sz="0" w:space="0" w:color="auto"/>
                <w:bottom w:val="none" w:sz="0" w:space="0" w:color="auto"/>
                <w:right w:val="none" w:sz="0" w:space="0" w:color="auto"/>
              </w:divBdr>
            </w:div>
            <w:div w:id="429588549">
              <w:marLeft w:val="0"/>
              <w:marRight w:val="0"/>
              <w:marTop w:val="0"/>
              <w:marBottom w:val="0"/>
              <w:divBdr>
                <w:top w:val="none" w:sz="0" w:space="0" w:color="auto"/>
                <w:left w:val="none" w:sz="0" w:space="0" w:color="auto"/>
                <w:bottom w:val="none" w:sz="0" w:space="0" w:color="auto"/>
                <w:right w:val="none" w:sz="0" w:space="0" w:color="auto"/>
              </w:divBdr>
            </w:div>
          </w:divsChild>
        </w:div>
        <w:div w:id="1859156094">
          <w:marLeft w:val="0"/>
          <w:marRight w:val="0"/>
          <w:marTop w:val="0"/>
          <w:marBottom w:val="0"/>
          <w:divBdr>
            <w:top w:val="none" w:sz="0" w:space="0" w:color="auto"/>
            <w:left w:val="none" w:sz="0" w:space="0" w:color="auto"/>
            <w:bottom w:val="none" w:sz="0" w:space="0" w:color="auto"/>
            <w:right w:val="none" w:sz="0" w:space="0" w:color="auto"/>
          </w:divBdr>
        </w:div>
        <w:div w:id="102962154">
          <w:marLeft w:val="0"/>
          <w:marRight w:val="0"/>
          <w:marTop w:val="0"/>
          <w:marBottom w:val="0"/>
          <w:divBdr>
            <w:top w:val="none" w:sz="0" w:space="0" w:color="auto"/>
            <w:left w:val="none" w:sz="0" w:space="0" w:color="auto"/>
            <w:bottom w:val="none" w:sz="0" w:space="0" w:color="auto"/>
            <w:right w:val="none" w:sz="0" w:space="0" w:color="auto"/>
          </w:divBdr>
          <w:divsChild>
            <w:div w:id="1309171532">
              <w:marLeft w:val="0"/>
              <w:marRight w:val="0"/>
              <w:marTop w:val="0"/>
              <w:marBottom w:val="0"/>
              <w:divBdr>
                <w:top w:val="none" w:sz="0" w:space="0" w:color="auto"/>
                <w:left w:val="none" w:sz="0" w:space="0" w:color="auto"/>
                <w:bottom w:val="none" w:sz="0" w:space="0" w:color="auto"/>
                <w:right w:val="none" w:sz="0" w:space="0" w:color="auto"/>
              </w:divBdr>
              <w:divsChild>
                <w:div w:id="449936921">
                  <w:marLeft w:val="0"/>
                  <w:marRight w:val="0"/>
                  <w:marTop w:val="0"/>
                  <w:marBottom w:val="0"/>
                  <w:divBdr>
                    <w:top w:val="none" w:sz="0" w:space="0" w:color="auto"/>
                    <w:left w:val="none" w:sz="0" w:space="0" w:color="auto"/>
                    <w:bottom w:val="none" w:sz="0" w:space="0" w:color="auto"/>
                    <w:right w:val="none" w:sz="0" w:space="0" w:color="auto"/>
                  </w:divBdr>
                </w:div>
                <w:div w:id="1487473472">
                  <w:marLeft w:val="0"/>
                  <w:marRight w:val="0"/>
                  <w:marTop w:val="0"/>
                  <w:marBottom w:val="0"/>
                  <w:divBdr>
                    <w:top w:val="none" w:sz="0" w:space="0" w:color="auto"/>
                    <w:left w:val="none" w:sz="0" w:space="0" w:color="auto"/>
                    <w:bottom w:val="none" w:sz="0" w:space="0" w:color="auto"/>
                    <w:right w:val="none" w:sz="0" w:space="0" w:color="auto"/>
                  </w:divBdr>
                  <w:divsChild>
                    <w:div w:id="723286578">
                      <w:marLeft w:val="0"/>
                      <w:marRight w:val="0"/>
                      <w:marTop w:val="0"/>
                      <w:marBottom w:val="0"/>
                      <w:divBdr>
                        <w:top w:val="none" w:sz="0" w:space="0" w:color="auto"/>
                        <w:left w:val="none" w:sz="0" w:space="0" w:color="auto"/>
                        <w:bottom w:val="none" w:sz="0" w:space="0" w:color="auto"/>
                        <w:right w:val="none" w:sz="0" w:space="0" w:color="auto"/>
                      </w:divBdr>
                    </w:div>
                    <w:div w:id="174074988">
                      <w:marLeft w:val="0"/>
                      <w:marRight w:val="0"/>
                      <w:marTop w:val="0"/>
                      <w:marBottom w:val="0"/>
                      <w:divBdr>
                        <w:top w:val="none" w:sz="0" w:space="0" w:color="auto"/>
                        <w:left w:val="none" w:sz="0" w:space="0" w:color="auto"/>
                        <w:bottom w:val="none" w:sz="0" w:space="0" w:color="auto"/>
                        <w:right w:val="none" w:sz="0" w:space="0" w:color="auto"/>
                      </w:divBdr>
                    </w:div>
                    <w:div w:id="800535604">
                      <w:marLeft w:val="0"/>
                      <w:marRight w:val="0"/>
                      <w:marTop w:val="0"/>
                      <w:marBottom w:val="0"/>
                      <w:divBdr>
                        <w:top w:val="none" w:sz="0" w:space="0" w:color="auto"/>
                        <w:left w:val="none" w:sz="0" w:space="0" w:color="auto"/>
                        <w:bottom w:val="none" w:sz="0" w:space="0" w:color="auto"/>
                        <w:right w:val="none" w:sz="0" w:space="0" w:color="auto"/>
                      </w:divBdr>
                    </w:div>
                  </w:divsChild>
                </w:div>
                <w:div w:id="404761916">
                  <w:marLeft w:val="0"/>
                  <w:marRight w:val="0"/>
                  <w:marTop w:val="0"/>
                  <w:marBottom w:val="0"/>
                  <w:divBdr>
                    <w:top w:val="none" w:sz="0" w:space="0" w:color="auto"/>
                    <w:left w:val="none" w:sz="0" w:space="0" w:color="auto"/>
                    <w:bottom w:val="none" w:sz="0" w:space="0" w:color="auto"/>
                    <w:right w:val="none" w:sz="0" w:space="0" w:color="auto"/>
                  </w:divBdr>
                  <w:divsChild>
                    <w:div w:id="364867472">
                      <w:marLeft w:val="0"/>
                      <w:marRight w:val="0"/>
                      <w:marTop w:val="0"/>
                      <w:marBottom w:val="0"/>
                      <w:divBdr>
                        <w:top w:val="none" w:sz="0" w:space="0" w:color="auto"/>
                        <w:left w:val="none" w:sz="0" w:space="0" w:color="auto"/>
                        <w:bottom w:val="none" w:sz="0" w:space="0" w:color="auto"/>
                        <w:right w:val="none" w:sz="0" w:space="0" w:color="auto"/>
                      </w:divBdr>
                    </w:div>
                    <w:div w:id="363530475">
                      <w:marLeft w:val="0"/>
                      <w:marRight w:val="0"/>
                      <w:marTop w:val="0"/>
                      <w:marBottom w:val="0"/>
                      <w:divBdr>
                        <w:top w:val="none" w:sz="0" w:space="0" w:color="auto"/>
                        <w:left w:val="none" w:sz="0" w:space="0" w:color="auto"/>
                        <w:bottom w:val="none" w:sz="0" w:space="0" w:color="auto"/>
                        <w:right w:val="none" w:sz="0" w:space="0" w:color="auto"/>
                      </w:divBdr>
                    </w:div>
                  </w:divsChild>
                </w:div>
                <w:div w:id="2117019278">
                  <w:marLeft w:val="0"/>
                  <w:marRight w:val="0"/>
                  <w:marTop w:val="0"/>
                  <w:marBottom w:val="0"/>
                  <w:divBdr>
                    <w:top w:val="none" w:sz="0" w:space="0" w:color="auto"/>
                    <w:left w:val="none" w:sz="0" w:space="0" w:color="auto"/>
                    <w:bottom w:val="none" w:sz="0" w:space="0" w:color="auto"/>
                    <w:right w:val="none" w:sz="0" w:space="0" w:color="auto"/>
                  </w:divBdr>
                </w:div>
                <w:div w:id="648943025">
                  <w:marLeft w:val="0"/>
                  <w:marRight w:val="0"/>
                  <w:marTop w:val="0"/>
                  <w:marBottom w:val="0"/>
                  <w:divBdr>
                    <w:top w:val="none" w:sz="0" w:space="0" w:color="auto"/>
                    <w:left w:val="none" w:sz="0" w:space="0" w:color="auto"/>
                    <w:bottom w:val="none" w:sz="0" w:space="0" w:color="auto"/>
                    <w:right w:val="none" w:sz="0" w:space="0" w:color="auto"/>
                  </w:divBdr>
                  <w:divsChild>
                    <w:div w:id="922685899">
                      <w:marLeft w:val="0"/>
                      <w:marRight w:val="0"/>
                      <w:marTop w:val="0"/>
                      <w:marBottom w:val="0"/>
                      <w:divBdr>
                        <w:top w:val="none" w:sz="0" w:space="0" w:color="auto"/>
                        <w:left w:val="none" w:sz="0" w:space="0" w:color="auto"/>
                        <w:bottom w:val="none" w:sz="0" w:space="0" w:color="auto"/>
                        <w:right w:val="none" w:sz="0" w:space="0" w:color="auto"/>
                      </w:divBdr>
                    </w:div>
                  </w:divsChild>
                </w:div>
                <w:div w:id="862863788">
                  <w:marLeft w:val="0"/>
                  <w:marRight w:val="0"/>
                  <w:marTop w:val="0"/>
                  <w:marBottom w:val="0"/>
                  <w:divBdr>
                    <w:top w:val="none" w:sz="0" w:space="0" w:color="auto"/>
                    <w:left w:val="none" w:sz="0" w:space="0" w:color="auto"/>
                    <w:bottom w:val="none" w:sz="0" w:space="0" w:color="auto"/>
                    <w:right w:val="none" w:sz="0" w:space="0" w:color="auto"/>
                  </w:divBdr>
                </w:div>
                <w:div w:id="175340621">
                  <w:marLeft w:val="0"/>
                  <w:marRight w:val="0"/>
                  <w:marTop w:val="0"/>
                  <w:marBottom w:val="0"/>
                  <w:divBdr>
                    <w:top w:val="none" w:sz="0" w:space="0" w:color="auto"/>
                    <w:left w:val="none" w:sz="0" w:space="0" w:color="auto"/>
                    <w:bottom w:val="none" w:sz="0" w:space="0" w:color="auto"/>
                    <w:right w:val="none" w:sz="0" w:space="0" w:color="auto"/>
                  </w:divBdr>
                </w:div>
                <w:div w:id="14150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24" Type="http://schemas.openxmlformats.org/officeDocument/2006/relationships/image" Target="media/image13.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1F42F-36F7-46CE-B59C-CCEFBC96B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110</Pages>
  <Words>163431</Words>
  <Characters>931561</Characters>
  <Application>Microsoft Office Word</Application>
  <DocSecurity>0</DocSecurity>
  <Lines>7763</Lines>
  <Paragraphs>2185</Paragraphs>
  <ScaleCrop>false</ScaleCrop>
  <HeadingPairs>
    <vt:vector size="2" baseType="variant">
      <vt:variant>
        <vt:lpstr>Title</vt:lpstr>
      </vt:variant>
      <vt:variant>
        <vt:i4>1</vt:i4>
      </vt:variant>
    </vt:vector>
  </HeadingPairs>
  <TitlesOfParts>
    <vt:vector size="1" baseType="lpstr">
      <vt:lpstr/>
    </vt:vector>
  </TitlesOfParts>
  <Company>Wildcats Love Bears</Company>
  <LinksUpToDate>false</LinksUpToDate>
  <CharactersWithSpaces>1092807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Kangyi</dc:creator>
  <cp:lastModifiedBy>LOH Xian Jun</cp:lastModifiedBy>
  <cp:revision>4</cp:revision>
  <cp:lastPrinted>2018-02-21T02:41:00Z</cp:lastPrinted>
  <dcterms:created xsi:type="dcterms:W3CDTF">2018-02-26T07:41:00Z</dcterms:created>
  <dcterms:modified xsi:type="dcterms:W3CDTF">2018-04-07T02:01:00Z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http://csl.mendeley.com/styles/10632281/acs-nano-kangyi</vt:lpwstr>
  </property>
  <property fmtid="{D5CDD505-2E9C-101B-9397-08002B2CF9AE}" pid="4" name="Mendeley Recent Style Id 0_1">
    <vt:lpwstr>http://www.zotero.org/styles/acs-nano</vt:lpwstr>
  </property>
  <property fmtid="{D5CDD505-2E9C-101B-9397-08002B2CF9AE}" pid="5" name="Mendeley Recent Style Name 0_1">
    <vt:lpwstr>ACS Nano</vt:lpwstr>
  </property>
  <property fmtid="{D5CDD505-2E9C-101B-9397-08002B2CF9AE}" pid="6" name="Mendeley Recent Style Id 1_1">
    <vt:lpwstr>http://csl.mendeley.com/styles/10632281/acs-nano-kangyi</vt:lpwstr>
  </property>
  <property fmtid="{D5CDD505-2E9C-101B-9397-08002B2CF9AE}" pid="7" name="Mendeley Recent Style Name 1_1">
    <vt:lpwstr>ACS Nano - Kangyi Zhang</vt:lpwstr>
  </property>
  <property fmtid="{D5CDD505-2E9C-101B-9397-08002B2CF9AE}" pid="8" name="Mendeley Recent Style Id 2_1">
    <vt:lpwstr>http://www.zotero.org/styles/american-political-science-association</vt:lpwstr>
  </property>
  <property fmtid="{D5CDD505-2E9C-101B-9397-08002B2CF9AE}" pid="9" name="Mendeley Recent Style Name 2_1">
    <vt:lpwstr>American Political Science Association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adde7a95-63c5-379d-ae18-1a632fd30b5c</vt:lpwstr>
  </property>
  <property fmtid="{D5CDD505-2E9C-101B-9397-08002B2CF9AE}" pid="25" name="Mendeley User Name_1">
    <vt:lpwstr>protest.ahkang@gmail.com@www.mendeley.com</vt:lpwstr>
  </property>
</Properties>
</file>